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DB898" w14:textId="77777777" w:rsidR="00817CF5" w:rsidRPr="0042085E" w:rsidRDefault="00817CF5" w:rsidP="002035EB">
      <w:pPr>
        <w:spacing w:line="240" w:lineRule="auto"/>
        <w:ind w:left="0" w:firstLine="567"/>
        <w:jc w:val="center"/>
        <w:rPr>
          <w:rFonts w:ascii="Cambria" w:hAnsi="Cambria"/>
          <w:b/>
          <w:sz w:val="24"/>
          <w:szCs w:val="24"/>
        </w:rPr>
      </w:pPr>
      <w:r w:rsidRPr="0042085E">
        <w:rPr>
          <w:rFonts w:ascii="Cambria" w:hAnsi="Cambria"/>
          <w:b/>
          <w:sz w:val="24"/>
          <w:szCs w:val="24"/>
        </w:rPr>
        <w:t>TECHNINĖ SPECIFIKACIJA</w:t>
      </w:r>
    </w:p>
    <w:p w14:paraId="26BF9ED3" w14:textId="77777777" w:rsidR="00817CF5" w:rsidRPr="0042085E" w:rsidRDefault="00817CF5" w:rsidP="002035EB">
      <w:pPr>
        <w:spacing w:line="240" w:lineRule="auto"/>
        <w:ind w:left="0" w:firstLine="567"/>
        <w:jc w:val="center"/>
        <w:rPr>
          <w:rFonts w:ascii="Cambria" w:hAnsi="Cambria"/>
          <w:sz w:val="24"/>
          <w:szCs w:val="24"/>
        </w:rPr>
      </w:pPr>
      <w:r w:rsidRPr="0042085E">
        <w:rPr>
          <w:rFonts w:ascii="Cambria" w:hAnsi="Cambria"/>
          <w:sz w:val="24"/>
          <w:szCs w:val="24"/>
        </w:rPr>
        <w:t>___________________</w:t>
      </w:r>
    </w:p>
    <w:p w14:paraId="203CC505" w14:textId="77777777" w:rsidR="002035EB" w:rsidRPr="0042085E" w:rsidRDefault="002035EB" w:rsidP="002035EB">
      <w:pPr>
        <w:spacing w:line="240" w:lineRule="auto"/>
        <w:ind w:left="0" w:firstLine="567"/>
        <w:jc w:val="center"/>
        <w:rPr>
          <w:rFonts w:ascii="Cambria" w:hAnsi="Cambria"/>
          <w:sz w:val="24"/>
          <w:szCs w:val="24"/>
        </w:rPr>
      </w:pPr>
    </w:p>
    <w:p w14:paraId="565F056A" w14:textId="77777777" w:rsidR="00817CF5" w:rsidRPr="0042085E" w:rsidRDefault="00817CF5" w:rsidP="002035EB">
      <w:pPr>
        <w:spacing w:line="240" w:lineRule="auto"/>
        <w:ind w:left="0" w:firstLine="567"/>
        <w:jc w:val="center"/>
        <w:rPr>
          <w:rFonts w:ascii="Cambria" w:hAnsi="Cambria"/>
          <w:b/>
          <w:sz w:val="24"/>
          <w:szCs w:val="24"/>
        </w:rPr>
      </w:pPr>
      <w:r w:rsidRPr="0042085E">
        <w:rPr>
          <w:rFonts w:ascii="Cambria" w:hAnsi="Cambria"/>
          <w:b/>
          <w:sz w:val="24"/>
          <w:szCs w:val="24"/>
        </w:rPr>
        <w:t>INKASAVIMO PASLAUGŲ TECHNINĖ SPECIFIKACIJA</w:t>
      </w:r>
      <w:r w:rsidR="00A3538E" w:rsidRPr="0042085E">
        <w:rPr>
          <w:rFonts w:ascii="Cambria" w:hAnsi="Cambria"/>
          <w:b/>
          <w:sz w:val="24"/>
          <w:szCs w:val="24"/>
        </w:rPr>
        <w:t xml:space="preserve"> </w:t>
      </w:r>
    </w:p>
    <w:p w14:paraId="165FA0FB" w14:textId="77777777" w:rsidR="002035EB" w:rsidRPr="0042085E" w:rsidRDefault="002035EB" w:rsidP="00FD4C10">
      <w:pPr>
        <w:spacing w:line="240" w:lineRule="auto"/>
        <w:ind w:left="0" w:firstLine="0"/>
        <w:rPr>
          <w:rFonts w:ascii="Cambria" w:hAnsi="Cambria"/>
          <w:b/>
          <w:sz w:val="24"/>
          <w:szCs w:val="24"/>
        </w:rPr>
      </w:pPr>
    </w:p>
    <w:p w14:paraId="6DAF7F1E" w14:textId="77777777" w:rsidR="004A4FF9" w:rsidRPr="0042085E" w:rsidRDefault="00817CF5" w:rsidP="002035EB">
      <w:pPr>
        <w:pStyle w:val="ListParagraph"/>
        <w:numPr>
          <w:ilvl w:val="0"/>
          <w:numId w:val="1"/>
        </w:numPr>
        <w:tabs>
          <w:tab w:val="left" w:pos="851"/>
          <w:tab w:val="left" w:pos="993"/>
          <w:tab w:val="left" w:pos="1134"/>
        </w:tabs>
        <w:spacing w:line="240" w:lineRule="auto"/>
        <w:ind w:left="0" w:firstLine="567"/>
        <w:jc w:val="both"/>
        <w:rPr>
          <w:rFonts w:ascii="Cambria" w:hAnsi="Cambria"/>
          <w:b/>
          <w:sz w:val="24"/>
          <w:szCs w:val="24"/>
        </w:rPr>
      </w:pPr>
      <w:r w:rsidRPr="0042085E">
        <w:rPr>
          <w:rFonts w:ascii="Cambria" w:hAnsi="Cambria"/>
          <w:b/>
          <w:sz w:val="24"/>
          <w:szCs w:val="24"/>
        </w:rPr>
        <w:t xml:space="preserve">Bendrieji reikalavimai </w:t>
      </w:r>
    </w:p>
    <w:p w14:paraId="00AC9C1C" w14:textId="77777777" w:rsidR="004A4FF9" w:rsidRPr="0042085E" w:rsidRDefault="00817CF5" w:rsidP="002035EB">
      <w:pPr>
        <w:pStyle w:val="ListParagraph"/>
        <w:numPr>
          <w:ilvl w:val="0"/>
          <w:numId w:val="2"/>
        </w:numPr>
        <w:tabs>
          <w:tab w:val="left" w:pos="851"/>
          <w:tab w:val="left" w:pos="993"/>
          <w:tab w:val="left" w:pos="1134"/>
        </w:tabs>
        <w:spacing w:line="240" w:lineRule="auto"/>
        <w:ind w:left="0" w:firstLine="567"/>
        <w:jc w:val="both"/>
        <w:rPr>
          <w:rFonts w:ascii="Cambria" w:hAnsi="Cambria"/>
          <w:b/>
          <w:sz w:val="24"/>
          <w:szCs w:val="24"/>
        </w:rPr>
      </w:pPr>
      <w:r w:rsidRPr="0042085E">
        <w:rPr>
          <w:rFonts w:ascii="Cambria" w:hAnsi="Cambria"/>
          <w:sz w:val="24"/>
          <w:szCs w:val="24"/>
        </w:rPr>
        <w:t xml:space="preserve">Lietuvos sveikatos mokslų universiteto ligoninė Kauno klinikos (toliau – Perkančioji organizacija) perka Perkančiosios organizacijos grynųjų pinigų inkasavimo paslaugą (toliau – Inkasavimo paslauga, Inkasavimas). </w:t>
      </w:r>
    </w:p>
    <w:p w14:paraId="78ED9B89" w14:textId="77777777" w:rsidR="004A4FF9" w:rsidRPr="0042085E" w:rsidRDefault="00FB6FF1" w:rsidP="002035EB">
      <w:pPr>
        <w:pStyle w:val="ListParagraph"/>
        <w:numPr>
          <w:ilvl w:val="1"/>
          <w:numId w:val="2"/>
        </w:numPr>
        <w:tabs>
          <w:tab w:val="left" w:pos="851"/>
          <w:tab w:val="left" w:pos="993"/>
          <w:tab w:val="left" w:pos="1134"/>
        </w:tabs>
        <w:spacing w:line="240" w:lineRule="auto"/>
        <w:ind w:left="0" w:firstLine="567"/>
        <w:jc w:val="both"/>
        <w:rPr>
          <w:rFonts w:ascii="Cambria" w:hAnsi="Cambria"/>
          <w:b/>
          <w:sz w:val="24"/>
          <w:szCs w:val="24"/>
        </w:rPr>
      </w:pPr>
      <w:r w:rsidRPr="0042085E">
        <w:rPr>
          <w:rFonts w:ascii="Cambria" w:hAnsi="Cambria"/>
          <w:sz w:val="24"/>
          <w:szCs w:val="24"/>
        </w:rPr>
        <w:t xml:space="preserve"> </w:t>
      </w:r>
      <w:r w:rsidR="00817CF5" w:rsidRPr="0042085E">
        <w:rPr>
          <w:rFonts w:ascii="Cambria" w:hAnsi="Cambria"/>
          <w:sz w:val="24"/>
          <w:szCs w:val="24"/>
        </w:rPr>
        <w:t>Inkasavimo paslauga – tai Paslaugų teikėjo teikiama saugaus Perkančiosios organizacijos grynųjų pinigų (toliau – Pinigų) surinkimo iš Perka</w:t>
      </w:r>
      <w:r w:rsidR="006F113E" w:rsidRPr="0042085E">
        <w:rPr>
          <w:rFonts w:ascii="Cambria" w:hAnsi="Cambria"/>
          <w:sz w:val="24"/>
          <w:szCs w:val="24"/>
        </w:rPr>
        <w:t>nčiosios organizacijo</w:t>
      </w:r>
      <w:r w:rsidR="00F60E55" w:rsidRPr="0042085E">
        <w:rPr>
          <w:rFonts w:ascii="Cambria" w:hAnsi="Cambria"/>
          <w:sz w:val="24"/>
          <w:szCs w:val="24"/>
        </w:rPr>
        <w:t>s nurodytos Pinigų paėmimo vietų</w:t>
      </w:r>
      <w:r w:rsidR="00817CF5" w:rsidRPr="0042085E">
        <w:rPr>
          <w:rFonts w:ascii="Cambria" w:hAnsi="Cambria"/>
          <w:sz w:val="24"/>
          <w:szCs w:val="24"/>
        </w:rPr>
        <w:t xml:space="preserve"> į Inkasavimo Paslaugų teikėjo pinigų tvarkymo vietą, Pinigų tvarkymo: rūšiavimo, perskaičiavimo, tikrumo ir tinkamumo naudoti apyvartoje tikrinimo, pakavimo ir saugojimo, informacijos apie sutvarkytus Pinigų kiekius perdavimo Perkančiosios organizacijos nurodytam bankui ir inkasuotų lėšų įskaitymo į Perkančiosios organizacijos sąskaitą banke paslauga. </w:t>
      </w:r>
    </w:p>
    <w:p w14:paraId="4E74CDE8" w14:textId="77777777" w:rsidR="004A4FF9" w:rsidRPr="0042085E" w:rsidRDefault="004A4FF9" w:rsidP="002035EB">
      <w:pPr>
        <w:pStyle w:val="ListParagraph"/>
        <w:numPr>
          <w:ilvl w:val="1"/>
          <w:numId w:val="2"/>
        </w:numPr>
        <w:tabs>
          <w:tab w:val="left" w:pos="851"/>
          <w:tab w:val="left" w:pos="993"/>
          <w:tab w:val="left" w:pos="1134"/>
        </w:tabs>
        <w:spacing w:line="240" w:lineRule="auto"/>
        <w:ind w:left="0" w:firstLine="567"/>
        <w:jc w:val="both"/>
        <w:rPr>
          <w:rFonts w:ascii="Cambria" w:hAnsi="Cambria"/>
          <w:b/>
          <w:sz w:val="24"/>
          <w:szCs w:val="24"/>
        </w:rPr>
      </w:pPr>
      <w:r w:rsidRPr="0042085E">
        <w:rPr>
          <w:rFonts w:ascii="Cambria" w:hAnsi="Cambria"/>
          <w:sz w:val="24"/>
          <w:szCs w:val="24"/>
        </w:rPr>
        <w:t xml:space="preserve"> </w:t>
      </w:r>
      <w:r w:rsidR="00817CF5" w:rsidRPr="0042085E">
        <w:rPr>
          <w:rFonts w:ascii="Cambria" w:hAnsi="Cambria"/>
          <w:sz w:val="24"/>
          <w:szCs w:val="24"/>
        </w:rPr>
        <w:t>Perkančiosios org</w:t>
      </w:r>
      <w:r w:rsidR="0056169A" w:rsidRPr="0042085E">
        <w:rPr>
          <w:rFonts w:ascii="Cambria" w:hAnsi="Cambria"/>
          <w:sz w:val="24"/>
          <w:szCs w:val="24"/>
        </w:rPr>
        <w:t>anizacijos Pinigų paėmimo vietos</w:t>
      </w:r>
      <w:r w:rsidR="00817CF5" w:rsidRPr="0042085E">
        <w:rPr>
          <w:rFonts w:ascii="Cambria" w:hAnsi="Cambria"/>
          <w:sz w:val="24"/>
          <w:szCs w:val="24"/>
        </w:rPr>
        <w:t xml:space="preserve">: </w:t>
      </w:r>
    </w:p>
    <w:p w14:paraId="720C1B50" w14:textId="77777777" w:rsidR="00817CF5" w:rsidRPr="0042085E" w:rsidRDefault="005A3B48" w:rsidP="002035EB">
      <w:pPr>
        <w:pStyle w:val="ListParagraph"/>
        <w:numPr>
          <w:ilvl w:val="2"/>
          <w:numId w:val="2"/>
        </w:numPr>
        <w:tabs>
          <w:tab w:val="left" w:pos="851"/>
          <w:tab w:val="left" w:pos="993"/>
          <w:tab w:val="left" w:pos="1134"/>
        </w:tabs>
        <w:spacing w:line="240" w:lineRule="auto"/>
        <w:ind w:left="0" w:firstLine="567"/>
        <w:jc w:val="both"/>
        <w:rPr>
          <w:rFonts w:ascii="Cambria" w:hAnsi="Cambria"/>
          <w:b/>
          <w:sz w:val="24"/>
          <w:szCs w:val="24"/>
        </w:rPr>
      </w:pPr>
      <w:r w:rsidRPr="0042085E">
        <w:rPr>
          <w:rFonts w:ascii="Cambria" w:hAnsi="Cambria"/>
          <w:sz w:val="24"/>
          <w:szCs w:val="24"/>
        </w:rPr>
        <w:t xml:space="preserve"> </w:t>
      </w:r>
      <w:r w:rsidR="00817CF5" w:rsidRPr="0042085E">
        <w:rPr>
          <w:rFonts w:ascii="Cambria" w:hAnsi="Cambria"/>
          <w:sz w:val="24"/>
          <w:szCs w:val="24"/>
        </w:rPr>
        <w:t xml:space="preserve">Įstaigos kasa, adresu Eivenių g. 2, </w:t>
      </w:r>
      <w:r w:rsidR="004A4FF9" w:rsidRPr="0042085E">
        <w:rPr>
          <w:rFonts w:ascii="Cambria" w:hAnsi="Cambria"/>
          <w:sz w:val="24"/>
          <w:szCs w:val="24"/>
        </w:rPr>
        <w:t>Kaunas</w:t>
      </w:r>
      <w:r w:rsidR="004E589E" w:rsidRPr="0042085E">
        <w:rPr>
          <w:rFonts w:ascii="Cambria" w:hAnsi="Cambria"/>
          <w:sz w:val="24"/>
          <w:szCs w:val="24"/>
        </w:rPr>
        <w:t xml:space="preserve"> (toliau – </w:t>
      </w:r>
      <w:r w:rsidR="0056169A" w:rsidRPr="0042085E">
        <w:rPr>
          <w:rFonts w:ascii="Cambria" w:hAnsi="Cambria"/>
          <w:sz w:val="24"/>
          <w:szCs w:val="24"/>
        </w:rPr>
        <w:t xml:space="preserve">1 </w:t>
      </w:r>
      <w:r w:rsidR="00817CF5" w:rsidRPr="0042085E">
        <w:rPr>
          <w:rFonts w:ascii="Cambria" w:hAnsi="Cambria"/>
          <w:sz w:val="24"/>
          <w:szCs w:val="24"/>
        </w:rPr>
        <w:t xml:space="preserve">Pinigų paėmimo vieta); </w:t>
      </w:r>
    </w:p>
    <w:p w14:paraId="5580CAB1" w14:textId="77777777" w:rsidR="0056169A" w:rsidRPr="0042085E" w:rsidRDefault="0056169A" w:rsidP="002035EB">
      <w:pPr>
        <w:pStyle w:val="ListParagraph"/>
        <w:numPr>
          <w:ilvl w:val="2"/>
          <w:numId w:val="2"/>
        </w:numPr>
        <w:tabs>
          <w:tab w:val="left" w:pos="851"/>
          <w:tab w:val="left" w:pos="993"/>
          <w:tab w:val="left" w:pos="1134"/>
        </w:tabs>
        <w:spacing w:line="240" w:lineRule="auto"/>
        <w:ind w:left="0" w:firstLine="567"/>
        <w:jc w:val="both"/>
        <w:rPr>
          <w:rFonts w:ascii="Cambria" w:hAnsi="Cambria"/>
          <w:b/>
          <w:sz w:val="24"/>
          <w:szCs w:val="24"/>
        </w:rPr>
      </w:pPr>
      <w:r w:rsidRPr="0042085E">
        <w:rPr>
          <w:rFonts w:ascii="Cambria" w:hAnsi="Cambria"/>
          <w:sz w:val="24"/>
          <w:szCs w:val="24"/>
        </w:rPr>
        <w:t xml:space="preserve">Įstaigos kasa adresu </w:t>
      </w:r>
      <w:r w:rsidRPr="0042085E">
        <w:rPr>
          <w:rFonts w:ascii="Cambria" w:hAnsi="Cambria" w:cs="Arial"/>
          <w:color w:val="333333"/>
          <w:sz w:val="24"/>
          <w:szCs w:val="24"/>
          <w:shd w:val="clear" w:color="auto" w:fill="FFFFFF"/>
        </w:rPr>
        <w:t xml:space="preserve">Maironio g. 22, Druskininkai </w:t>
      </w:r>
      <w:r w:rsidRPr="0042085E">
        <w:rPr>
          <w:rFonts w:ascii="Cambria" w:hAnsi="Cambria"/>
          <w:sz w:val="24"/>
          <w:szCs w:val="24"/>
        </w:rPr>
        <w:t>(toliau – 2 Pinigų paėmimo vieta)</w:t>
      </w:r>
    </w:p>
    <w:p w14:paraId="48ECC13E" w14:textId="77777777" w:rsidR="004A4FF9" w:rsidRPr="0042085E" w:rsidRDefault="00817CF5" w:rsidP="002035EB">
      <w:pPr>
        <w:pStyle w:val="ListParagraph"/>
        <w:numPr>
          <w:ilvl w:val="1"/>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Orientacinis Pinigų inkasavimų kiekis </w:t>
      </w:r>
      <w:r w:rsidR="004E589E" w:rsidRPr="0042085E">
        <w:rPr>
          <w:rFonts w:ascii="Cambria" w:hAnsi="Cambria"/>
          <w:sz w:val="24"/>
          <w:szCs w:val="24"/>
        </w:rPr>
        <w:t xml:space="preserve">iš </w:t>
      </w:r>
      <w:r w:rsidR="0056169A" w:rsidRPr="0042085E">
        <w:rPr>
          <w:rFonts w:ascii="Cambria" w:hAnsi="Cambria"/>
          <w:sz w:val="24"/>
          <w:szCs w:val="24"/>
        </w:rPr>
        <w:t>visų Pinigų paėmimo vietų</w:t>
      </w:r>
      <w:r w:rsidR="004E589E" w:rsidRPr="0042085E">
        <w:rPr>
          <w:rFonts w:ascii="Cambria" w:hAnsi="Cambria"/>
          <w:sz w:val="24"/>
          <w:szCs w:val="24"/>
        </w:rPr>
        <w:t xml:space="preserve"> </w:t>
      </w:r>
      <w:r w:rsidRPr="0042085E">
        <w:rPr>
          <w:rFonts w:ascii="Cambria" w:hAnsi="Cambria"/>
          <w:sz w:val="24"/>
          <w:szCs w:val="24"/>
        </w:rPr>
        <w:t xml:space="preserve">per </w:t>
      </w:r>
      <w:r w:rsidR="003F1697" w:rsidRPr="0042085E">
        <w:rPr>
          <w:rFonts w:ascii="Cambria" w:hAnsi="Cambria"/>
          <w:sz w:val="24"/>
          <w:szCs w:val="24"/>
        </w:rPr>
        <w:t>24</w:t>
      </w:r>
      <w:r w:rsidR="004E589E" w:rsidRPr="0042085E">
        <w:rPr>
          <w:rFonts w:ascii="Cambria" w:hAnsi="Cambria"/>
          <w:sz w:val="24"/>
          <w:szCs w:val="24"/>
        </w:rPr>
        <w:t xml:space="preserve"> mėn. i</w:t>
      </w:r>
      <w:r w:rsidRPr="0042085E">
        <w:rPr>
          <w:rFonts w:ascii="Cambria" w:hAnsi="Cambria"/>
          <w:sz w:val="24"/>
          <w:szCs w:val="24"/>
        </w:rPr>
        <w:t>nkasa</w:t>
      </w:r>
      <w:r w:rsidR="004E589E" w:rsidRPr="0042085E">
        <w:rPr>
          <w:rFonts w:ascii="Cambria" w:hAnsi="Cambria"/>
          <w:sz w:val="24"/>
          <w:szCs w:val="24"/>
        </w:rPr>
        <w:t>vimo paslaugų teikimo laikotarpiu</w:t>
      </w:r>
      <w:r w:rsidRPr="0042085E">
        <w:rPr>
          <w:rFonts w:ascii="Cambria" w:hAnsi="Cambria"/>
          <w:sz w:val="24"/>
          <w:szCs w:val="24"/>
        </w:rPr>
        <w:t xml:space="preserve">– </w:t>
      </w:r>
      <w:r w:rsidR="003F1697" w:rsidRPr="0042085E">
        <w:rPr>
          <w:rFonts w:ascii="Cambria" w:hAnsi="Cambria"/>
          <w:sz w:val="24"/>
          <w:szCs w:val="24"/>
        </w:rPr>
        <w:t>288</w:t>
      </w:r>
      <w:r w:rsidR="004E589E" w:rsidRPr="0042085E">
        <w:rPr>
          <w:rFonts w:ascii="Cambria" w:hAnsi="Cambria"/>
          <w:sz w:val="24"/>
          <w:szCs w:val="24"/>
        </w:rPr>
        <w:t xml:space="preserve"> kartų</w:t>
      </w:r>
      <w:r w:rsidRPr="0042085E">
        <w:rPr>
          <w:rFonts w:ascii="Cambria" w:hAnsi="Cambria"/>
          <w:sz w:val="24"/>
          <w:szCs w:val="24"/>
        </w:rPr>
        <w:t xml:space="preserve">: </w:t>
      </w:r>
    </w:p>
    <w:p w14:paraId="3DBE324D" w14:textId="77777777" w:rsidR="0056169A" w:rsidRPr="0042085E" w:rsidRDefault="0056169A" w:rsidP="0056169A">
      <w:pPr>
        <w:pStyle w:val="ListParagraph"/>
        <w:numPr>
          <w:ilvl w:val="2"/>
          <w:numId w:val="1"/>
        </w:numPr>
        <w:tabs>
          <w:tab w:val="left" w:pos="851"/>
          <w:tab w:val="left" w:pos="993"/>
          <w:tab w:val="left" w:pos="1134"/>
        </w:tabs>
        <w:spacing w:line="240" w:lineRule="auto"/>
        <w:jc w:val="both"/>
        <w:rPr>
          <w:rFonts w:ascii="Cambria" w:hAnsi="Cambria"/>
          <w:sz w:val="24"/>
          <w:szCs w:val="24"/>
        </w:rPr>
      </w:pPr>
      <w:r w:rsidRPr="0042085E">
        <w:rPr>
          <w:rFonts w:ascii="Cambria" w:hAnsi="Cambria"/>
          <w:sz w:val="24"/>
          <w:szCs w:val="24"/>
        </w:rPr>
        <w:t xml:space="preserve">1 Pinigų paėmimo vieta – </w:t>
      </w:r>
      <w:r w:rsidR="003F1697" w:rsidRPr="0042085E">
        <w:rPr>
          <w:rFonts w:ascii="Cambria" w:hAnsi="Cambria"/>
          <w:sz w:val="24"/>
          <w:szCs w:val="24"/>
        </w:rPr>
        <w:t>192</w:t>
      </w:r>
      <w:r w:rsidRPr="0042085E">
        <w:rPr>
          <w:rFonts w:ascii="Cambria" w:hAnsi="Cambria"/>
          <w:sz w:val="24"/>
          <w:szCs w:val="24"/>
        </w:rPr>
        <w:t xml:space="preserve"> kartų;</w:t>
      </w:r>
    </w:p>
    <w:p w14:paraId="449C9874" w14:textId="77777777" w:rsidR="0056169A" w:rsidRPr="0042085E" w:rsidRDefault="003F1697" w:rsidP="0056169A">
      <w:pPr>
        <w:pStyle w:val="ListParagraph"/>
        <w:numPr>
          <w:ilvl w:val="2"/>
          <w:numId w:val="1"/>
        </w:numPr>
        <w:tabs>
          <w:tab w:val="left" w:pos="851"/>
          <w:tab w:val="left" w:pos="993"/>
          <w:tab w:val="left" w:pos="1134"/>
        </w:tabs>
        <w:spacing w:line="240" w:lineRule="auto"/>
        <w:jc w:val="both"/>
        <w:rPr>
          <w:rFonts w:ascii="Cambria" w:hAnsi="Cambria"/>
          <w:sz w:val="24"/>
          <w:szCs w:val="24"/>
        </w:rPr>
      </w:pPr>
      <w:r w:rsidRPr="0042085E">
        <w:rPr>
          <w:rFonts w:ascii="Cambria" w:hAnsi="Cambria"/>
          <w:sz w:val="24"/>
          <w:szCs w:val="24"/>
        </w:rPr>
        <w:t>2 Pinigų paėmimo vieta – 96</w:t>
      </w:r>
      <w:r w:rsidR="0056169A" w:rsidRPr="0042085E">
        <w:rPr>
          <w:rFonts w:ascii="Cambria" w:hAnsi="Cambria"/>
          <w:sz w:val="24"/>
          <w:szCs w:val="24"/>
        </w:rPr>
        <w:t xml:space="preserve"> kartai.</w:t>
      </w:r>
    </w:p>
    <w:p w14:paraId="469163DF" w14:textId="77777777" w:rsidR="004A4FF9" w:rsidRPr="0042085E" w:rsidRDefault="00817CF5" w:rsidP="002035EB">
      <w:pPr>
        <w:pStyle w:val="ListParagraph"/>
        <w:numPr>
          <w:ilvl w:val="1"/>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Orientacinis inkasuojamų Pinigų kiekis per kalendorinį mėnesį iš </w:t>
      </w:r>
      <w:r w:rsidR="0056169A" w:rsidRPr="0042085E">
        <w:rPr>
          <w:rFonts w:ascii="Cambria" w:hAnsi="Cambria"/>
          <w:sz w:val="24"/>
          <w:szCs w:val="24"/>
        </w:rPr>
        <w:t xml:space="preserve">visų </w:t>
      </w:r>
      <w:r w:rsidRPr="0042085E">
        <w:rPr>
          <w:rFonts w:ascii="Cambria" w:hAnsi="Cambria"/>
          <w:sz w:val="24"/>
          <w:szCs w:val="24"/>
        </w:rPr>
        <w:t>P</w:t>
      </w:r>
      <w:r w:rsidR="0056169A" w:rsidRPr="0042085E">
        <w:rPr>
          <w:rFonts w:ascii="Cambria" w:hAnsi="Cambria"/>
          <w:sz w:val="24"/>
          <w:szCs w:val="24"/>
        </w:rPr>
        <w:t xml:space="preserve">inigų paėmimo vietų </w:t>
      </w:r>
      <w:r w:rsidR="005A3B48" w:rsidRPr="0042085E">
        <w:rPr>
          <w:rFonts w:ascii="Cambria" w:hAnsi="Cambria"/>
          <w:sz w:val="24"/>
          <w:szCs w:val="24"/>
        </w:rPr>
        <w:t xml:space="preserve">– </w:t>
      </w:r>
      <w:r w:rsidR="004A2C87" w:rsidRPr="0042085E">
        <w:rPr>
          <w:rFonts w:ascii="Cambria" w:hAnsi="Cambria"/>
          <w:sz w:val="24"/>
          <w:szCs w:val="24"/>
        </w:rPr>
        <w:t>2</w:t>
      </w:r>
      <w:r w:rsidR="00613706" w:rsidRPr="0042085E">
        <w:rPr>
          <w:rFonts w:ascii="Cambria" w:hAnsi="Cambria"/>
          <w:sz w:val="24"/>
          <w:szCs w:val="24"/>
        </w:rPr>
        <w:t>55</w:t>
      </w:r>
      <w:r w:rsidR="004A2C87" w:rsidRPr="0042085E">
        <w:rPr>
          <w:rFonts w:ascii="Cambria" w:hAnsi="Cambria"/>
          <w:sz w:val="24"/>
          <w:szCs w:val="24"/>
        </w:rPr>
        <w:t>.000</w:t>
      </w:r>
      <w:r w:rsidRPr="0042085E">
        <w:rPr>
          <w:rFonts w:ascii="Cambria" w:hAnsi="Cambria"/>
          <w:sz w:val="24"/>
          <w:szCs w:val="24"/>
        </w:rPr>
        <w:t xml:space="preserve"> Eur, iš jų: </w:t>
      </w:r>
    </w:p>
    <w:p w14:paraId="52B131A9" w14:textId="77777777" w:rsidR="004A4FF9" w:rsidRPr="0042085E" w:rsidRDefault="00FB6FF1" w:rsidP="002035EB">
      <w:pPr>
        <w:pStyle w:val="ListParagraph"/>
        <w:numPr>
          <w:ilvl w:val="2"/>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073B2E" w:rsidRPr="0042085E">
        <w:rPr>
          <w:rFonts w:ascii="Cambria" w:hAnsi="Cambria"/>
          <w:sz w:val="24"/>
          <w:szCs w:val="24"/>
        </w:rPr>
        <w:t>220</w:t>
      </w:r>
      <w:r w:rsidR="005A3B48" w:rsidRPr="0042085E">
        <w:rPr>
          <w:rFonts w:ascii="Cambria" w:hAnsi="Cambria"/>
          <w:sz w:val="24"/>
          <w:szCs w:val="24"/>
        </w:rPr>
        <w:t>.000,00</w:t>
      </w:r>
      <w:r w:rsidR="00817CF5" w:rsidRPr="0042085E">
        <w:rPr>
          <w:rFonts w:ascii="Cambria" w:hAnsi="Cambria"/>
          <w:sz w:val="24"/>
          <w:szCs w:val="24"/>
        </w:rPr>
        <w:t xml:space="preserve"> Eur įvairiomis kupiūromis; </w:t>
      </w:r>
    </w:p>
    <w:p w14:paraId="72CAFD74" w14:textId="77777777" w:rsidR="002147DA" w:rsidRPr="0042085E" w:rsidRDefault="005A3B48" w:rsidP="002035EB">
      <w:pPr>
        <w:pStyle w:val="ListParagraph"/>
        <w:numPr>
          <w:ilvl w:val="2"/>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3046BA" w:rsidRPr="0042085E">
        <w:rPr>
          <w:rFonts w:ascii="Cambria" w:hAnsi="Cambria"/>
          <w:sz w:val="24"/>
          <w:szCs w:val="24"/>
        </w:rPr>
        <w:t>35</w:t>
      </w:r>
      <w:r w:rsidR="004A2C87" w:rsidRPr="0042085E">
        <w:rPr>
          <w:rFonts w:ascii="Cambria" w:hAnsi="Cambria"/>
          <w:sz w:val="24"/>
          <w:szCs w:val="24"/>
        </w:rPr>
        <w:t>.000</w:t>
      </w:r>
      <w:r w:rsidR="00817CF5" w:rsidRPr="0042085E">
        <w:rPr>
          <w:rFonts w:ascii="Cambria" w:hAnsi="Cambria"/>
          <w:sz w:val="24"/>
          <w:szCs w:val="24"/>
        </w:rPr>
        <w:t xml:space="preserve"> Eur įvairiomis monetomis. </w:t>
      </w:r>
    </w:p>
    <w:p w14:paraId="706A3BE8" w14:textId="77777777" w:rsidR="004A2C87" w:rsidRPr="0042085E" w:rsidRDefault="00F27F51" w:rsidP="00F27F51">
      <w:pPr>
        <w:pStyle w:val="ListParagraph"/>
        <w:numPr>
          <w:ilvl w:val="1"/>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Pinigai inkasuojami:</w:t>
      </w:r>
    </w:p>
    <w:p w14:paraId="36891B5C" w14:textId="77777777" w:rsidR="004A2C87" w:rsidRPr="0042085E" w:rsidRDefault="004A2C87" w:rsidP="00F27F51">
      <w:pPr>
        <w:pStyle w:val="ListParagraph"/>
        <w:numPr>
          <w:ilvl w:val="2"/>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1 Pinigų paėmimo vietos </w:t>
      </w:r>
      <w:r w:rsidR="00A3538E" w:rsidRPr="0042085E">
        <w:rPr>
          <w:rFonts w:ascii="Cambria" w:hAnsi="Cambria"/>
          <w:sz w:val="24"/>
          <w:szCs w:val="24"/>
        </w:rPr>
        <w:t>Perkančiosios organiz</w:t>
      </w:r>
      <w:r w:rsidR="0088526A" w:rsidRPr="0042085E">
        <w:rPr>
          <w:rFonts w:ascii="Cambria" w:hAnsi="Cambria"/>
          <w:sz w:val="24"/>
          <w:szCs w:val="24"/>
        </w:rPr>
        <w:t>acijos AB SEB banko sąskaitas</w:t>
      </w:r>
      <w:r w:rsidR="00A3538E" w:rsidRPr="0042085E">
        <w:rPr>
          <w:rFonts w:ascii="Cambria" w:hAnsi="Cambria"/>
          <w:sz w:val="24"/>
          <w:szCs w:val="24"/>
        </w:rPr>
        <w:t>.</w:t>
      </w:r>
    </w:p>
    <w:p w14:paraId="44EB5770" w14:textId="77777777" w:rsidR="00F27F51" w:rsidRPr="0042085E" w:rsidRDefault="00F27F51" w:rsidP="00F27F51">
      <w:pPr>
        <w:pStyle w:val="ListParagraph"/>
        <w:numPr>
          <w:ilvl w:val="2"/>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2 Pinigų paėmimo vietos Perkančiosios organizacijos AB LUMINOR banko </w:t>
      </w:r>
      <w:proofErr w:type="spellStart"/>
      <w:r w:rsidRPr="0042085E">
        <w:rPr>
          <w:rFonts w:ascii="Cambria" w:hAnsi="Cambria"/>
          <w:sz w:val="24"/>
          <w:szCs w:val="24"/>
        </w:rPr>
        <w:t>sąskai</w:t>
      </w:r>
      <w:r w:rsidRPr="0042085E">
        <w:rPr>
          <w:rFonts w:ascii="Cambria" w:hAnsi="Cambria"/>
          <w:sz w:val="24"/>
          <w:szCs w:val="24"/>
          <w:lang w:val="en-US"/>
        </w:rPr>
        <w:t>toje</w:t>
      </w:r>
      <w:proofErr w:type="spellEnd"/>
      <w:r w:rsidRPr="0042085E">
        <w:rPr>
          <w:rFonts w:ascii="Cambria" w:hAnsi="Cambria"/>
          <w:sz w:val="24"/>
          <w:szCs w:val="24"/>
        </w:rPr>
        <w:t>.</w:t>
      </w:r>
    </w:p>
    <w:p w14:paraId="13863450" w14:textId="77777777" w:rsidR="002147DA" w:rsidRPr="0042085E" w:rsidRDefault="00817CF5" w:rsidP="002035EB">
      <w:pPr>
        <w:pStyle w:val="ListParagraph"/>
        <w:numPr>
          <w:ilvl w:val="0"/>
          <w:numId w:val="2"/>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Paslaugų teikimas </w:t>
      </w:r>
    </w:p>
    <w:p w14:paraId="1E91A5A0" w14:textId="77777777" w:rsidR="007B58E1" w:rsidRPr="0042085E" w:rsidRDefault="002147DA"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817CF5" w:rsidRPr="0042085E">
        <w:rPr>
          <w:rFonts w:ascii="Cambria" w:hAnsi="Cambria"/>
          <w:sz w:val="24"/>
          <w:szCs w:val="24"/>
        </w:rPr>
        <w:t>Paslaugų teikėjas savo jėgomis ir kaštais turi teikti Inkasavimo paslaugą – inkasuoti</w:t>
      </w:r>
      <w:r w:rsidR="004E589E" w:rsidRPr="0042085E">
        <w:rPr>
          <w:rFonts w:ascii="Cambria" w:hAnsi="Cambria"/>
          <w:sz w:val="24"/>
          <w:szCs w:val="24"/>
        </w:rPr>
        <w:t xml:space="preserve"> </w:t>
      </w:r>
      <w:r w:rsidR="00DC6F36" w:rsidRPr="0042085E">
        <w:rPr>
          <w:rFonts w:ascii="Cambria" w:hAnsi="Cambria"/>
          <w:sz w:val="24"/>
          <w:szCs w:val="24"/>
        </w:rPr>
        <w:t>Pinigus iš Pinigų paėmimo vietų</w:t>
      </w:r>
      <w:r w:rsidR="00817CF5" w:rsidRPr="0042085E">
        <w:rPr>
          <w:rFonts w:ascii="Cambria" w:hAnsi="Cambria"/>
          <w:sz w:val="24"/>
          <w:szCs w:val="24"/>
        </w:rPr>
        <w:t xml:space="preserve"> nurodytomis savaitės dienomis Perkančiosios organizacijos ir Paslaugų teikėjo suderintu ir sutartu laiku, nurodytu Inkasavimo paslaugų sutartyje (toliau – Sutartis), t. y.: </w:t>
      </w:r>
    </w:p>
    <w:p w14:paraId="548BA651" w14:textId="77777777" w:rsidR="004A4FF9" w:rsidRPr="0042085E" w:rsidRDefault="00817CF5" w:rsidP="002035EB">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iš 1 Pinigų paėmimo vietos – </w:t>
      </w:r>
      <w:r w:rsidR="003D0E6B" w:rsidRPr="0042085E">
        <w:rPr>
          <w:rFonts w:ascii="Cambria" w:hAnsi="Cambria"/>
          <w:sz w:val="24"/>
          <w:szCs w:val="24"/>
        </w:rPr>
        <w:t>du</w:t>
      </w:r>
      <w:r w:rsidRPr="0042085E">
        <w:rPr>
          <w:rFonts w:ascii="Cambria" w:hAnsi="Cambria"/>
          <w:sz w:val="24"/>
          <w:szCs w:val="24"/>
        </w:rPr>
        <w:t xml:space="preserve"> kartus per savaitę darbo dienomis (</w:t>
      </w:r>
      <w:r w:rsidR="003D0E6B" w:rsidRPr="0042085E">
        <w:rPr>
          <w:rFonts w:ascii="Cambria" w:hAnsi="Cambria"/>
          <w:sz w:val="24"/>
          <w:szCs w:val="24"/>
        </w:rPr>
        <w:t xml:space="preserve">antradieniais, </w:t>
      </w:r>
      <w:r w:rsidRPr="0042085E">
        <w:rPr>
          <w:rFonts w:ascii="Cambria" w:hAnsi="Cambria"/>
          <w:sz w:val="24"/>
          <w:szCs w:val="24"/>
        </w:rPr>
        <w:t>penktadieniais);</w:t>
      </w:r>
    </w:p>
    <w:p w14:paraId="0C785E4D" w14:textId="77777777" w:rsidR="00DC6F36" w:rsidRPr="0042085E" w:rsidRDefault="00DC6F36" w:rsidP="00DC6F36">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iš 2 Pinigų paėmimo vietos – vieną kartą per savaitę darbo dieną (</w:t>
      </w:r>
      <w:r w:rsidR="00F27F51" w:rsidRPr="0042085E">
        <w:rPr>
          <w:rFonts w:ascii="Cambria" w:hAnsi="Cambria"/>
          <w:sz w:val="24"/>
          <w:szCs w:val="24"/>
        </w:rPr>
        <w:t>pirmadieniais</w:t>
      </w:r>
      <w:r w:rsidRPr="0042085E">
        <w:rPr>
          <w:rFonts w:ascii="Cambria" w:hAnsi="Cambria"/>
          <w:sz w:val="24"/>
          <w:szCs w:val="24"/>
        </w:rPr>
        <w:t>);</w:t>
      </w:r>
    </w:p>
    <w:p w14:paraId="00C66088" w14:textId="77777777" w:rsidR="004A4FF9" w:rsidRPr="0042085E" w:rsidRDefault="00817CF5" w:rsidP="002035EB">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Jeigu Sutartyje nurodyta Inkasavimo diena yra nedarbo diena, Inkasavimo paslauga turi būti suteikta kitą darbo dieną po nedarbo dienos Sutartyje nurodytu Inkasavimo dienos laiku. Inkasavimo diena ir laikas gali būti keičiami tik abiejų Sutarties šalių raštišku susitarimu. </w:t>
      </w:r>
    </w:p>
    <w:p w14:paraId="5571E97E" w14:textId="77777777" w:rsidR="004A4FF9" w:rsidRPr="0042085E" w:rsidRDefault="007B58E1"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817CF5" w:rsidRPr="0042085E">
        <w:rPr>
          <w:rFonts w:ascii="Cambria" w:hAnsi="Cambria"/>
          <w:sz w:val="24"/>
          <w:szCs w:val="24"/>
        </w:rPr>
        <w:t xml:space="preserve">Paslaugų teikėjas privalo </w:t>
      </w:r>
      <w:r w:rsidR="006F113E" w:rsidRPr="0042085E">
        <w:rPr>
          <w:rFonts w:ascii="Cambria" w:hAnsi="Cambria"/>
          <w:sz w:val="24"/>
          <w:szCs w:val="24"/>
        </w:rPr>
        <w:t>Perkančiąją organizaciją nemokamai</w:t>
      </w:r>
      <w:r w:rsidR="00817CF5" w:rsidRPr="0042085E">
        <w:rPr>
          <w:rFonts w:ascii="Cambria" w:hAnsi="Cambria"/>
          <w:sz w:val="24"/>
          <w:szCs w:val="24"/>
        </w:rPr>
        <w:t xml:space="preserve"> aprūpinti Pinigų inkasavimui būtinomis pakuotėmis, plombomis, jei tokios naudojamos, ir (ar) kitomis Pinigų inkasavimui reikiamomis medžiagomis, ir užtikrinti, kad Perkančioji organizacija nuolat turėtų pakankamus jų kiekius.</w:t>
      </w:r>
    </w:p>
    <w:p w14:paraId="0E17676F" w14:textId="77777777" w:rsidR="004A4FF9" w:rsidRPr="0042085E" w:rsidRDefault="007B58E1"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F60E55" w:rsidRPr="0042085E">
        <w:rPr>
          <w:rFonts w:ascii="Cambria" w:hAnsi="Cambria"/>
          <w:sz w:val="24"/>
          <w:szCs w:val="24"/>
        </w:rPr>
        <w:t>Atvykęs į Pinigų paėmimo vietas</w:t>
      </w:r>
      <w:r w:rsidR="00817CF5" w:rsidRPr="0042085E">
        <w:rPr>
          <w:rFonts w:ascii="Cambria" w:hAnsi="Cambria"/>
          <w:sz w:val="24"/>
          <w:szCs w:val="24"/>
        </w:rPr>
        <w:t xml:space="preserve"> Paslaugų teikėjo darbuotojas (toliau – inkasatorius) privalo pateikti Perkančiosios organizacijos pinigus perduodančiam asmeniui (toliau – perduodantis asmuo) inkasatoriaus pažymėjimą (kortelę), o perduodančiam asmeniui pareikalavus – asmens tapatybę patvirtinantį dokumentą. </w:t>
      </w:r>
    </w:p>
    <w:p w14:paraId="32E7D867" w14:textId="77777777" w:rsidR="004A4FF9" w:rsidRPr="0042085E" w:rsidRDefault="007B58E1"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817CF5" w:rsidRPr="0042085E">
        <w:rPr>
          <w:rFonts w:ascii="Cambria" w:hAnsi="Cambria"/>
          <w:sz w:val="24"/>
          <w:szCs w:val="24"/>
        </w:rPr>
        <w:t xml:space="preserve">Pinigai inkasatoriui perduodami Paslaugų teikėjo nustatyta ir Sutartyje aprašyta tvarka, taip pat dviem egzemplioriais surašomi (atspausdinami) Paslaugų teikėjo numatyti Pinigų perdavimo/priėmimo dokumentai (lydraščiai, važtaraščiai ar pan.). Inkasatorius pasirašo šiuos dokumentus bei pateikia juos perduodančiam asmeniui, kad jis savo parašu ir </w:t>
      </w:r>
      <w:r w:rsidR="00817CF5" w:rsidRPr="0042085E">
        <w:rPr>
          <w:rFonts w:ascii="Cambria" w:hAnsi="Cambria"/>
          <w:sz w:val="24"/>
          <w:szCs w:val="24"/>
        </w:rPr>
        <w:lastRenderedPageBreak/>
        <w:t>vardiniu darbuotojo spaudu patvirtintų Pinigų perdavimo/gavimo faktą. Vienas pasirašytas lydraščio egzempliorius paliekamas perduodančiajam asmeniui.</w:t>
      </w:r>
    </w:p>
    <w:p w14:paraId="0365C169" w14:textId="77777777" w:rsidR="004A4FF9" w:rsidRPr="0042085E" w:rsidRDefault="007B58E1"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817CF5" w:rsidRPr="0042085E">
        <w:rPr>
          <w:rFonts w:ascii="Cambria" w:hAnsi="Cambria"/>
          <w:sz w:val="24"/>
          <w:szCs w:val="24"/>
        </w:rPr>
        <w:t xml:space="preserve">Paslaugų teikėjas yra atsakingas už paimtus Pinigus nuo Pinigų pakuotės </w:t>
      </w:r>
      <w:r w:rsidR="00F60E55" w:rsidRPr="0042085E">
        <w:rPr>
          <w:rFonts w:ascii="Cambria" w:hAnsi="Cambria"/>
          <w:sz w:val="24"/>
          <w:szCs w:val="24"/>
        </w:rPr>
        <w:t>paėmimo iš Pinigų paėmimo vietų</w:t>
      </w:r>
      <w:r w:rsidR="00817CF5" w:rsidRPr="0042085E">
        <w:rPr>
          <w:rFonts w:ascii="Cambria" w:hAnsi="Cambria"/>
          <w:sz w:val="24"/>
          <w:szCs w:val="24"/>
        </w:rPr>
        <w:t xml:space="preserve"> iki informacijos apie sutvarkytus Pinigų kiekius inkasuotų lėšų įskaitymui į Perk</w:t>
      </w:r>
      <w:r w:rsidR="00C92EE9" w:rsidRPr="0042085E">
        <w:rPr>
          <w:rFonts w:ascii="Cambria" w:hAnsi="Cambria"/>
          <w:sz w:val="24"/>
          <w:szCs w:val="24"/>
        </w:rPr>
        <w:t>ančiosios organizacijos sąskaitas bankuose</w:t>
      </w:r>
      <w:r w:rsidR="00817CF5" w:rsidRPr="0042085E">
        <w:rPr>
          <w:rFonts w:ascii="Cambria" w:hAnsi="Cambria"/>
          <w:sz w:val="24"/>
          <w:szCs w:val="24"/>
        </w:rPr>
        <w:t xml:space="preserve"> perdavimo Perkančiosios organizacijos nurodyt</w:t>
      </w:r>
      <w:r w:rsidR="00437C3B" w:rsidRPr="0042085E">
        <w:rPr>
          <w:rFonts w:ascii="Cambria" w:hAnsi="Cambria"/>
          <w:sz w:val="24"/>
          <w:szCs w:val="24"/>
        </w:rPr>
        <w:t>uose</w:t>
      </w:r>
      <w:r w:rsidR="00817CF5" w:rsidRPr="0042085E">
        <w:rPr>
          <w:rFonts w:ascii="Cambria" w:hAnsi="Cambria"/>
          <w:sz w:val="24"/>
          <w:szCs w:val="24"/>
        </w:rPr>
        <w:t xml:space="preserve"> banku</w:t>
      </w:r>
      <w:r w:rsidR="00437C3B" w:rsidRPr="0042085E">
        <w:rPr>
          <w:rFonts w:ascii="Cambria" w:hAnsi="Cambria"/>
          <w:sz w:val="24"/>
          <w:szCs w:val="24"/>
        </w:rPr>
        <w:t>ose</w:t>
      </w:r>
      <w:r w:rsidR="00817CF5" w:rsidRPr="0042085E">
        <w:rPr>
          <w:rFonts w:ascii="Cambria" w:hAnsi="Cambria"/>
          <w:sz w:val="24"/>
          <w:szCs w:val="24"/>
        </w:rPr>
        <w:t xml:space="preserve">. </w:t>
      </w:r>
    </w:p>
    <w:p w14:paraId="71B99263" w14:textId="77777777" w:rsidR="004A4FF9" w:rsidRPr="0042085E" w:rsidRDefault="007B58E1"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817CF5" w:rsidRPr="0042085E">
        <w:rPr>
          <w:rFonts w:ascii="Cambria" w:hAnsi="Cambria"/>
          <w:sz w:val="24"/>
          <w:szCs w:val="24"/>
        </w:rPr>
        <w:t>Informaciją apie sutvarkytų Pinigų kiekius, inkasuotų lėšų įskaitymui į Perk</w:t>
      </w:r>
      <w:r w:rsidR="00C92EE9" w:rsidRPr="0042085E">
        <w:rPr>
          <w:rFonts w:ascii="Cambria" w:hAnsi="Cambria"/>
          <w:sz w:val="24"/>
          <w:szCs w:val="24"/>
        </w:rPr>
        <w:t>ančiosios organizacijos sąskaitose bankuose</w:t>
      </w:r>
      <w:r w:rsidR="00817CF5" w:rsidRPr="0042085E">
        <w:rPr>
          <w:rFonts w:ascii="Cambria" w:hAnsi="Cambria"/>
          <w:sz w:val="24"/>
          <w:szCs w:val="24"/>
        </w:rPr>
        <w:t>, Paslaugų teikėjas Perka</w:t>
      </w:r>
      <w:r w:rsidR="00F71D70" w:rsidRPr="0042085E">
        <w:rPr>
          <w:rFonts w:ascii="Cambria" w:hAnsi="Cambria"/>
          <w:sz w:val="24"/>
          <w:szCs w:val="24"/>
        </w:rPr>
        <w:t>nčiosios organizacijos nurodytuose</w:t>
      </w:r>
      <w:r w:rsidR="00817CF5" w:rsidRPr="0042085E">
        <w:rPr>
          <w:rFonts w:ascii="Cambria" w:hAnsi="Cambria"/>
          <w:sz w:val="24"/>
          <w:szCs w:val="24"/>
        </w:rPr>
        <w:t xml:space="preserve"> bank</w:t>
      </w:r>
      <w:r w:rsidR="00F71D70" w:rsidRPr="0042085E">
        <w:rPr>
          <w:rFonts w:ascii="Cambria" w:hAnsi="Cambria"/>
          <w:sz w:val="24"/>
          <w:szCs w:val="24"/>
        </w:rPr>
        <w:t>uose</w:t>
      </w:r>
      <w:r w:rsidR="00817CF5" w:rsidRPr="0042085E">
        <w:rPr>
          <w:rFonts w:ascii="Cambria" w:hAnsi="Cambria"/>
          <w:sz w:val="24"/>
          <w:szCs w:val="24"/>
        </w:rPr>
        <w:t xml:space="preserve"> privalo perduoti ne vėliau nei iki kitos po Pinigų paėmimo iš Pinigų paėmimo vietos darbo dienos 15.00 valandos. </w:t>
      </w:r>
    </w:p>
    <w:p w14:paraId="7731D779" w14:textId="77777777" w:rsidR="004A4FF9" w:rsidRPr="0042085E" w:rsidRDefault="007B58E1"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 </w:t>
      </w:r>
      <w:r w:rsidR="00817CF5" w:rsidRPr="0042085E">
        <w:rPr>
          <w:rFonts w:ascii="Cambria" w:hAnsi="Cambria"/>
          <w:sz w:val="24"/>
          <w:szCs w:val="24"/>
        </w:rPr>
        <w:t xml:space="preserve">Paslaugų teikėjas taip pat privalo: </w:t>
      </w:r>
    </w:p>
    <w:p w14:paraId="4E24325E" w14:textId="77777777" w:rsidR="004A4FF9" w:rsidRPr="0042085E" w:rsidRDefault="00817CF5" w:rsidP="002035EB">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nedelsdamas informuoti Perkančiąją organizaciją apie visas su Inkasavimo paslauga susijusias problemas, taip pat apie nustatytas inkasuotų Pinigų kiekių neatitiktis Pinigų perdavimo/priėmimo dokumentuose (Pinigų pakuočių lydraščiuose) nurodytiems kiekiams (trūkumus, perteklius), apie įtariamus padirbtus inkasuotus Pinigus ir t. t.; </w:t>
      </w:r>
    </w:p>
    <w:p w14:paraId="5DAD3243" w14:textId="77777777" w:rsidR="004A4FF9" w:rsidRPr="0042085E" w:rsidRDefault="00817CF5" w:rsidP="002035EB">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iki Inkasavimo paslaugų teikimo pradžios (pirmojo Inkasavimo) pri</w:t>
      </w:r>
      <w:r w:rsidR="00992C96" w:rsidRPr="0042085E">
        <w:rPr>
          <w:rFonts w:ascii="Cambria" w:hAnsi="Cambria"/>
          <w:sz w:val="24"/>
          <w:szCs w:val="24"/>
        </w:rPr>
        <w:t xml:space="preserve">statyti į Pinigų paėmimo vietą </w:t>
      </w:r>
      <w:r w:rsidRPr="0042085E">
        <w:rPr>
          <w:rFonts w:ascii="Cambria" w:hAnsi="Cambria"/>
          <w:sz w:val="24"/>
          <w:szCs w:val="24"/>
        </w:rPr>
        <w:t xml:space="preserve">lipdukus (korteles), kuriuose turi būti nurodyta Inkasavimui reikalinga informacija; </w:t>
      </w:r>
    </w:p>
    <w:p w14:paraId="586E26AE" w14:textId="77777777" w:rsidR="007962D9" w:rsidRPr="0042085E" w:rsidRDefault="007962D9" w:rsidP="007962D9">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pateikti Perkančiajai organizacijai Inkasatorių identifikavimo kortelę, kurioje yra Inkasatoriaus Vardas, Pavardė ir pažymėjimo numeris, ne vėliau nei prieš 1 (vieną) darbo dieną iki Inkasavimo paslaugų teikimo pradžios;</w:t>
      </w:r>
    </w:p>
    <w:p w14:paraId="14CEC219" w14:textId="77777777" w:rsidR="004A4FF9" w:rsidRPr="0042085E" w:rsidRDefault="00817CF5" w:rsidP="007962D9">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 xml:space="preserve">inkasatorių identifikavimo duomenis, jų pasikeitimus, informaciją apie inkasatoriaus išėjimą iš darbo ir naujo inkasatoriaus įdarbinimą Perkančiajai organizacijai pateikti jos nurodytu elektroniniu paštu. </w:t>
      </w:r>
    </w:p>
    <w:p w14:paraId="5AF8E73D" w14:textId="77777777" w:rsidR="007962D9" w:rsidRPr="0042085E" w:rsidRDefault="007962D9" w:rsidP="007962D9">
      <w:pPr>
        <w:pStyle w:val="ListParagraph"/>
        <w:numPr>
          <w:ilvl w:val="2"/>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.Identifikavimo kortelė Perkančiajai organizacijai pateikti jos nurodytu elektroniniu paštu.</w:t>
      </w:r>
    </w:p>
    <w:p w14:paraId="19CBE4CE" w14:textId="77777777" w:rsidR="000240CD" w:rsidRPr="0042085E" w:rsidRDefault="00817CF5" w:rsidP="002035EB">
      <w:pPr>
        <w:pStyle w:val="ListParagraph"/>
        <w:numPr>
          <w:ilvl w:val="1"/>
          <w:numId w:val="3"/>
        </w:numPr>
        <w:tabs>
          <w:tab w:val="left" w:pos="851"/>
          <w:tab w:val="left" w:pos="993"/>
          <w:tab w:val="left" w:pos="1134"/>
        </w:tabs>
        <w:spacing w:line="240" w:lineRule="auto"/>
        <w:ind w:left="0" w:firstLine="567"/>
        <w:jc w:val="both"/>
        <w:rPr>
          <w:rFonts w:ascii="Cambria" w:hAnsi="Cambria"/>
          <w:sz w:val="24"/>
          <w:szCs w:val="24"/>
        </w:rPr>
      </w:pPr>
      <w:r w:rsidRPr="0042085E">
        <w:rPr>
          <w:rFonts w:ascii="Cambria" w:hAnsi="Cambria"/>
          <w:sz w:val="24"/>
          <w:szCs w:val="24"/>
        </w:rPr>
        <w:t>Paslaugų teikėjas turi užtikrinti, kad inkasatoriai Inkasavimo paslaugų teikimo metu turės Paslaugų teikėjo išduotus darbo pažymėjimus, kitus reikiamus dokumentus, visas kokybiškai teikti Inkasavimo paslaugas reikiamas technines, transporto, ryšio, amunicijos ir kitas priemones, taip pat vilkės tvarkingą Paslaugų teikėjo nustatytą uniformą (aprangą) su Paslaugų teikėjo skiriamaisiais ženklais ir avės Inkasavimo paslaugoms teikti tinkamą tvarkingą avalynę.</w:t>
      </w:r>
    </w:p>
    <w:p w14:paraId="3E157DEA" w14:textId="77777777" w:rsidR="00956DF6" w:rsidRPr="0042085E" w:rsidRDefault="00956DF6" w:rsidP="002035EB">
      <w:pPr>
        <w:tabs>
          <w:tab w:val="left" w:pos="851"/>
          <w:tab w:val="left" w:pos="993"/>
          <w:tab w:val="left" w:pos="1134"/>
        </w:tabs>
        <w:spacing w:line="240" w:lineRule="auto"/>
        <w:ind w:left="0" w:firstLine="0"/>
        <w:jc w:val="both"/>
        <w:rPr>
          <w:rFonts w:ascii="Cambria" w:hAnsi="Cambria"/>
          <w:sz w:val="24"/>
          <w:szCs w:val="24"/>
        </w:rPr>
      </w:pPr>
    </w:p>
    <w:p w14:paraId="218B7C1F" w14:textId="146DE90E" w:rsidR="003E78C1" w:rsidRPr="0042085E" w:rsidRDefault="003E78C1" w:rsidP="005D423E">
      <w:pPr>
        <w:tabs>
          <w:tab w:val="left" w:pos="5954"/>
          <w:tab w:val="left" w:pos="7371"/>
        </w:tabs>
        <w:ind w:left="0" w:firstLine="0"/>
        <w:jc w:val="both"/>
        <w:rPr>
          <w:rFonts w:ascii="Cambria" w:hAnsi="Cambria"/>
          <w:sz w:val="24"/>
          <w:szCs w:val="24"/>
        </w:rPr>
      </w:pPr>
      <w:bookmarkStart w:id="0" w:name="_GoBack"/>
      <w:bookmarkEnd w:id="0"/>
    </w:p>
    <w:sectPr w:rsidR="003E78C1" w:rsidRPr="0042085E" w:rsidSect="00C2105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B5212"/>
    <w:multiLevelType w:val="multilevel"/>
    <w:tmpl w:val="A6E070B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323261"/>
    <w:multiLevelType w:val="multilevel"/>
    <w:tmpl w:val="13E22DBE"/>
    <w:lvl w:ilvl="0">
      <w:start w:val="1"/>
      <w:numFmt w:val="decimal"/>
      <w:lvlText w:val="%1."/>
      <w:lvlJc w:val="left"/>
      <w:pPr>
        <w:ind w:left="927" w:hanging="360"/>
      </w:pPr>
      <w:rPr>
        <w:rFonts w:hint="default"/>
        <w:b w:val="0"/>
      </w:rPr>
    </w:lvl>
    <w:lvl w:ilvl="1">
      <w:start w:val="2"/>
      <w:numFmt w:val="decimal"/>
      <w:isLgl/>
      <w:lvlText w:val="%1.%2."/>
      <w:lvlJc w:val="left"/>
      <w:pPr>
        <w:ind w:left="1287"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 w15:restartNumberingAfterBreak="0">
    <w:nsid w:val="452730D4"/>
    <w:multiLevelType w:val="multilevel"/>
    <w:tmpl w:val="09323CF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BE31137"/>
    <w:multiLevelType w:val="multilevel"/>
    <w:tmpl w:val="2D8E2690"/>
    <w:lvl w:ilvl="0">
      <w:start w:val="1"/>
      <w:numFmt w:val="decimal"/>
      <w:lvlText w:val="%1"/>
      <w:lvlJc w:val="left"/>
      <w:pPr>
        <w:ind w:left="480" w:hanging="480"/>
      </w:pPr>
      <w:rPr>
        <w:rFonts w:hint="default"/>
      </w:rPr>
    </w:lvl>
    <w:lvl w:ilvl="1">
      <w:start w:val="6"/>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 w15:restartNumberingAfterBreak="0">
    <w:nsid w:val="5F725E94"/>
    <w:multiLevelType w:val="multilevel"/>
    <w:tmpl w:val="DD1617AE"/>
    <w:lvl w:ilvl="0">
      <w:start w:val="1"/>
      <w:numFmt w:val="decimal"/>
      <w:lvlText w:val="%1."/>
      <w:lvlJc w:val="left"/>
      <w:pPr>
        <w:ind w:left="927" w:hanging="360"/>
      </w:pPr>
      <w:rPr>
        <w:rFonts w:hint="default"/>
      </w:rPr>
    </w:lvl>
    <w:lvl w:ilvl="1">
      <w:start w:val="4"/>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F5"/>
    <w:rsid w:val="000240CD"/>
    <w:rsid w:val="00073B2E"/>
    <w:rsid w:val="00074A0F"/>
    <w:rsid w:val="00123C9F"/>
    <w:rsid w:val="00193769"/>
    <w:rsid w:val="002035EB"/>
    <w:rsid w:val="002037D3"/>
    <w:rsid w:val="002147DA"/>
    <w:rsid w:val="002458E6"/>
    <w:rsid w:val="002D5779"/>
    <w:rsid w:val="003046BA"/>
    <w:rsid w:val="003654DA"/>
    <w:rsid w:val="00384D75"/>
    <w:rsid w:val="003D0E6B"/>
    <w:rsid w:val="003E78C1"/>
    <w:rsid w:val="003F1697"/>
    <w:rsid w:val="0042085E"/>
    <w:rsid w:val="00437C3B"/>
    <w:rsid w:val="004A2C87"/>
    <w:rsid w:val="004A4FF9"/>
    <w:rsid w:val="004E589E"/>
    <w:rsid w:val="00554910"/>
    <w:rsid w:val="0056169A"/>
    <w:rsid w:val="005A3B48"/>
    <w:rsid w:val="005D423E"/>
    <w:rsid w:val="005F7CB1"/>
    <w:rsid w:val="00613706"/>
    <w:rsid w:val="006A599E"/>
    <w:rsid w:val="006F113E"/>
    <w:rsid w:val="00735692"/>
    <w:rsid w:val="007756F6"/>
    <w:rsid w:val="007962D9"/>
    <w:rsid w:val="007B58E1"/>
    <w:rsid w:val="007F4741"/>
    <w:rsid w:val="007F5062"/>
    <w:rsid w:val="00805AD6"/>
    <w:rsid w:val="00817CF5"/>
    <w:rsid w:val="008273C1"/>
    <w:rsid w:val="00834542"/>
    <w:rsid w:val="0088526A"/>
    <w:rsid w:val="008B22E0"/>
    <w:rsid w:val="00956DF6"/>
    <w:rsid w:val="0096481B"/>
    <w:rsid w:val="00992C96"/>
    <w:rsid w:val="00A26A5E"/>
    <w:rsid w:val="00A33C86"/>
    <w:rsid w:val="00A3538E"/>
    <w:rsid w:val="00B32554"/>
    <w:rsid w:val="00BE7E0F"/>
    <w:rsid w:val="00C2105E"/>
    <w:rsid w:val="00C92EE9"/>
    <w:rsid w:val="00DC6F36"/>
    <w:rsid w:val="00E03C0F"/>
    <w:rsid w:val="00E2578C"/>
    <w:rsid w:val="00F26C33"/>
    <w:rsid w:val="00F27F51"/>
    <w:rsid w:val="00F60E55"/>
    <w:rsid w:val="00F6128E"/>
    <w:rsid w:val="00F71D70"/>
    <w:rsid w:val="00FB6FF1"/>
    <w:rsid w:val="00FD4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24A1"/>
  <w15:docId w15:val="{7D892DBC-64E7-4D18-A29D-D333A65C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15"/>
        <w:szCs w:val="15"/>
        <w:lang w:val="lt-LT" w:eastAsia="en-US" w:bidi="ar-SA"/>
      </w:rPr>
    </w:rPrDefault>
    <w:pPrDefault>
      <w:pPr>
        <w:spacing w:line="360" w:lineRule="auto"/>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F9"/>
    <w:pPr>
      <w:ind w:left="720"/>
      <w:contextualSpacing/>
    </w:pPr>
  </w:style>
  <w:style w:type="paragraph" w:styleId="BalloonText">
    <w:name w:val="Balloon Text"/>
    <w:basedOn w:val="Normal"/>
    <w:link w:val="BalloonTextChar"/>
    <w:uiPriority w:val="99"/>
    <w:semiHidden/>
    <w:unhideWhenUsed/>
    <w:rsid w:val="00A26A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E34AA-FC9A-415A-87D0-CB2CC8DEE8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20CCD-5789-4947-9A1B-6540E6D5B7F8}">
  <ds:schemaRefs>
    <ds:schemaRef ds:uri="http://schemas.microsoft.com/sharepoint/v3/contenttype/forms"/>
  </ds:schemaRefs>
</ds:datastoreItem>
</file>

<file path=customXml/itemProps3.xml><?xml version="1.0" encoding="utf-8"?>
<ds:datastoreItem xmlns:ds="http://schemas.openxmlformats.org/officeDocument/2006/customXml" ds:itemID="{3B18352C-4F3E-4128-8ED0-49111A1E2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00D73A-22C2-4B77-8C3B-A1C86FB6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3603</Words>
  <Characters>2055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KMUK</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Vaikchir</dc:creator>
  <cp:keywords/>
  <dc:description/>
  <cp:lastModifiedBy>Deimantė Valavičiūtė</cp:lastModifiedBy>
  <cp:revision>3</cp:revision>
  <cp:lastPrinted>2026-04-24T10:28:00Z</cp:lastPrinted>
  <dcterms:created xsi:type="dcterms:W3CDTF">2026-04-24T10:29:00Z</dcterms:created>
  <dcterms:modified xsi:type="dcterms:W3CDTF">2026-04-24T10:33:00Z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