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7F43" w14:textId="11B6F4B6" w:rsidR="00B4461A" w:rsidRPr="00581181" w:rsidRDefault="00B4461A" w:rsidP="00B4461A">
      <w:pPr>
        <w:contextualSpacing/>
        <w:jc w:val="right"/>
        <w:rPr>
          <w:b/>
          <w:bCs/>
        </w:rPr>
      </w:pPr>
      <w:r w:rsidRPr="00581181">
        <w:rPr>
          <w:b/>
          <w:bCs/>
        </w:rPr>
        <w:t>1 priedas</w:t>
      </w:r>
    </w:p>
    <w:p w14:paraId="434E757D" w14:textId="65435D98" w:rsidR="00B4461A" w:rsidRPr="00B4461A" w:rsidRDefault="00B4461A" w:rsidP="00B4461A">
      <w:pPr>
        <w:contextualSpacing/>
        <w:rPr>
          <w:b/>
          <w:bCs/>
        </w:rPr>
      </w:pPr>
      <w:r w:rsidRPr="00B4461A">
        <w:rPr>
          <w:b/>
          <w:bCs/>
        </w:rPr>
        <w:t>Techninė specifikacija</w:t>
      </w:r>
    </w:p>
    <w:p w14:paraId="33FE065E" w14:textId="77777777" w:rsidR="00B4461A" w:rsidRPr="00B4461A" w:rsidRDefault="00B4461A" w:rsidP="00B4461A">
      <w:pPr>
        <w:contextualSpacing/>
        <w:rPr>
          <w:b/>
          <w:bCs/>
        </w:rPr>
      </w:pPr>
      <w:r w:rsidRPr="00B4461A">
        <w:rPr>
          <w:b/>
          <w:bCs/>
        </w:rPr>
        <w:t>Saulės elektrinės ir hibridinės energijos kaupimo sistemos techniniai bei funkciniai reikalavimai</w:t>
      </w:r>
    </w:p>
    <w:p w14:paraId="33470257" w14:textId="77777777" w:rsidR="00B4461A" w:rsidRPr="00B4461A" w:rsidRDefault="00B4461A" w:rsidP="00B4461A">
      <w:pPr>
        <w:contextualSpacing/>
        <w:rPr>
          <w:b/>
          <w:bCs/>
        </w:rPr>
      </w:pPr>
      <w:r w:rsidRPr="00B4461A">
        <w:rPr>
          <w:b/>
          <w:bCs/>
        </w:rPr>
        <w:t>1. Techninės specifikacijos paskirtis</w:t>
      </w:r>
    </w:p>
    <w:p w14:paraId="4631944E" w14:textId="77777777" w:rsidR="00B4461A" w:rsidRPr="00B4461A" w:rsidRDefault="00B4461A" w:rsidP="00B4461A">
      <w:pPr>
        <w:contextualSpacing/>
      </w:pPr>
      <w:r w:rsidRPr="00B4461A">
        <w:t>1.1. Ši techninė specifikacija nustato minimalius techninius, funkcinius, integravimo, kokybės, saugos ir eksploatacinius reikalavimus saulės elektrinės, hibridinės energijos kaupimo sistemos ir jų valdymo sprendiniams.</w:t>
      </w:r>
    </w:p>
    <w:p w14:paraId="3885DEB9" w14:textId="710F035E" w:rsidR="00B4461A" w:rsidRPr="00B4461A" w:rsidRDefault="00B4461A" w:rsidP="00B4461A">
      <w:pPr>
        <w:contextualSpacing/>
      </w:pPr>
      <w:r w:rsidRPr="00B4461A">
        <w:t>1.</w:t>
      </w:r>
      <w:r>
        <w:t>2</w:t>
      </w:r>
      <w:r w:rsidRPr="00B4461A">
        <w:t>. Visi šiame dokumente nurodyti parametrai yra minimalūs, išskyrus atvejus, kai aiškiai nurodyta kitaip. Leidžiami lygiaverčiai arba geresni sprendiniai, jeigu jie užtikrina ne prastesnį funkcionalumą, saugą, suderinamumą, patikimumą ir eksploatacines savybes.</w:t>
      </w:r>
    </w:p>
    <w:p w14:paraId="02BE262B" w14:textId="0E1EFF80" w:rsidR="00B4461A" w:rsidRDefault="00B4461A" w:rsidP="00B4461A">
      <w:pPr>
        <w:contextualSpacing/>
      </w:pPr>
      <w:r w:rsidRPr="00B4461A">
        <w:t>1.</w:t>
      </w:r>
      <w:r>
        <w:t>3</w:t>
      </w:r>
      <w:r w:rsidRPr="00B4461A">
        <w:t>. Jeigu techninėje specifikacijoje nurodomas konkretus standartas, sertifikatas, gamintojas, modelis, prekės ženklas, konstrukcinis sprendinys ar technologija, toks nurodymas suprantamas kaip reikalaujamo techninio, funkcinio ar kokybės lygio apibūdinimas. Tiekėjas gali siūlyti lygiaverčius sprendinius.</w:t>
      </w:r>
    </w:p>
    <w:p w14:paraId="624B4D05" w14:textId="5831CC91" w:rsidR="000F4ACC" w:rsidRPr="00B4461A" w:rsidRDefault="000F4ACC" w:rsidP="00B4461A">
      <w:pPr>
        <w:contextualSpacing/>
      </w:pPr>
      <w:r>
        <w:t xml:space="preserve">1.4. </w:t>
      </w:r>
      <w:r>
        <w:t>Šioje techninėje specifikacijoje vartojama sąvoka „Perkantysis subjektas“ sutarties vykdymo metu atitinka sutartyje vartojamą sąvoką „Užsakovas“.</w:t>
      </w:r>
    </w:p>
    <w:p w14:paraId="53CAF39F" w14:textId="77777777" w:rsidR="00B4461A" w:rsidRPr="00B4461A" w:rsidRDefault="00B4461A" w:rsidP="00B4461A">
      <w:pPr>
        <w:contextualSpacing/>
        <w:rPr>
          <w:b/>
          <w:bCs/>
        </w:rPr>
      </w:pPr>
      <w:r w:rsidRPr="00B4461A">
        <w:rPr>
          <w:b/>
          <w:bCs/>
        </w:rPr>
        <w:t>2. Sistemos paskirtis ir siekiamas funkcinis rezultatas</w:t>
      </w:r>
    </w:p>
    <w:p w14:paraId="2BF0F6DA" w14:textId="77777777" w:rsidR="00B4461A" w:rsidRPr="00B4461A" w:rsidRDefault="00B4461A" w:rsidP="00B4461A">
      <w:pPr>
        <w:contextualSpacing/>
      </w:pPr>
      <w:r w:rsidRPr="00B4461A">
        <w:t>2.1. Sistema skirta elektrinių autobusų įkrovimo infrastruktūros energijos poreikiui dengti, naudojant saulės elektrinės generuojamą elektros energiją ir LFP baterijų kaupiklį.</w:t>
      </w:r>
    </w:p>
    <w:p w14:paraId="563ADCBD" w14:textId="77777777" w:rsidR="00B4461A" w:rsidRPr="00B4461A" w:rsidRDefault="00B4461A" w:rsidP="00B4461A">
      <w:pPr>
        <w:contextualSpacing/>
      </w:pPr>
      <w:r w:rsidRPr="00B4461A">
        <w:t>2.2. Sistema turi užtikrinti šiuos funkcinius rezultatus:</w:t>
      </w:r>
    </w:p>
    <w:p w14:paraId="2B332CCE" w14:textId="77777777" w:rsidR="00B4461A" w:rsidRPr="00B4461A" w:rsidRDefault="00B4461A" w:rsidP="00B4461A">
      <w:pPr>
        <w:contextualSpacing/>
      </w:pPr>
      <w:r w:rsidRPr="00B4461A">
        <w:t>2.2.1. saulės energijos generavimą;</w:t>
      </w:r>
    </w:p>
    <w:p w14:paraId="654AB51F" w14:textId="77777777" w:rsidR="00B4461A" w:rsidRPr="00B4461A" w:rsidRDefault="00B4461A" w:rsidP="00B4461A">
      <w:pPr>
        <w:contextualSpacing/>
      </w:pPr>
      <w:r w:rsidRPr="00B4461A">
        <w:t>2.2.2. prioritetinį saulės energijos naudojimą autobusų įkrovimo infrastruktūros apkrovoms;</w:t>
      </w:r>
    </w:p>
    <w:p w14:paraId="7E1361BD" w14:textId="77777777" w:rsidR="00B4461A" w:rsidRPr="00B4461A" w:rsidRDefault="00B4461A" w:rsidP="00B4461A">
      <w:pPr>
        <w:contextualSpacing/>
      </w:pPr>
      <w:r w:rsidRPr="00B4461A">
        <w:t>2.2.3. perteklinės saulės energijos nukreipimą baterijos įkrovimui, kai tai leidžia sistemos darbo režimas ir techninės sąlygos;</w:t>
      </w:r>
    </w:p>
    <w:p w14:paraId="48999D0D" w14:textId="77777777" w:rsidR="00B4461A" w:rsidRPr="00B4461A" w:rsidRDefault="00B4461A" w:rsidP="00B4461A">
      <w:pPr>
        <w:contextualSpacing/>
      </w:pPr>
      <w:r w:rsidRPr="00B4461A">
        <w:t>2.2.4. baterijos energijos naudojimą autobusų įkrovimo infrastruktūros galios poreikiui dengti, kai saulės generacijos nepakanka arba reikalingas papildomas galios rezervas;</w:t>
      </w:r>
    </w:p>
    <w:p w14:paraId="482ACC45" w14:textId="77777777" w:rsidR="00B4461A" w:rsidRPr="00B4461A" w:rsidRDefault="00B4461A" w:rsidP="00B4461A">
      <w:pPr>
        <w:contextualSpacing/>
      </w:pPr>
      <w:r w:rsidRPr="00B4461A">
        <w:t>2.2.5. nuolatinį vietinį galios balansavimą tarp elektros tinklo, saulės elektrinės, baterijos ir autobusų įkrovimo infrastruktūros;</w:t>
      </w:r>
    </w:p>
    <w:p w14:paraId="2CEB5706" w14:textId="77777777" w:rsidR="00B4461A" w:rsidRPr="00B4461A" w:rsidRDefault="00B4461A" w:rsidP="00B4461A">
      <w:pPr>
        <w:contextualSpacing/>
      </w:pPr>
      <w:r w:rsidRPr="00B4461A">
        <w:t>2.2.6. momentinių galios šuolių mažinimą ir galios rezervo sudarymą, nepažeidžiant tinklo operatoriaus nustatytų ribojimų;</w:t>
      </w:r>
    </w:p>
    <w:p w14:paraId="5B76407E" w14:textId="77777777" w:rsidR="00B4461A" w:rsidRPr="00B4461A" w:rsidRDefault="00B4461A" w:rsidP="00B4461A">
      <w:pPr>
        <w:contextualSpacing/>
      </w:pPr>
      <w:r w:rsidRPr="00B4461A">
        <w:t>2.2.7. lokalų sistemos stebėjimą, parametrų nustatymą ir valdymą LAN tinkle;</w:t>
      </w:r>
    </w:p>
    <w:p w14:paraId="62950E45" w14:textId="77777777" w:rsidR="00B4461A" w:rsidRPr="00B4461A" w:rsidRDefault="00B4461A" w:rsidP="00B4461A">
      <w:pPr>
        <w:contextualSpacing/>
      </w:pPr>
      <w:r w:rsidRPr="00B4461A">
        <w:t>2.2.8. techninę galimybę ateityje pritaikyti sistemą elektros energijos biržos kainų sekimui ir baterijos įkrovimui ekonomiškai palankiu metu.</w:t>
      </w:r>
    </w:p>
    <w:p w14:paraId="0B514782" w14:textId="77777777" w:rsidR="00B4461A" w:rsidRPr="00B4461A" w:rsidRDefault="00B4461A" w:rsidP="00B4461A">
      <w:pPr>
        <w:contextualSpacing/>
        <w:rPr>
          <w:b/>
          <w:bCs/>
        </w:rPr>
      </w:pPr>
      <w:r w:rsidRPr="00B4461A">
        <w:rPr>
          <w:b/>
          <w:bCs/>
        </w:rPr>
        <w:t>3. Minimalūs pagrindiniai sistemos parametrai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4"/>
        <w:gridCol w:w="5536"/>
      </w:tblGrid>
      <w:tr w:rsidR="00B4461A" w:rsidRPr="00B4461A" w14:paraId="79C35FC0" w14:textId="77777777">
        <w:trPr>
          <w:tblHeader/>
          <w:tblCellSpacing w:w="15" w:type="dxa"/>
        </w:trPr>
        <w:tc>
          <w:tcPr>
            <w:tcW w:w="0" w:type="auto"/>
            <w:vAlign w:val="center"/>
            <w:hideMark/>
          </w:tcPr>
          <w:p w14:paraId="483102EB" w14:textId="77777777" w:rsidR="00B4461A" w:rsidRPr="00B4461A" w:rsidRDefault="00B4461A" w:rsidP="00B4461A">
            <w:pPr>
              <w:contextualSpacing/>
              <w:rPr>
                <w:b/>
                <w:bCs/>
              </w:rPr>
            </w:pPr>
            <w:r w:rsidRPr="00B4461A">
              <w:rPr>
                <w:b/>
                <w:bCs/>
              </w:rPr>
              <w:t>Parametras</w:t>
            </w:r>
          </w:p>
        </w:tc>
        <w:tc>
          <w:tcPr>
            <w:tcW w:w="0" w:type="auto"/>
            <w:vAlign w:val="center"/>
            <w:hideMark/>
          </w:tcPr>
          <w:p w14:paraId="1B49D028" w14:textId="77777777" w:rsidR="00B4461A" w:rsidRPr="00B4461A" w:rsidRDefault="00B4461A" w:rsidP="00B4461A">
            <w:pPr>
              <w:contextualSpacing/>
              <w:rPr>
                <w:b/>
                <w:bCs/>
              </w:rPr>
            </w:pPr>
            <w:r w:rsidRPr="00B4461A">
              <w:rPr>
                <w:b/>
                <w:bCs/>
              </w:rPr>
              <w:t>Minimalus reikalavimas</w:t>
            </w:r>
          </w:p>
        </w:tc>
      </w:tr>
      <w:tr w:rsidR="00B4461A" w:rsidRPr="00B4461A" w14:paraId="5F905602" w14:textId="77777777">
        <w:trPr>
          <w:tblCellSpacing w:w="15" w:type="dxa"/>
        </w:trPr>
        <w:tc>
          <w:tcPr>
            <w:tcW w:w="0" w:type="auto"/>
            <w:vAlign w:val="center"/>
            <w:hideMark/>
          </w:tcPr>
          <w:p w14:paraId="573D450E" w14:textId="77777777" w:rsidR="00B4461A" w:rsidRPr="00B4461A" w:rsidRDefault="00B4461A" w:rsidP="00B4461A">
            <w:pPr>
              <w:contextualSpacing/>
            </w:pPr>
            <w:r w:rsidRPr="00B4461A">
              <w:t>Saulės modulių bendra įrengtoji DC galia</w:t>
            </w:r>
          </w:p>
        </w:tc>
        <w:tc>
          <w:tcPr>
            <w:tcW w:w="0" w:type="auto"/>
            <w:vAlign w:val="center"/>
            <w:hideMark/>
          </w:tcPr>
          <w:p w14:paraId="648F111C" w14:textId="77777777" w:rsidR="00B4461A" w:rsidRPr="00B4461A" w:rsidRDefault="00B4461A" w:rsidP="00B4461A">
            <w:pPr>
              <w:contextualSpacing/>
            </w:pPr>
            <w:r w:rsidRPr="00B4461A">
              <w:t xml:space="preserve">ne mažiau kaip 55 </w:t>
            </w:r>
            <w:proofErr w:type="spellStart"/>
            <w:r w:rsidRPr="00B4461A">
              <w:t>kWp</w:t>
            </w:r>
            <w:proofErr w:type="spellEnd"/>
          </w:p>
        </w:tc>
      </w:tr>
      <w:tr w:rsidR="00B4461A" w:rsidRPr="00B4461A" w14:paraId="7E5EEF20" w14:textId="77777777">
        <w:trPr>
          <w:tblCellSpacing w:w="15" w:type="dxa"/>
        </w:trPr>
        <w:tc>
          <w:tcPr>
            <w:tcW w:w="0" w:type="auto"/>
            <w:vAlign w:val="center"/>
            <w:hideMark/>
          </w:tcPr>
          <w:p w14:paraId="3F4067B7" w14:textId="77777777" w:rsidR="00B4461A" w:rsidRPr="00B4461A" w:rsidRDefault="00B4461A" w:rsidP="00B4461A">
            <w:pPr>
              <w:contextualSpacing/>
            </w:pPr>
            <w:r w:rsidRPr="00B4461A">
              <w:t>Hibridinės sistemos nominali AC galia generacijai iš saulės ir / arba baterijos</w:t>
            </w:r>
          </w:p>
        </w:tc>
        <w:tc>
          <w:tcPr>
            <w:tcW w:w="0" w:type="auto"/>
            <w:vAlign w:val="center"/>
            <w:hideMark/>
          </w:tcPr>
          <w:p w14:paraId="24D79AEB" w14:textId="77777777" w:rsidR="00B4461A" w:rsidRPr="00B4461A" w:rsidRDefault="00B4461A" w:rsidP="00B4461A">
            <w:pPr>
              <w:contextualSpacing/>
            </w:pPr>
            <w:r w:rsidRPr="00B4461A">
              <w:t>ne mažiau kaip 100 kW</w:t>
            </w:r>
          </w:p>
        </w:tc>
      </w:tr>
      <w:tr w:rsidR="00B4461A" w:rsidRPr="00B4461A" w14:paraId="422E450E" w14:textId="77777777">
        <w:trPr>
          <w:tblCellSpacing w:w="15" w:type="dxa"/>
        </w:trPr>
        <w:tc>
          <w:tcPr>
            <w:tcW w:w="0" w:type="auto"/>
            <w:vAlign w:val="center"/>
            <w:hideMark/>
          </w:tcPr>
          <w:p w14:paraId="1B08A2F3" w14:textId="77777777" w:rsidR="00B4461A" w:rsidRPr="00B4461A" w:rsidRDefault="00B4461A" w:rsidP="00B4461A">
            <w:pPr>
              <w:contextualSpacing/>
            </w:pPr>
            <w:r w:rsidRPr="00B4461A">
              <w:t>Baterijos technologija</w:t>
            </w:r>
          </w:p>
        </w:tc>
        <w:tc>
          <w:tcPr>
            <w:tcW w:w="0" w:type="auto"/>
            <w:vAlign w:val="center"/>
            <w:hideMark/>
          </w:tcPr>
          <w:p w14:paraId="356015BA" w14:textId="77777777" w:rsidR="00B4461A" w:rsidRPr="00B4461A" w:rsidRDefault="00B4461A" w:rsidP="00B4461A">
            <w:pPr>
              <w:contextualSpacing/>
            </w:pPr>
            <w:r w:rsidRPr="00B4461A">
              <w:t>LFP, ličio geležies fosfato</w:t>
            </w:r>
          </w:p>
        </w:tc>
      </w:tr>
      <w:tr w:rsidR="00B4461A" w:rsidRPr="00B4461A" w14:paraId="1C4CBDDD" w14:textId="77777777">
        <w:trPr>
          <w:tblCellSpacing w:w="15" w:type="dxa"/>
        </w:trPr>
        <w:tc>
          <w:tcPr>
            <w:tcW w:w="0" w:type="auto"/>
            <w:vAlign w:val="center"/>
            <w:hideMark/>
          </w:tcPr>
          <w:p w14:paraId="041C04AE" w14:textId="77777777" w:rsidR="00B4461A" w:rsidRPr="00B4461A" w:rsidRDefault="00B4461A" w:rsidP="00B4461A">
            <w:pPr>
              <w:contextualSpacing/>
            </w:pPr>
            <w:r w:rsidRPr="00B4461A">
              <w:t>Baterijos nominali talpa</w:t>
            </w:r>
          </w:p>
        </w:tc>
        <w:tc>
          <w:tcPr>
            <w:tcW w:w="0" w:type="auto"/>
            <w:vAlign w:val="center"/>
            <w:hideMark/>
          </w:tcPr>
          <w:p w14:paraId="41EC2B7A" w14:textId="77777777" w:rsidR="00B4461A" w:rsidRPr="00B4461A" w:rsidRDefault="00B4461A" w:rsidP="00B4461A">
            <w:pPr>
              <w:contextualSpacing/>
            </w:pPr>
            <w:r w:rsidRPr="00B4461A">
              <w:t>ne mažiau kaip 210 kWh</w:t>
            </w:r>
          </w:p>
        </w:tc>
      </w:tr>
      <w:tr w:rsidR="00B4461A" w:rsidRPr="00B4461A" w14:paraId="6A42407A" w14:textId="77777777">
        <w:trPr>
          <w:tblCellSpacing w:w="15" w:type="dxa"/>
        </w:trPr>
        <w:tc>
          <w:tcPr>
            <w:tcW w:w="0" w:type="auto"/>
            <w:vAlign w:val="center"/>
            <w:hideMark/>
          </w:tcPr>
          <w:p w14:paraId="471C9942" w14:textId="77777777" w:rsidR="00B4461A" w:rsidRPr="00B4461A" w:rsidRDefault="00B4461A" w:rsidP="00B4461A">
            <w:pPr>
              <w:contextualSpacing/>
            </w:pPr>
            <w:r w:rsidRPr="00B4461A">
              <w:lastRenderedPageBreak/>
              <w:t>Saulės energijos įėjimai / MPPT</w:t>
            </w:r>
          </w:p>
        </w:tc>
        <w:tc>
          <w:tcPr>
            <w:tcW w:w="0" w:type="auto"/>
            <w:vAlign w:val="center"/>
            <w:hideMark/>
          </w:tcPr>
          <w:p w14:paraId="2F3047E1" w14:textId="77777777" w:rsidR="00B4461A" w:rsidRPr="00B4461A" w:rsidRDefault="00B4461A" w:rsidP="00B4461A">
            <w:pPr>
              <w:contextualSpacing/>
            </w:pPr>
            <w:r w:rsidRPr="00B4461A">
              <w:t>ne mažiau kaip 4 MPPT arba lygiavertis sprendinys, užtikrinantis ne prastesnį kelių saulės modulių grandinių valdymą</w:t>
            </w:r>
          </w:p>
        </w:tc>
      </w:tr>
      <w:tr w:rsidR="00B4461A" w:rsidRPr="00B4461A" w14:paraId="2AFF2E74" w14:textId="77777777">
        <w:trPr>
          <w:tblCellSpacing w:w="15" w:type="dxa"/>
        </w:trPr>
        <w:tc>
          <w:tcPr>
            <w:tcW w:w="0" w:type="auto"/>
            <w:vAlign w:val="center"/>
            <w:hideMark/>
          </w:tcPr>
          <w:p w14:paraId="0AB07BF0" w14:textId="77777777" w:rsidR="00B4461A" w:rsidRPr="00B4461A" w:rsidRDefault="00B4461A" w:rsidP="00B4461A">
            <w:pPr>
              <w:contextualSpacing/>
            </w:pPr>
            <w:r w:rsidRPr="00B4461A">
              <w:t>Bendra prijungiamų saulės modulių galia</w:t>
            </w:r>
          </w:p>
        </w:tc>
        <w:tc>
          <w:tcPr>
            <w:tcW w:w="0" w:type="auto"/>
            <w:vAlign w:val="center"/>
            <w:hideMark/>
          </w:tcPr>
          <w:p w14:paraId="2F8F6414" w14:textId="77777777" w:rsidR="00B4461A" w:rsidRPr="00B4461A" w:rsidRDefault="00B4461A" w:rsidP="00B4461A">
            <w:pPr>
              <w:contextualSpacing/>
            </w:pPr>
            <w:r w:rsidRPr="00B4461A">
              <w:t xml:space="preserve">ne mažiau kaip 55 </w:t>
            </w:r>
            <w:proofErr w:type="spellStart"/>
            <w:r w:rsidRPr="00B4461A">
              <w:t>kWp</w:t>
            </w:r>
            <w:proofErr w:type="spellEnd"/>
          </w:p>
        </w:tc>
      </w:tr>
      <w:tr w:rsidR="00B4461A" w:rsidRPr="00B4461A" w14:paraId="3504D8C7" w14:textId="77777777">
        <w:trPr>
          <w:tblCellSpacing w:w="15" w:type="dxa"/>
        </w:trPr>
        <w:tc>
          <w:tcPr>
            <w:tcW w:w="0" w:type="auto"/>
            <w:vAlign w:val="center"/>
            <w:hideMark/>
          </w:tcPr>
          <w:p w14:paraId="1AA5F428" w14:textId="77777777" w:rsidR="00B4461A" w:rsidRPr="00B4461A" w:rsidRDefault="00B4461A" w:rsidP="00B4461A">
            <w:pPr>
              <w:contextualSpacing/>
            </w:pPr>
            <w:r w:rsidRPr="00B4461A">
              <w:t>Nominali AC įtampa</w:t>
            </w:r>
          </w:p>
        </w:tc>
        <w:tc>
          <w:tcPr>
            <w:tcW w:w="0" w:type="auto"/>
            <w:vAlign w:val="center"/>
            <w:hideMark/>
          </w:tcPr>
          <w:p w14:paraId="6B94581A" w14:textId="77777777" w:rsidR="00B4461A" w:rsidRPr="00B4461A" w:rsidRDefault="00B4461A" w:rsidP="00B4461A">
            <w:pPr>
              <w:contextualSpacing/>
            </w:pPr>
            <w:r w:rsidRPr="00B4461A">
              <w:t>400 V, 50 Hz, 3 fazės, suderinama su objekto elektros sistema</w:t>
            </w:r>
          </w:p>
        </w:tc>
      </w:tr>
    </w:tbl>
    <w:p w14:paraId="15FD2389" w14:textId="77777777" w:rsidR="00B4461A" w:rsidRPr="00B4461A" w:rsidRDefault="00B4461A" w:rsidP="00B4461A">
      <w:pPr>
        <w:contextualSpacing/>
      </w:pPr>
      <w:r w:rsidRPr="00B4461A">
        <w:t>3.1. Saulės modulių kiekis turi būti parinktas taip, kad būtų užpildytos numatytos tvirtinimo konstrukcijos ir nebūtų paliekami tušti moduliams skirti rėmai ar konstrukcijų vietos.</w:t>
      </w:r>
    </w:p>
    <w:p w14:paraId="2B48FF0F" w14:textId="77777777" w:rsidR="00B4461A" w:rsidRPr="00B4461A" w:rsidRDefault="00B4461A" w:rsidP="00B4461A">
      <w:pPr>
        <w:contextualSpacing/>
      </w:pPr>
      <w:r w:rsidRPr="00B4461A">
        <w:t>3.2. Galutiniai DC ir AC galios, apsaugų, kabelių, galios ribojimo, balansavimo ir prijungimo sprendiniai turi būti pagrįsti projektuotojo skaičiavimais ir suderinami su esama elektros infrastruktūra.</w:t>
      </w:r>
    </w:p>
    <w:p w14:paraId="2A6DB672" w14:textId="77777777" w:rsidR="00B4461A" w:rsidRPr="00B4461A" w:rsidRDefault="00B4461A" w:rsidP="00B4461A">
      <w:pPr>
        <w:contextualSpacing/>
        <w:rPr>
          <w:b/>
          <w:bCs/>
        </w:rPr>
      </w:pPr>
      <w:r w:rsidRPr="00B4461A">
        <w:rPr>
          <w:b/>
          <w:bCs/>
        </w:rPr>
        <w:t>4. Saulės modulių reikalavimai</w:t>
      </w:r>
    </w:p>
    <w:p w14:paraId="4DFCFEA4" w14:textId="77777777" w:rsidR="00B4461A" w:rsidRPr="00B4461A" w:rsidRDefault="00B4461A" w:rsidP="00B4461A">
      <w:pPr>
        <w:contextualSpacing/>
      </w:pPr>
      <w:r w:rsidRPr="00B4461A">
        <w:t>4.1. Saulės moduliai turi būti nauji, nenaudoti, skirti ilgalaikiam darbui lauko sąlygomis ir tinkami antžeminėms saulės elektrinėms.</w:t>
      </w:r>
    </w:p>
    <w:p w14:paraId="7DC1C180" w14:textId="77777777" w:rsidR="00B4461A" w:rsidRPr="00B4461A" w:rsidRDefault="00B4461A" w:rsidP="00B4461A">
      <w:pPr>
        <w:contextualSpacing/>
      </w:pPr>
      <w:r w:rsidRPr="00B4461A">
        <w:t>4.2. Minimalūs saulės modulių techniniai parametrai: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7"/>
        <w:gridCol w:w="5783"/>
      </w:tblGrid>
      <w:tr w:rsidR="00B4461A" w:rsidRPr="00B4461A" w14:paraId="7062FA8C" w14:textId="77777777">
        <w:trPr>
          <w:tblHeader/>
          <w:tblCellSpacing w:w="15" w:type="dxa"/>
        </w:trPr>
        <w:tc>
          <w:tcPr>
            <w:tcW w:w="0" w:type="auto"/>
            <w:vAlign w:val="center"/>
            <w:hideMark/>
          </w:tcPr>
          <w:p w14:paraId="0D29493C" w14:textId="77777777" w:rsidR="00B4461A" w:rsidRPr="00B4461A" w:rsidRDefault="00B4461A" w:rsidP="00B4461A">
            <w:pPr>
              <w:contextualSpacing/>
              <w:rPr>
                <w:b/>
                <w:bCs/>
              </w:rPr>
            </w:pPr>
            <w:r w:rsidRPr="00B4461A">
              <w:rPr>
                <w:b/>
                <w:bCs/>
              </w:rPr>
              <w:t>Parametras</w:t>
            </w:r>
          </w:p>
        </w:tc>
        <w:tc>
          <w:tcPr>
            <w:tcW w:w="0" w:type="auto"/>
            <w:vAlign w:val="center"/>
            <w:hideMark/>
          </w:tcPr>
          <w:p w14:paraId="03EB2E7C" w14:textId="77777777" w:rsidR="00B4461A" w:rsidRPr="00B4461A" w:rsidRDefault="00B4461A" w:rsidP="00B4461A">
            <w:pPr>
              <w:contextualSpacing/>
              <w:rPr>
                <w:b/>
                <w:bCs/>
              </w:rPr>
            </w:pPr>
            <w:r w:rsidRPr="00B4461A">
              <w:rPr>
                <w:b/>
                <w:bCs/>
              </w:rPr>
              <w:t>Minimalus reikalavimas</w:t>
            </w:r>
          </w:p>
        </w:tc>
      </w:tr>
      <w:tr w:rsidR="00B4461A" w:rsidRPr="00B4461A" w14:paraId="409D2957" w14:textId="77777777">
        <w:trPr>
          <w:tblCellSpacing w:w="15" w:type="dxa"/>
        </w:trPr>
        <w:tc>
          <w:tcPr>
            <w:tcW w:w="0" w:type="auto"/>
            <w:vAlign w:val="center"/>
            <w:hideMark/>
          </w:tcPr>
          <w:p w14:paraId="2032D335" w14:textId="77777777" w:rsidR="00B4461A" w:rsidRPr="00B4461A" w:rsidRDefault="00B4461A" w:rsidP="00B4461A">
            <w:pPr>
              <w:contextualSpacing/>
            </w:pPr>
            <w:r w:rsidRPr="00B4461A">
              <w:t>Vieno modulio maksimali galia STC sąlygomis</w:t>
            </w:r>
          </w:p>
        </w:tc>
        <w:tc>
          <w:tcPr>
            <w:tcW w:w="0" w:type="auto"/>
            <w:vAlign w:val="center"/>
            <w:hideMark/>
          </w:tcPr>
          <w:p w14:paraId="58DD65F4" w14:textId="77777777" w:rsidR="00B4461A" w:rsidRPr="00B4461A" w:rsidRDefault="00B4461A" w:rsidP="00B4461A">
            <w:pPr>
              <w:contextualSpacing/>
            </w:pPr>
            <w:r w:rsidRPr="00B4461A">
              <w:t>ne mažiau kaip 600 W</w:t>
            </w:r>
          </w:p>
        </w:tc>
      </w:tr>
      <w:tr w:rsidR="00B4461A" w:rsidRPr="00B4461A" w14:paraId="233DD284" w14:textId="77777777">
        <w:trPr>
          <w:tblCellSpacing w:w="15" w:type="dxa"/>
        </w:trPr>
        <w:tc>
          <w:tcPr>
            <w:tcW w:w="0" w:type="auto"/>
            <w:vAlign w:val="center"/>
            <w:hideMark/>
          </w:tcPr>
          <w:p w14:paraId="6847D76E" w14:textId="77777777" w:rsidR="00B4461A" w:rsidRPr="00B4461A" w:rsidRDefault="00B4461A" w:rsidP="00B4461A">
            <w:pPr>
              <w:contextualSpacing/>
            </w:pPr>
            <w:r w:rsidRPr="00B4461A">
              <w:t>Modulio efektyvumas</w:t>
            </w:r>
          </w:p>
        </w:tc>
        <w:tc>
          <w:tcPr>
            <w:tcW w:w="0" w:type="auto"/>
            <w:vAlign w:val="center"/>
            <w:hideMark/>
          </w:tcPr>
          <w:p w14:paraId="27207539" w14:textId="77777777" w:rsidR="00B4461A" w:rsidRPr="00B4461A" w:rsidRDefault="00B4461A" w:rsidP="00B4461A">
            <w:pPr>
              <w:contextualSpacing/>
            </w:pPr>
            <w:r w:rsidRPr="00B4461A">
              <w:t>ne mažiau kaip 23,2 %</w:t>
            </w:r>
          </w:p>
        </w:tc>
      </w:tr>
      <w:tr w:rsidR="00B4461A" w:rsidRPr="00B4461A" w14:paraId="5E6483D5" w14:textId="77777777">
        <w:trPr>
          <w:tblCellSpacing w:w="15" w:type="dxa"/>
        </w:trPr>
        <w:tc>
          <w:tcPr>
            <w:tcW w:w="0" w:type="auto"/>
            <w:vAlign w:val="center"/>
            <w:hideMark/>
          </w:tcPr>
          <w:p w14:paraId="15C1DE62" w14:textId="77777777" w:rsidR="00B4461A" w:rsidRPr="00B4461A" w:rsidRDefault="00B4461A" w:rsidP="00B4461A">
            <w:pPr>
              <w:contextualSpacing/>
            </w:pPr>
            <w:r w:rsidRPr="00B4461A">
              <w:t>Modulio technologija</w:t>
            </w:r>
          </w:p>
        </w:tc>
        <w:tc>
          <w:tcPr>
            <w:tcW w:w="0" w:type="auto"/>
            <w:vAlign w:val="center"/>
            <w:hideMark/>
          </w:tcPr>
          <w:p w14:paraId="497D1391" w14:textId="77777777" w:rsidR="00B4461A" w:rsidRPr="00B4461A" w:rsidRDefault="00B4461A" w:rsidP="00B4461A">
            <w:pPr>
              <w:contextualSpacing/>
            </w:pPr>
            <w:r w:rsidRPr="00B4461A">
              <w:t xml:space="preserve">pusinių plokštelių, N tipo </w:t>
            </w:r>
            <w:proofErr w:type="spellStart"/>
            <w:r w:rsidRPr="00B4461A">
              <w:t>TOPCon</w:t>
            </w:r>
            <w:proofErr w:type="spellEnd"/>
            <w:r w:rsidRPr="00B4461A">
              <w:t xml:space="preserve"> arba lygiavertė / geresnė technologija</w:t>
            </w:r>
          </w:p>
        </w:tc>
      </w:tr>
      <w:tr w:rsidR="00B4461A" w:rsidRPr="00B4461A" w14:paraId="1A858BB0" w14:textId="77777777">
        <w:trPr>
          <w:tblCellSpacing w:w="15" w:type="dxa"/>
        </w:trPr>
        <w:tc>
          <w:tcPr>
            <w:tcW w:w="0" w:type="auto"/>
            <w:vAlign w:val="center"/>
            <w:hideMark/>
          </w:tcPr>
          <w:p w14:paraId="51225A45" w14:textId="77777777" w:rsidR="00B4461A" w:rsidRPr="00B4461A" w:rsidRDefault="00B4461A" w:rsidP="00B4461A">
            <w:pPr>
              <w:contextualSpacing/>
            </w:pPr>
            <w:r w:rsidRPr="00B4461A">
              <w:t>Modulio tipas</w:t>
            </w:r>
          </w:p>
        </w:tc>
        <w:tc>
          <w:tcPr>
            <w:tcW w:w="0" w:type="auto"/>
            <w:vAlign w:val="center"/>
            <w:hideMark/>
          </w:tcPr>
          <w:p w14:paraId="2DEDE561" w14:textId="77777777" w:rsidR="00B4461A" w:rsidRPr="00B4461A" w:rsidRDefault="00B4461A" w:rsidP="00B4461A">
            <w:pPr>
              <w:contextualSpacing/>
            </w:pPr>
            <w:r w:rsidRPr="00B4461A">
              <w:t xml:space="preserve">dvipusis, </w:t>
            </w:r>
            <w:proofErr w:type="spellStart"/>
            <w:r w:rsidRPr="00B4461A">
              <w:t>bifacial</w:t>
            </w:r>
            <w:proofErr w:type="spellEnd"/>
          </w:p>
        </w:tc>
      </w:tr>
      <w:tr w:rsidR="00B4461A" w:rsidRPr="00B4461A" w14:paraId="4191A948" w14:textId="77777777">
        <w:trPr>
          <w:tblCellSpacing w:w="15" w:type="dxa"/>
        </w:trPr>
        <w:tc>
          <w:tcPr>
            <w:tcW w:w="0" w:type="auto"/>
            <w:vAlign w:val="center"/>
            <w:hideMark/>
          </w:tcPr>
          <w:p w14:paraId="104CA36D" w14:textId="77777777" w:rsidR="00B4461A" w:rsidRPr="00B4461A" w:rsidRDefault="00B4461A" w:rsidP="00B4461A">
            <w:pPr>
              <w:contextualSpacing/>
            </w:pPr>
            <w:r w:rsidRPr="00B4461A">
              <w:t>Maksimali sistemos įtampa</w:t>
            </w:r>
          </w:p>
        </w:tc>
        <w:tc>
          <w:tcPr>
            <w:tcW w:w="0" w:type="auto"/>
            <w:vAlign w:val="center"/>
            <w:hideMark/>
          </w:tcPr>
          <w:p w14:paraId="672640D2" w14:textId="77777777" w:rsidR="00B4461A" w:rsidRPr="00B4461A" w:rsidRDefault="00B4461A" w:rsidP="00B4461A">
            <w:pPr>
              <w:contextualSpacing/>
            </w:pPr>
            <w:r w:rsidRPr="00B4461A">
              <w:t>ne mažiau kaip 1500 V DC</w:t>
            </w:r>
          </w:p>
        </w:tc>
      </w:tr>
      <w:tr w:rsidR="00B4461A" w:rsidRPr="00B4461A" w14:paraId="507EACE6" w14:textId="77777777">
        <w:trPr>
          <w:tblCellSpacing w:w="15" w:type="dxa"/>
        </w:trPr>
        <w:tc>
          <w:tcPr>
            <w:tcW w:w="0" w:type="auto"/>
            <w:vAlign w:val="center"/>
            <w:hideMark/>
          </w:tcPr>
          <w:p w14:paraId="0C1805B4" w14:textId="77777777" w:rsidR="00B4461A" w:rsidRPr="00B4461A" w:rsidRDefault="00B4461A" w:rsidP="00B4461A">
            <w:pPr>
              <w:contextualSpacing/>
            </w:pPr>
            <w:r w:rsidRPr="00B4461A">
              <w:t>Produkto sertifikavimas</w:t>
            </w:r>
          </w:p>
        </w:tc>
        <w:tc>
          <w:tcPr>
            <w:tcW w:w="0" w:type="auto"/>
            <w:vAlign w:val="center"/>
            <w:hideMark/>
          </w:tcPr>
          <w:p w14:paraId="109F7601" w14:textId="77777777" w:rsidR="00B4461A" w:rsidRPr="00B4461A" w:rsidRDefault="00B4461A" w:rsidP="00B4461A">
            <w:pPr>
              <w:contextualSpacing/>
            </w:pPr>
            <w:r w:rsidRPr="00B4461A">
              <w:t>IEC 61215, IEC 61730, CE arba lygiaverčiai dokumentai</w:t>
            </w:r>
          </w:p>
        </w:tc>
      </w:tr>
      <w:tr w:rsidR="00B4461A" w:rsidRPr="00B4461A" w14:paraId="20F60D33" w14:textId="77777777">
        <w:trPr>
          <w:tblCellSpacing w:w="15" w:type="dxa"/>
        </w:trPr>
        <w:tc>
          <w:tcPr>
            <w:tcW w:w="0" w:type="auto"/>
            <w:vAlign w:val="center"/>
            <w:hideMark/>
          </w:tcPr>
          <w:p w14:paraId="26BBD7A9" w14:textId="77777777" w:rsidR="00B4461A" w:rsidRPr="00B4461A" w:rsidRDefault="00B4461A" w:rsidP="00B4461A">
            <w:pPr>
              <w:contextualSpacing/>
            </w:pPr>
            <w:r w:rsidRPr="00B4461A">
              <w:t>Mechaninis atsparumas sniego apkrovai</w:t>
            </w:r>
          </w:p>
        </w:tc>
        <w:tc>
          <w:tcPr>
            <w:tcW w:w="0" w:type="auto"/>
            <w:vAlign w:val="center"/>
            <w:hideMark/>
          </w:tcPr>
          <w:p w14:paraId="0F4D3BA6" w14:textId="77777777" w:rsidR="00B4461A" w:rsidRPr="00B4461A" w:rsidRDefault="00B4461A" w:rsidP="00B4461A">
            <w:pPr>
              <w:contextualSpacing/>
            </w:pPr>
            <w:r w:rsidRPr="00B4461A">
              <w:t>ne mažiau kaip 5400 Pa arba pagal projektinius skaičiavimus, jeigu reikia daugiau</w:t>
            </w:r>
          </w:p>
        </w:tc>
      </w:tr>
      <w:tr w:rsidR="00B4461A" w:rsidRPr="00B4461A" w14:paraId="226F15B1" w14:textId="77777777">
        <w:trPr>
          <w:tblCellSpacing w:w="15" w:type="dxa"/>
        </w:trPr>
        <w:tc>
          <w:tcPr>
            <w:tcW w:w="0" w:type="auto"/>
            <w:vAlign w:val="center"/>
            <w:hideMark/>
          </w:tcPr>
          <w:p w14:paraId="1A65125B" w14:textId="77777777" w:rsidR="00B4461A" w:rsidRPr="00B4461A" w:rsidRDefault="00B4461A" w:rsidP="00B4461A">
            <w:pPr>
              <w:contextualSpacing/>
            </w:pPr>
            <w:r w:rsidRPr="00B4461A">
              <w:t>Mechaninis atsparumas vėjo apkrovai</w:t>
            </w:r>
          </w:p>
        </w:tc>
        <w:tc>
          <w:tcPr>
            <w:tcW w:w="0" w:type="auto"/>
            <w:vAlign w:val="center"/>
            <w:hideMark/>
          </w:tcPr>
          <w:p w14:paraId="327DE2B5" w14:textId="77777777" w:rsidR="00B4461A" w:rsidRPr="00B4461A" w:rsidRDefault="00B4461A" w:rsidP="00B4461A">
            <w:pPr>
              <w:contextualSpacing/>
            </w:pPr>
            <w:r w:rsidRPr="00B4461A">
              <w:t>ne mažiau kaip 2400 Pa arba pagal projektinius skaičiavimus, jeigu reikia daugiau</w:t>
            </w:r>
          </w:p>
        </w:tc>
      </w:tr>
      <w:tr w:rsidR="00B4461A" w:rsidRPr="00B4461A" w14:paraId="6C48233E" w14:textId="77777777">
        <w:trPr>
          <w:tblCellSpacing w:w="15" w:type="dxa"/>
        </w:trPr>
        <w:tc>
          <w:tcPr>
            <w:tcW w:w="0" w:type="auto"/>
            <w:vAlign w:val="center"/>
            <w:hideMark/>
          </w:tcPr>
          <w:p w14:paraId="1A9FFC46" w14:textId="77777777" w:rsidR="00B4461A" w:rsidRPr="00B4461A" w:rsidRDefault="00B4461A" w:rsidP="00B4461A">
            <w:pPr>
              <w:contextualSpacing/>
            </w:pPr>
            <w:r w:rsidRPr="00B4461A">
              <w:t>Jungčių / jungčių dėžutės apsaugos klasė</w:t>
            </w:r>
          </w:p>
        </w:tc>
        <w:tc>
          <w:tcPr>
            <w:tcW w:w="0" w:type="auto"/>
            <w:vAlign w:val="center"/>
            <w:hideMark/>
          </w:tcPr>
          <w:p w14:paraId="069DBC29" w14:textId="77777777" w:rsidR="00B4461A" w:rsidRPr="00B4461A" w:rsidRDefault="00B4461A" w:rsidP="00B4461A">
            <w:pPr>
              <w:contextualSpacing/>
            </w:pPr>
            <w:r w:rsidRPr="00B4461A">
              <w:t>ne žemesnė kaip IP68 arba lygiavertė</w:t>
            </w:r>
          </w:p>
        </w:tc>
      </w:tr>
      <w:tr w:rsidR="00B4461A" w:rsidRPr="00B4461A" w14:paraId="0CD7564A" w14:textId="77777777">
        <w:trPr>
          <w:tblCellSpacing w:w="15" w:type="dxa"/>
        </w:trPr>
        <w:tc>
          <w:tcPr>
            <w:tcW w:w="0" w:type="auto"/>
            <w:vAlign w:val="center"/>
            <w:hideMark/>
          </w:tcPr>
          <w:p w14:paraId="267D0420" w14:textId="77777777" w:rsidR="00B4461A" w:rsidRPr="00B4461A" w:rsidRDefault="00B4461A" w:rsidP="00B4461A">
            <w:pPr>
              <w:contextualSpacing/>
            </w:pPr>
            <w:r w:rsidRPr="00B4461A">
              <w:t>Darbinės temperatūros diapazonas</w:t>
            </w:r>
          </w:p>
        </w:tc>
        <w:tc>
          <w:tcPr>
            <w:tcW w:w="0" w:type="auto"/>
            <w:vAlign w:val="center"/>
            <w:hideMark/>
          </w:tcPr>
          <w:p w14:paraId="25140A2E" w14:textId="77777777" w:rsidR="00B4461A" w:rsidRPr="00B4461A" w:rsidRDefault="00B4461A" w:rsidP="00B4461A">
            <w:pPr>
              <w:contextualSpacing/>
            </w:pPr>
            <w:r w:rsidRPr="00B4461A">
              <w:t>ne siauresnis kaip nuo –40 °C iki +85 °C</w:t>
            </w:r>
          </w:p>
        </w:tc>
      </w:tr>
    </w:tbl>
    <w:p w14:paraId="3C16049D" w14:textId="77777777" w:rsidR="00B4461A" w:rsidRPr="00B4461A" w:rsidRDefault="00B4461A" w:rsidP="00B4461A">
      <w:pPr>
        <w:contextualSpacing/>
      </w:pPr>
      <w:r w:rsidRPr="00B4461A">
        <w:t>4.3. Saulės modulių linijinė galios garantija turi būti ne trumpesnė kaip 30 metų.</w:t>
      </w:r>
    </w:p>
    <w:p w14:paraId="33BBC990" w14:textId="77777777" w:rsidR="00B4461A" w:rsidRPr="00B4461A" w:rsidRDefault="00B4461A" w:rsidP="00B4461A">
      <w:pPr>
        <w:contextualSpacing/>
      </w:pPr>
      <w:r w:rsidRPr="00B4461A">
        <w:t>4.4. Saulės modulių liekamoji galia po 30 metų turi būti ne mažesnė kaip 87,4 % nuo pradinės nominalios galios.</w:t>
      </w:r>
    </w:p>
    <w:p w14:paraId="46305A93" w14:textId="77777777" w:rsidR="00B4461A" w:rsidRPr="00B4461A" w:rsidRDefault="00B4461A" w:rsidP="00B4461A">
      <w:pPr>
        <w:contextualSpacing/>
      </w:pPr>
      <w:r w:rsidRPr="00B4461A">
        <w:t>4.5. Saulės modulių gamintojas turi turėti arba taikyti lygiavertes kokybės, aplinkos apsaugos ir darbuotojų saugos bei sveikatos vadybos sistemas. Priimtini įrodymai: ISO 9001:2015, ISO 14001:2015, ISO 45001:2018 sertifikatai arba lygiaverčiai dokumentai.</w:t>
      </w:r>
    </w:p>
    <w:p w14:paraId="480F9B42" w14:textId="77777777" w:rsidR="00B4461A" w:rsidRPr="00B4461A" w:rsidRDefault="00B4461A" w:rsidP="00B4461A">
      <w:pPr>
        <w:contextualSpacing/>
        <w:rPr>
          <w:b/>
          <w:bCs/>
        </w:rPr>
      </w:pPr>
      <w:r w:rsidRPr="00B4461A">
        <w:rPr>
          <w:b/>
          <w:bCs/>
        </w:rPr>
        <w:t>5. Antžeminės tvirtinimo konstrukcijos reikalavimai</w:t>
      </w:r>
    </w:p>
    <w:p w14:paraId="19C4155C" w14:textId="77777777" w:rsidR="00B4461A" w:rsidRPr="00B4461A" w:rsidRDefault="00B4461A" w:rsidP="00B4461A">
      <w:pPr>
        <w:contextualSpacing/>
      </w:pPr>
      <w:r w:rsidRPr="00B4461A">
        <w:lastRenderedPageBreak/>
        <w:t>5.1. Saulės moduliai turi būti montuojami ant antžeminės tvirtinimo konstrukcijos, pritaikytos konkrečiai darbų vietai, modulių tipui, grunto sąlygoms, vėjo ir sniego apkrovoms.</w:t>
      </w:r>
    </w:p>
    <w:p w14:paraId="127430DC" w14:textId="77777777" w:rsidR="00B4461A" w:rsidRPr="00B4461A" w:rsidRDefault="00B4461A" w:rsidP="00B4461A">
      <w:pPr>
        <w:contextualSpacing/>
      </w:pPr>
      <w:r w:rsidRPr="00B4461A">
        <w:t>5.2. Tvirtinimo sistema turi būti suprojektuota taip, kad įgilinimas į žemę nebūtų didesnis kaip 0,5 m, išskyrus atvejus, kai dėl saugos, stabilumo, geologinių ar teisės aktų reikalavimų būtinas kitoks sprendinys ir jis suderinamas su Perkančiuoju subjektu.</w:t>
      </w:r>
    </w:p>
    <w:p w14:paraId="0E831183" w14:textId="77777777" w:rsidR="00B4461A" w:rsidRPr="00B4461A" w:rsidRDefault="00B4461A" w:rsidP="00B4461A">
      <w:pPr>
        <w:contextualSpacing/>
      </w:pPr>
      <w:r w:rsidRPr="00B4461A">
        <w:t>5.3. Modulių orientacija – į pietų pusę arba kiek įmanoma artimesnė pietų krypčiai pagal faktines objekto sąlygas.</w:t>
      </w:r>
    </w:p>
    <w:p w14:paraId="55437ACC" w14:textId="77777777" w:rsidR="00B4461A" w:rsidRPr="00B4461A" w:rsidRDefault="00B4461A" w:rsidP="00B4461A">
      <w:pPr>
        <w:contextualSpacing/>
      </w:pPr>
      <w:r w:rsidRPr="00B4461A">
        <w:t>5.4. Modulių pasvirimo kampas – nuo 25 iki 35 laipsnių.</w:t>
      </w:r>
    </w:p>
    <w:p w14:paraId="18CAC465" w14:textId="77777777" w:rsidR="00B4461A" w:rsidRPr="00B4461A" w:rsidRDefault="00B4461A" w:rsidP="00B4461A">
      <w:pPr>
        <w:contextualSpacing/>
      </w:pPr>
      <w:r w:rsidRPr="00B4461A">
        <w:t>5.5. Konstrukcijos tarnavimo laikas – ne trumpesnis kaip 25 metai.</w:t>
      </w:r>
    </w:p>
    <w:p w14:paraId="35DD19D4" w14:textId="77777777" w:rsidR="00B4461A" w:rsidRPr="00B4461A" w:rsidRDefault="00B4461A" w:rsidP="00B4461A">
      <w:pPr>
        <w:contextualSpacing/>
      </w:pPr>
      <w:r w:rsidRPr="00B4461A">
        <w:t>5.6. Konstrukcija turi būti sertifikuota arba pagrįsta gamintojo techniniais dokumentais, projektiniais skaičiavimais ir atitikties deklaracijomis.</w:t>
      </w:r>
    </w:p>
    <w:p w14:paraId="7E34AA43" w14:textId="77777777" w:rsidR="00B4461A" w:rsidRPr="00B4461A" w:rsidRDefault="00B4461A" w:rsidP="00B4461A">
      <w:pPr>
        <w:contextualSpacing/>
      </w:pPr>
      <w:r w:rsidRPr="00B4461A">
        <w:t>5.7. Konstrukcija turi būti atspari korozijai, atmosferos poveikiui, UV poveikiui, sniego ir vėjo apkrovoms.</w:t>
      </w:r>
    </w:p>
    <w:p w14:paraId="4574BAC9" w14:textId="77777777" w:rsidR="00B4461A" w:rsidRPr="00B4461A" w:rsidRDefault="00B4461A" w:rsidP="00B4461A">
      <w:pPr>
        <w:contextualSpacing/>
      </w:pPr>
      <w:r w:rsidRPr="00B4461A">
        <w:t>5.8. Konstrukcija ir modulių išdėstymas turi būti parinkti taip, kad būtų sudarytos sąlygos saugiai techninei priežiūrai ir būtų išvengta nepagrįsto modulių tarpusavio šešėliavimo.</w:t>
      </w:r>
    </w:p>
    <w:p w14:paraId="2A2E80F8" w14:textId="77777777" w:rsidR="00B4461A" w:rsidRPr="00B4461A" w:rsidRDefault="00B4461A" w:rsidP="00B4461A">
      <w:pPr>
        <w:contextualSpacing/>
        <w:rPr>
          <w:b/>
          <w:bCs/>
        </w:rPr>
      </w:pPr>
      <w:r w:rsidRPr="00B4461A">
        <w:rPr>
          <w:b/>
          <w:bCs/>
        </w:rPr>
        <w:t>6. Hibridinės energijos kaupimo sistemos reikalavimai</w:t>
      </w:r>
    </w:p>
    <w:p w14:paraId="55167CAA" w14:textId="77777777" w:rsidR="00B4461A" w:rsidRPr="00B4461A" w:rsidRDefault="00B4461A" w:rsidP="00B4461A">
      <w:pPr>
        <w:contextualSpacing/>
      </w:pPr>
      <w:r w:rsidRPr="00B4461A">
        <w:t xml:space="preserve">6.1. Hibridinė sistema turi būti </w:t>
      </w:r>
      <w:proofErr w:type="spellStart"/>
      <w:r w:rsidRPr="00B4461A">
        <w:t>gamykliškai</w:t>
      </w:r>
      <w:proofErr w:type="spellEnd"/>
      <w:r w:rsidRPr="00B4461A">
        <w:t xml:space="preserve"> sukomplektuota arba tarpusavyje suderinta sistema, apimanti hibridinį </w:t>
      </w:r>
      <w:proofErr w:type="spellStart"/>
      <w:r w:rsidRPr="00B4461A">
        <w:t>inverterį</w:t>
      </w:r>
      <w:proofErr w:type="spellEnd"/>
      <w:r w:rsidRPr="00B4461A">
        <w:t xml:space="preserve"> / keitiklių sistemą, LFP baterijų kaupiklį, baterijų valdymo sistemą BMS, energijos valdymo sistemą EMS, galios paskirstymo, apsaugos, automatikos, komunikacijos, matavimo ir klimato kontrolės įrangą.</w:t>
      </w:r>
    </w:p>
    <w:p w14:paraId="5AB9660A" w14:textId="77777777" w:rsidR="00B4461A" w:rsidRPr="00B4461A" w:rsidRDefault="00B4461A" w:rsidP="00B4461A">
      <w:pPr>
        <w:contextualSpacing/>
      </w:pPr>
      <w:r w:rsidRPr="00B4461A">
        <w:t>6.2. Minimalūs hibridinės sistemos parametrai: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6952"/>
      </w:tblGrid>
      <w:tr w:rsidR="00B4461A" w:rsidRPr="00B4461A" w14:paraId="01399308" w14:textId="77777777">
        <w:trPr>
          <w:tblHeader/>
          <w:tblCellSpacing w:w="15" w:type="dxa"/>
        </w:trPr>
        <w:tc>
          <w:tcPr>
            <w:tcW w:w="0" w:type="auto"/>
            <w:vAlign w:val="center"/>
            <w:hideMark/>
          </w:tcPr>
          <w:p w14:paraId="158C7722" w14:textId="77777777" w:rsidR="00B4461A" w:rsidRPr="00B4461A" w:rsidRDefault="00B4461A" w:rsidP="00B4461A">
            <w:pPr>
              <w:contextualSpacing/>
              <w:rPr>
                <w:b/>
                <w:bCs/>
              </w:rPr>
            </w:pPr>
            <w:r w:rsidRPr="00B4461A">
              <w:rPr>
                <w:b/>
                <w:bCs/>
              </w:rPr>
              <w:t>Parametras</w:t>
            </w:r>
          </w:p>
        </w:tc>
        <w:tc>
          <w:tcPr>
            <w:tcW w:w="0" w:type="auto"/>
            <w:vAlign w:val="center"/>
            <w:hideMark/>
          </w:tcPr>
          <w:p w14:paraId="48C32399" w14:textId="77777777" w:rsidR="00B4461A" w:rsidRPr="00B4461A" w:rsidRDefault="00B4461A" w:rsidP="00B4461A">
            <w:pPr>
              <w:contextualSpacing/>
              <w:rPr>
                <w:b/>
                <w:bCs/>
              </w:rPr>
            </w:pPr>
            <w:r w:rsidRPr="00B4461A">
              <w:rPr>
                <w:b/>
                <w:bCs/>
              </w:rPr>
              <w:t>Minimalus reikalavimas</w:t>
            </w:r>
          </w:p>
        </w:tc>
      </w:tr>
      <w:tr w:rsidR="00B4461A" w:rsidRPr="00B4461A" w14:paraId="150F46FA" w14:textId="77777777">
        <w:trPr>
          <w:tblCellSpacing w:w="15" w:type="dxa"/>
        </w:trPr>
        <w:tc>
          <w:tcPr>
            <w:tcW w:w="0" w:type="auto"/>
            <w:vAlign w:val="center"/>
            <w:hideMark/>
          </w:tcPr>
          <w:p w14:paraId="18CA4358" w14:textId="77777777" w:rsidR="00B4461A" w:rsidRPr="00B4461A" w:rsidRDefault="00B4461A" w:rsidP="00B4461A">
            <w:pPr>
              <w:contextualSpacing/>
            </w:pPr>
            <w:r w:rsidRPr="00B4461A">
              <w:t>Nominali AC galia</w:t>
            </w:r>
          </w:p>
        </w:tc>
        <w:tc>
          <w:tcPr>
            <w:tcW w:w="0" w:type="auto"/>
            <w:vAlign w:val="center"/>
            <w:hideMark/>
          </w:tcPr>
          <w:p w14:paraId="22864B9B" w14:textId="77777777" w:rsidR="00B4461A" w:rsidRPr="00B4461A" w:rsidRDefault="00B4461A" w:rsidP="00B4461A">
            <w:pPr>
              <w:contextualSpacing/>
            </w:pPr>
            <w:r w:rsidRPr="00B4461A">
              <w:t>ne mažiau kaip 100 kW</w:t>
            </w:r>
          </w:p>
        </w:tc>
      </w:tr>
      <w:tr w:rsidR="00B4461A" w:rsidRPr="00B4461A" w14:paraId="30D0A265" w14:textId="77777777">
        <w:trPr>
          <w:tblCellSpacing w:w="15" w:type="dxa"/>
        </w:trPr>
        <w:tc>
          <w:tcPr>
            <w:tcW w:w="0" w:type="auto"/>
            <w:vAlign w:val="center"/>
            <w:hideMark/>
          </w:tcPr>
          <w:p w14:paraId="06228F7F" w14:textId="77777777" w:rsidR="00B4461A" w:rsidRPr="00B4461A" w:rsidRDefault="00B4461A" w:rsidP="00B4461A">
            <w:pPr>
              <w:contextualSpacing/>
            </w:pPr>
            <w:r w:rsidRPr="00B4461A">
              <w:t>Baterijos technologija</w:t>
            </w:r>
          </w:p>
        </w:tc>
        <w:tc>
          <w:tcPr>
            <w:tcW w:w="0" w:type="auto"/>
            <w:vAlign w:val="center"/>
            <w:hideMark/>
          </w:tcPr>
          <w:p w14:paraId="76E7AC79" w14:textId="77777777" w:rsidR="00B4461A" w:rsidRPr="00B4461A" w:rsidRDefault="00B4461A" w:rsidP="00B4461A">
            <w:pPr>
              <w:contextualSpacing/>
            </w:pPr>
            <w:r w:rsidRPr="00B4461A">
              <w:t>LFP</w:t>
            </w:r>
          </w:p>
        </w:tc>
      </w:tr>
      <w:tr w:rsidR="00B4461A" w:rsidRPr="00B4461A" w14:paraId="3F1642CE" w14:textId="77777777">
        <w:trPr>
          <w:tblCellSpacing w:w="15" w:type="dxa"/>
        </w:trPr>
        <w:tc>
          <w:tcPr>
            <w:tcW w:w="0" w:type="auto"/>
            <w:vAlign w:val="center"/>
            <w:hideMark/>
          </w:tcPr>
          <w:p w14:paraId="4EF2C54C" w14:textId="77777777" w:rsidR="00B4461A" w:rsidRPr="00B4461A" w:rsidRDefault="00B4461A" w:rsidP="00B4461A">
            <w:pPr>
              <w:contextualSpacing/>
            </w:pPr>
            <w:r w:rsidRPr="00B4461A">
              <w:t>Baterijos nominali talpa</w:t>
            </w:r>
          </w:p>
        </w:tc>
        <w:tc>
          <w:tcPr>
            <w:tcW w:w="0" w:type="auto"/>
            <w:vAlign w:val="center"/>
            <w:hideMark/>
          </w:tcPr>
          <w:p w14:paraId="5287CED2" w14:textId="77777777" w:rsidR="00B4461A" w:rsidRPr="00B4461A" w:rsidRDefault="00B4461A" w:rsidP="00B4461A">
            <w:pPr>
              <w:contextualSpacing/>
            </w:pPr>
            <w:r w:rsidRPr="00B4461A">
              <w:t>ne mažiau kaip 210 kWh</w:t>
            </w:r>
          </w:p>
        </w:tc>
      </w:tr>
      <w:tr w:rsidR="00B4461A" w:rsidRPr="00B4461A" w14:paraId="1648546F" w14:textId="77777777">
        <w:trPr>
          <w:tblCellSpacing w:w="15" w:type="dxa"/>
        </w:trPr>
        <w:tc>
          <w:tcPr>
            <w:tcW w:w="0" w:type="auto"/>
            <w:vAlign w:val="center"/>
            <w:hideMark/>
          </w:tcPr>
          <w:p w14:paraId="540D9D9F" w14:textId="77777777" w:rsidR="00B4461A" w:rsidRPr="00B4461A" w:rsidRDefault="00B4461A" w:rsidP="00B4461A">
            <w:pPr>
              <w:contextualSpacing/>
            </w:pPr>
            <w:r w:rsidRPr="00B4461A">
              <w:t>Lauko spintos / konteinerio apsaugos klasė</w:t>
            </w:r>
          </w:p>
        </w:tc>
        <w:tc>
          <w:tcPr>
            <w:tcW w:w="0" w:type="auto"/>
            <w:vAlign w:val="center"/>
            <w:hideMark/>
          </w:tcPr>
          <w:p w14:paraId="2964ACDD" w14:textId="77777777" w:rsidR="00B4461A" w:rsidRPr="00B4461A" w:rsidRDefault="00B4461A" w:rsidP="00B4461A">
            <w:pPr>
              <w:contextualSpacing/>
            </w:pPr>
            <w:r w:rsidRPr="00B4461A">
              <w:t>ne žemesnė kaip IP55 arba lygiavertė</w:t>
            </w:r>
          </w:p>
        </w:tc>
      </w:tr>
      <w:tr w:rsidR="00B4461A" w:rsidRPr="00B4461A" w14:paraId="2397FA9B" w14:textId="77777777">
        <w:trPr>
          <w:tblCellSpacing w:w="15" w:type="dxa"/>
        </w:trPr>
        <w:tc>
          <w:tcPr>
            <w:tcW w:w="0" w:type="auto"/>
            <w:vAlign w:val="center"/>
            <w:hideMark/>
          </w:tcPr>
          <w:p w14:paraId="6FDBD800" w14:textId="77777777" w:rsidR="00B4461A" w:rsidRPr="00B4461A" w:rsidRDefault="00B4461A" w:rsidP="00B4461A">
            <w:pPr>
              <w:contextualSpacing/>
            </w:pPr>
            <w:r w:rsidRPr="00B4461A">
              <w:t>Darbinė aplinkos temperatūra</w:t>
            </w:r>
          </w:p>
        </w:tc>
        <w:tc>
          <w:tcPr>
            <w:tcW w:w="0" w:type="auto"/>
            <w:vAlign w:val="center"/>
            <w:hideMark/>
          </w:tcPr>
          <w:p w14:paraId="5FFA623F" w14:textId="77777777" w:rsidR="00B4461A" w:rsidRPr="00B4461A" w:rsidRDefault="00B4461A" w:rsidP="00B4461A">
            <w:pPr>
              <w:contextualSpacing/>
            </w:pPr>
            <w:r w:rsidRPr="00B4461A">
              <w:t>ne siauresnė kaip nuo –25 °C iki +60 °C; galios mažinimas aukštesnėje kaip +45 °C temperatūroje leidžiamas, jeigu tai numatyta gamintojo dokumentuose ir nepažeidžia saugos reikalavimų</w:t>
            </w:r>
          </w:p>
        </w:tc>
      </w:tr>
      <w:tr w:rsidR="00B4461A" w:rsidRPr="00B4461A" w14:paraId="332F7E71" w14:textId="77777777">
        <w:trPr>
          <w:tblCellSpacing w:w="15" w:type="dxa"/>
        </w:trPr>
        <w:tc>
          <w:tcPr>
            <w:tcW w:w="0" w:type="auto"/>
            <w:vAlign w:val="center"/>
            <w:hideMark/>
          </w:tcPr>
          <w:p w14:paraId="1875DF7B" w14:textId="77777777" w:rsidR="00B4461A" w:rsidRPr="00B4461A" w:rsidRDefault="00B4461A" w:rsidP="00B4461A">
            <w:pPr>
              <w:contextualSpacing/>
            </w:pPr>
            <w:r w:rsidRPr="00B4461A">
              <w:t>Santykinė drėgmė</w:t>
            </w:r>
          </w:p>
        </w:tc>
        <w:tc>
          <w:tcPr>
            <w:tcW w:w="0" w:type="auto"/>
            <w:vAlign w:val="center"/>
            <w:hideMark/>
          </w:tcPr>
          <w:p w14:paraId="7D0B3CFC" w14:textId="77777777" w:rsidR="00B4461A" w:rsidRPr="00B4461A" w:rsidRDefault="00B4461A" w:rsidP="00B4461A">
            <w:pPr>
              <w:contextualSpacing/>
            </w:pPr>
            <w:r w:rsidRPr="00B4461A">
              <w:t>ne siauresnė kaip 0–95 %, be kondensacijos arba lygiavertė</w:t>
            </w:r>
          </w:p>
        </w:tc>
      </w:tr>
      <w:tr w:rsidR="00B4461A" w:rsidRPr="00B4461A" w14:paraId="7FCCAB82" w14:textId="77777777">
        <w:trPr>
          <w:tblCellSpacing w:w="15" w:type="dxa"/>
        </w:trPr>
        <w:tc>
          <w:tcPr>
            <w:tcW w:w="0" w:type="auto"/>
            <w:vAlign w:val="center"/>
            <w:hideMark/>
          </w:tcPr>
          <w:p w14:paraId="4012884C" w14:textId="77777777" w:rsidR="00B4461A" w:rsidRPr="00B4461A" w:rsidRDefault="00B4461A" w:rsidP="00B4461A">
            <w:pPr>
              <w:contextualSpacing/>
            </w:pPr>
            <w:r w:rsidRPr="00B4461A">
              <w:t>Galios koeficiento reguliavimas</w:t>
            </w:r>
          </w:p>
        </w:tc>
        <w:tc>
          <w:tcPr>
            <w:tcW w:w="0" w:type="auto"/>
            <w:vAlign w:val="center"/>
            <w:hideMark/>
          </w:tcPr>
          <w:p w14:paraId="22039DE2" w14:textId="77777777" w:rsidR="00B4461A" w:rsidRPr="00B4461A" w:rsidRDefault="00B4461A" w:rsidP="00B4461A">
            <w:pPr>
              <w:contextualSpacing/>
            </w:pPr>
            <w:r w:rsidRPr="00B4461A">
              <w:t>nuo –1 iki +1 arba lygiavertis reguliavimo diapazonas</w:t>
            </w:r>
          </w:p>
        </w:tc>
      </w:tr>
      <w:tr w:rsidR="00B4461A" w:rsidRPr="00B4461A" w14:paraId="6F4AAE50" w14:textId="77777777">
        <w:trPr>
          <w:tblCellSpacing w:w="15" w:type="dxa"/>
        </w:trPr>
        <w:tc>
          <w:tcPr>
            <w:tcW w:w="0" w:type="auto"/>
            <w:vAlign w:val="center"/>
            <w:hideMark/>
          </w:tcPr>
          <w:p w14:paraId="69DC9435" w14:textId="77777777" w:rsidR="00B4461A" w:rsidRPr="00B4461A" w:rsidRDefault="00B4461A" w:rsidP="00B4461A">
            <w:pPr>
              <w:contextualSpacing/>
            </w:pPr>
            <w:r w:rsidRPr="00B4461A">
              <w:t>Srovės harmoniniai iškraipymai</w:t>
            </w:r>
          </w:p>
        </w:tc>
        <w:tc>
          <w:tcPr>
            <w:tcW w:w="0" w:type="auto"/>
            <w:vAlign w:val="center"/>
            <w:hideMark/>
          </w:tcPr>
          <w:p w14:paraId="4E2EAA5E" w14:textId="77777777" w:rsidR="00B4461A" w:rsidRPr="00B4461A" w:rsidRDefault="00B4461A" w:rsidP="00B4461A">
            <w:pPr>
              <w:contextualSpacing/>
            </w:pPr>
            <w:r w:rsidRPr="00B4461A">
              <w:t>THDI ne daugiau kaip 5 % prie nominalios galios arba lygiavertis rodiklis</w:t>
            </w:r>
          </w:p>
        </w:tc>
      </w:tr>
      <w:tr w:rsidR="00B4461A" w:rsidRPr="00B4461A" w14:paraId="4B9EE37A" w14:textId="77777777">
        <w:trPr>
          <w:tblCellSpacing w:w="15" w:type="dxa"/>
        </w:trPr>
        <w:tc>
          <w:tcPr>
            <w:tcW w:w="0" w:type="auto"/>
            <w:vAlign w:val="center"/>
            <w:hideMark/>
          </w:tcPr>
          <w:p w14:paraId="1F0E2EEC" w14:textId="77777777" w:rsidR="00B4461A" w:rsidRPr="00B4461A" w:rsidRDefault="00B4461A" w:rsidP="00B4461A">
            <w:pPr>
              <w:contextualSpacing/>
            </w:pPr>
            <w:r w:rsidRPr="00B4461A">
              <w:t>Komunikacijos sąsajos</w:t>
            </w:r>
          </w:p>
        </w:tc>
        <w:tc>
          <w:tcPr>
            <w:tcW w:w="0" w:type="auto"/>
            <w:vAlign w:val="center"/>
            <w:hideMark/>
          </w:tcPr>
          <w:p w14:paraId="7E2AD0F3" w14:textId="77777777" w:rsidR="00B4461A" w:rsidRPr="00B4461A" w:rsidRDefault="00B4461A" w:rsidP="00B4461A">
            <w:pPr>
              <w:contextualSpacing/>
            </w:pPr>
            <w:r w:rsidRPr="00B4461A">
              <w:t xml:space="preserve">CAN, </w:t>
            </w:r>
            <w:proofErr w:type="spellStart"/>
            <w:r w:rsidRPr="00B4461A">
              <w:t>Ethernet</w:t>
            </w:r>
            <w:proofErr w:type="spellEnd"/>
            <w:r w:rsidRPr="00B4461A">
              <w:t>, RS485 arba lygiavertės pramoninės sąsajos</w:t>
            </w:r>
          </w:p>
        </w:tc>
      </w:tr>
      <w:tr w:rsidR="00B4461A" w:rsidRPr="00B4461A" w14:paraId="46D509C1" w14:textId="77777777">
        <w:trPr>
          <w:tblCellSpacing w:w="15" w:type="dxa"/>
        </w:trPr>
        <w:tc>
          <w:tcPr>
            <w:tcW w:w="0" w:type="auto"/>
            <w:vAlign w:val="center"/>
            <w:hideMark/>
          </w:tcPr>
          <w:p w14:paraId="29899A0F" w14:textId="77777777" w:rsidR="00B4461A" w:rsidRPr="00B4461A" w:rsidRDefault="00B4461A" w:rsidP="00B4461A">
            <w:pPr>
              <w:contextualSpacing/>
            </w:pPr>
            <w:r w:rsidRPr="00B4461A">
              <w:t>Vietinė naudotojo sąsaja</w:t>
            </w:r>
          </w:p>
        </w:tc>
        <w:tc>
          <w:tcPr>
            <w:tcW w:w="0" w:type="auto"/>
            <w:vAlign w:val="center"/>
            <w:hideMark/>
          </w:tcPr>
          <w:p w14:paraId="1EE80A04" w14:textId="77777777" w:rsidR="00B4461A" w:rsidRPr="00B4461A" w:rsidRDefault="00B4461A" w:rsidP="00B4461A">
            <w:pPr>
              <w:contextualSpacing/>
            </w:pPr>
            <w:r w:rsidRPr="00B4461A">
              <w:t>integruotas ekranas arba lokalus valdymo / stebėsenos terminalas</w:t>
            </w:r>
          </w:p>
        </w:tc>
      </w:tr>
    </w:tbl>
    <w:p w14:paraId="75E403D5" w14:textId="77777777" w:rsidR="00B4461A" w:rsidRPr="00B4461A" w:rsidRDefault="00B4461A" w:rsidP="00B4461A">
      <w:pPr>
        <w:contextualSpacing/>
      </w:pPr>
      <w:r w:rsidRPr="00B4461A">
        <w:t>6.3. Sistema turi būti skirta darbui lauke Lietuvos klimato sąlygomis ir turėti integruotą temperatūrinio režimo palaikymo / baterijų kondicionavimo sistemą.</w:t>
      </w:r>
    </w:p>
    <w:p w14:paraId="4773F099" w14:textId="77777777" w:rsidR="00B4461A" w:rsidRPr="00B4461A" w:rsidRDefault="00B4461A" w:rsidP="00B4461A">
      <w:pPr>
        <w:contextualSpacing/>
      </w:pPr>
      <w:r w:rsidRPr="00B4461A">
        <w:lastRenderedPageBreak/>
        <w:t>6.4. Baterijų valdymo sistema turi užtikrinti ne mažiau kaip:</w:t>
      </w:r>
    </w:p>
    <w:p w14:paraId="45E1FEEA" w14:textId="77777777" w:rsidR="00B4461A" w:rsidRPr="00B4461A" w:rsidRDefault="00B4461A" w:rsidP="00B4461A">
      <w:pPr>
        <w:contextualSpacing/>
      </w:pPr>
      <w:r w:rsidRPr="00B4461A">
        <w:t>6.4.1. elementų, modulių ar baterijų blokų įtampos, temperatūros, srovės ir įkrovos būsenos stebėseną;</w:t>
      </w:r>
    </w:p>
    <w:p w14:paraId="09FD2EFA" w14:textId="77777777" w:rsidR="00B4461A" w:rsidRPr="00B4461A" w:rsidRDefault="00B4461A" w:rsidP="00B4461A">
      <w:pPr>
        <w:contextualSpacing/>
      </w:pPr>
      <w:r w:rsidRPr="00B4461A">
        <w:t>6.4.2. elementų balansavimą;</w:t>
      </w:r>
    </w:p>
    <w:p w14:paraId="50FFE9BC" w14:textId="77777777" w:rsidR="00B4461A" w:rsidRPr="00B4461A" w:rsidRDefault="00B4461A" w:rsidP="00B4461A">
      <w:pPr>
        <w:contextualSpacing/>
      </w:pPr>
      <w:r w:rsidRPr="00B4461A">
        <w:t>6.4.3. apsaugą nuo perkrovos, per gilaus iškrovimo, per didelės srovės, viršįtampio, per žemos ar per aukštos temperatūros;</w:t>
      </w:r>
    </w:p>
    <w:p w14:paraId="04B6C4FD" w14:textId="77777777" w:rsidR="00B4461A" w:rsidRPr="00B4461A" w:rsidRDefault="00B4461A" w:rsidP="00B4461A">
      <w:pPr>
        <w:contextualSpacing/>
      </w:pPr>
      <w:r w:rsidRPr="00B4461A">
        <w:t>6.4.4. avarinių būsenų registravimą;</w:t>
      </w:r>
    </w:p>
    <w:p w14:paraId="72AFE2C4" w14:textId="77777777" w:rsidR="00B4461A" w:rsidRPr="00B4461A" w:rsidRDefault="00B4461A" w:rsidP="00B4461A">
      <w:pPr>
        <w:contextualSpacing/>
      </w:pPr>
      <w:r w:rsidRPr="00B4461A">
        <w:t>6.4.5. duomenų perdavimą energijos valdymo sistemai.</w:t>
      </w:r>
    </w:p>
    <w:p w14:paraId="609B76A2" w14:textId="77777777" w:rsidR="00B4461A" w:rsidRPr="00B4461A" w:rsidRDefault="00B4461A" w:rsidP="00B4461A">
      <w:pPr>
        <w:contextualSpacing/>
      </w:pPr>
      <w:r w:rsidRPr="00B4461A">
        <w:t>6.5. Įkrovimo / iškrovimo ciklų skaičius, kai naudojamas 10–90 % SOC intervalas, turi būti ne mažesnis kaip 6000 ciklų.</w:t>
      </w:r>
    </w:p>
    <w:p w14:paraId="47230163" w14:textId="77777777" w:rsidR="00B4461A" w:rsidRPr="00B4461A" w:rsidRDefault="00B4461A" w:rsidP="00B4461A">
      <w:pPr>
        <w:contextualSpacing/>
      </w:pPr>
      <w:r w:rsidRPr="00B4461A">
        <w:t>6.6. Hibridinės sistemos projektinis darbo amžius – ne trumpesnis kaip 10 metų.</w:t>
      </w:r>
    </w:p>
    <w:p w14:paraId="24F91952" w14:textId="77777777" w:rsidR="00B4461A" w:rsidRPr="00B4461A" w:rsidRDefault="00B4461A" w:rsidP="00B4461A">
      <w:pPr>
        <w:contextualSpacing/>
      </w:pPr>
      <w:r w:rsidRPr="00B4461A">
        <w:t>6.7. Hibridinės sistemos gamyklinė garantija turi būti ne trumpesnė kaip 3 metai.</w:t>
      </w:r>
    </w:p>
    <w:p w14:paraId="034D16EA" w14:textId="77777777" w:rsidR="00B4461A" w:rsidRPr="00B4461A" w:rsidRDefault="00B4461A" w:rsidP="00B4461A">
      <w:pPr>
        <w:contextualSpacing/>
      </w:pPr>
      <w:r w:rsidRPr="00B4461A">
        <w:t>6.8. Hibridinės sistemos techninė priežiūra ir palaikymas turi būti užtikrinami ne trumpiau kaip 4 metus nuo sistemos perdavimo Perkančiajam subjektui dienos.</w:t>
      </w:r>
    </w:p>
    <w:p w14:paraId="3F74C45B" w14:textId="77777777" w:rsidR="00B4461A" w:rsidRPr="00B4461A" w:rsidRDefault="00B4461A" w:rsidP="00B4461A">
      <w:pPr>
        <w:contextualSpacing/>
      </w:pPr>
      <w:r w:rsidRPr="00B4461A">
        <w:t xml:space="preserve">6.9. Hibridinė sistema, </w:t>
      </w:r>
      <w:proofErr w:type="spellStart"/>
      <w:r w:rsidRPr="00B4461A">
        <w:t>inverteris</w:t>
      </w:r>
      <w:proofErr w:type="spellEnd"/>
      <w:r w:rsidRPr="00B4461A">
        <w:t xml:space="preserve"> ir baterijų blokai turi būti CE ženklinti. Turi būti pateikiamos atitikties deklaracijos, sertifikatai arba lygiaverčiai dokumentai. Kai taikytina, atitiktis turi būti pagrįsta notifikuotų ES laboratorijų arba lygiaverčių kompetentingų atitikties vertinimo įstaigų dokumentais.</w:t>
      </w:r>
    </w:p>
    <w:p w14:paraId="7D9DBD7C" w14:textId="77777777" w:rsidR="00B4461A" w:rsidRPr="00B4461A" w:rsidRDefault="00B4461A" w:rsidP="00B4461A">
      <w:pPr>
        <w:contextualSpacing/>
      </w:pPr>
      <w:r w:rsidRPr="00B4461A">
        <w:t>6.10. Hibridinė sistema turi turėti integruotas saugos priemones, skirtas sistemos būsenai ir rizikoms kontroliuoti. Minimaliai turi būti numatyta temperatūros kontrolė, avarinis atjungimas, gaisro aptikimo ir / arba gesinimo sprendinys pagal gamintojo techninius sprendinius ir taikomus teisės aktus. Papildomi jutikliai, pavyzdžiui, dūmų, vandens nuotėkio ar durų atidarymo, gali būti taikomi pagal siūlomos sistemos gamintojo konfigūraciją.</w:t>
      </w:r>
    </w:p>
    <w:p w14:paraId="277B3A81" w14:textId="77777777" w:rsidR="00B4461A" w:rsidRPr="00B4461A" w:rsidRDefault="00B4461A" w:rsidP="00B4461A">
      <w:pPr>
        <w:contextualSpacing/>
        <w:rPr>
          <w:b/>
          <w:bCs/>
        </w:rPr>
      </w:pPr>
      <w:r w:rsidRPr="00B4461A">
        <w:rPr>
          <w:b/>
          <w:bCs/>
        </w:rPr>
        <w:t>7. „</w:t>
      </w:r>
      <w:proofErr w:type="spellStart"/>
      <w:r w:rsidRPr="00B4461A">
        <w:rPr>
          <w:b/>
          <w:bCs/>
        </w:rPr>
        <w:t>Boost</w:t>
      </w:r>
      <w:proofErr w:type="spellEnd"/>
      <w:r w:rsidRPr="00B4461A">
        <w:rPr>
          <w:b/>
          <w:bCs/>
        </w:rPr>
        <w:t>“ galios didinimo funkcija</w:t>
      </w:r>
    </w:p>
    <w:p w14:paraId="3D803577" w14:textId="77777777" w:rsidR="00B4461A" w:rsidRPr="00B4461A" w:rsidRDefault="00B4461A" w:rsidP="00B4461A">
      <w:pPr>
        <w:contextualSpacing/>
      </w:pPr>
      <w:r w:rsidRPr="00B4461A">
        <w:t xml:space="preserve">7.1. Hibridinis </w:t>
      </w:r>
      <w:proofErr w:type="spellStart"/>
      <w:r w:rsidRPr="00B4461A">
        <w:t>inverteris</w:t>
      </w:r>
      <w:proofErr w:type="spellEnd"/>
      <w:r w:rsidRPr="00B4461A">
        <w:t xml:space="preserve"> / hibridinė sistema turi turėti „</w:t>
      </w:r>
      <w:proofErr w:type="spellStart"/>
      <w:r w:rsidRPr="00B4461A">
        <w:t>Boost</w:t>
      </w:r>
      <w:proofErr w:type="spellEnd"/>
      <w:r w:rsidRPr="00B4461A">
        <w:t>“ galios didinimo funkciją arba lygiavertę trumpalaikės papildomos galios / galios rezervo funkciją, leidžiančią prie esamos momentinės Perkančiojo subjekto tinklo apkrovos papildomai tiekti galią iš LFP baterijos.</w:t>
      </w:r>
    </w:p>
    <w:p w14:paraId="7A8FDE75" w14:textId="77777777" w:rsidR="00B4461A" w:rsidRPr="00B4461A" w:rsidRDefault="00B4461A" w:rsidP="00B4461A">
      <w:pPr>
        <w:contextualSpacing/>
      </w:pPr>
      <w:r w:rsidRPr="00B4461A">
        <w:t>7.2. Funkcija turi veikti taip, kad, esant nustatytai tinklo galios ribai, sistema galėtų papildomą galią apkrovai tiekti iš baterijos, neviršydama tinklo operatoriaus nustatytų ribojimų, įrangos leistinų srovių, baterijos SOC ribų ir saugos sąlygų.</w:t>
      </w:r>
    </w:p>
    <w:p w14:paraId="7C563299" w14:textId="77777777" w:rsidR="00B4461A" w:rsidRPr="00B4461A" w:rsidRDefault="00B4461A" w:rsidP="00B4461A">
      <w:pPr>
        <w:contextualSpacing/>
      </w:pPr>
      <w:r w:rsidRPr="00B4461A">
        <w:t xml:space="preserve">7.3. Siekiamas funkcinis rezultatas: jeigu Perkančiojo subjekto tinklo maksimali naudojama galia yra 100 kW, hibridinė sistema, naudodama baterijoje sukauptą energiją, turi sudaryti technines sąlygas trumpalaikei apkrovai padidinti iki 200 kW, kai tai leidžia baterijos įkrovos lygis, </w:t>
      </w:r>
      <w:proofErr w:type="spellStart"/>
      <w:r w:rsidRPr="00B4461A">
        <w:t>inverterio</w:t>
      </w:r>
      <w:proofErr w:type="spellEnd"/>
      <w:r w:rsidRPr="00B4461A">
        <w:t xml:space="preserve"> galia, įrangos apsaugos, projektiniai sprendiniai ir tinklo operatoriaus sąlygos.</w:t>
      </w:r>
    </w:p>
    <w:p w14:paraId="11E020C7" w14:textId="77777777" w:rsidR="00B4461A" w:rsidRPr="00B4461A" w:rsidRDefault="00B4461A" w:rsidP="00B4461A">
      <w:pPr>
        <w:contextualSpacing/>
      </w:pPr>
      <w:r w:rsidRPr="00B4461A">
        <w:t>7.4. „</w:t>
      </w:r>
      <w:proofErr w:type="spellStart"/>
      <w:r w:rsidRPr="00B4461A">
        <w:t>Boost</w:t>
      </w:r>
      <w:proofErr w:type="spellEnd"/>
      <w:r w:rsidRPr="00B4461A">
        <w:t>“ funkcija turi būti valdoma automatiškai pagal faktinį apkrovos poreikį, saulės generaciją, baterijos SOC, nustatytus galios limitus ir sistemos saugos algoritmus.</w:t>
      </w:r>
    </w:p>
    <w:p w14:paraId="5E563C3F" w14:textId="77777777" w:rsidR="00B4461A" w:rsidRPr="00B4461A" w:rsidRDefault="00B4461A" w:rsidP="00B4461A">
      <w:pPr>
        <w:contextualSpacing/>
      </w:pPr>
      <w:r w:rsidRPr="00B4461A">
        <w:t>7.5. Tiekėjo techniniame pasiūlyme turi būti aprašyta:</w:t>
      </w:r>
    </w:p>
    <w:p w14:paraId="2D522171" w14:textId="77777777" w:rsidR="00B4461A" w:rsidRPr="00B4461A" w:rsidRDefault="00B4461A" w:rsidP="00B4461A">
      <w:pPr>
        <w:contextualSpacing/>
      </w:pPr>
      <w:r w:rsidRPr="00B4461A">
        <w:t>7.5.1. „</w:t>
      </w:r>
      <w:proofErr w:type="spellStart"/>
      <w:r w:rsidRPr="00B4461A">
        <w:t>Boost</w:t>
      </w:r>
      <w:proofErr w:type="spellEnd"/>
      <w:r w:rsidRPr="00B4461A">
        <w:t>“ arba lygiavertės funkcijos veikimo principas;</w:t>
      </w:r>
    </w:p>
    <w:p w14:paraId="42D9BCC0" w14:textId="77777777" w:rsidR="00B4461A" w:rsidRPr="00B4461A" w:rsidRDefault="00B4461A" w:rsidP="00B4461A">
      <w:pPr>
        <w:contextualSpacing/>
      </w:pPr>
      <w:r w:rsidRPr="00B4461A">
        <w:t>7.5.2. didžiausia galima papildoma trumpalaikė galia;</w:t>
      </w:r>
    </w:p>
    <w:p w14:paraId="362ADD47" w14:textId="77777777" w:rsidR="00B4461A" w:rsidRPr="00B4461A" w:rsidRDefault="00B4461A" w:rsidP="00B4461A">
      <w:pPr>
        <w:contextualSpacing/>
      </w:pPr>
      <w:r w:rsidRPr="00B4461A">
        <w:t>7.5.3. bendra galima apkrovos galia naudojant tinklo ir baterijos galią kartu;</w:t>
      </w:r>
    </w:p>
    <w:p w14:paraId="2577CA3B" w14:textId="77777777" w:rsidR="00B4461A" w:rsidRPr="00B4461A" w:rsidRDefault="00B4461A" w:rsidP="00B4461A">
      <w:pPr>
        <w:contextualSpacing/>
      </w:pPr>
      <w:r w:rsidRPr="00B4461A">
        <w:t>7.5.4. veikimo trukmės priklausomybė nuo baterijos SOC ir baterijos talpos;</w:t>
      </w:r>
    </w:p>
    <w:p w14:paraId="7F960050" w14:textId="77777777" w:rsidR="00B4461A" w:rsidRPr="00B4461A" w:rsidRDefault="00B4461A" w:rsidP="00B4461A">
      <w:pPr>
        <w:contextualSpacing/>
      </w:pPr>
      <w:r w:rsidRPr="00B4461A">
        <w:t>7.5.5. minimalus SOC, nuo kurio funkcija ribojama arba išjungiama;</w:t>
      </w:r>
    </w:p>
    <w:p w14:paraId="3896F6D2" w14:textId="77777777" w:rsidR="00B4461A" w:rsidRPr="00B4461A" w:rsidRDefault="00B4461A" w:rsidP="00B4461A">
      <w:pPr>
        <w:contextualSpacing/>
      </w:pPr>
      <w:r w:rsidRPr="00B4461A">
        <w:t>7.5.6. apsaugos ir automatinio galios ribojimo sąlygos;</w:t>
      </w:r>
    </w:p>
    <w:p w14:paraId="1287B693" w14:textId="77777777" w:rsidR="00B4461A" w:rsidRPr="00B4461A" w:rsidRDefault="00B4461A" w:rsidP="00B4461A">
      <w:pPr>
        <w:contextualSpacing/>
      </w:pPr>
      <w:r w:rsidRPr="00B4461A">
        <w:lastRenderedPageBreak/>
        <w:t>7.5.7. suderinamumas su tinklo operatoriaus nustatytais ribojimais;</w:t>
      </w:r>
    </w:p>
    <w:p w14:paraId="7B73E889" w14:textId="77777777" w:rsidR="00B4461A" w:rsidRPr="00B4461A" w:rsidRDefault="00B4461A" w:rsidP="00B4461A">
      <w:pPr>
        <w:contextualSpacing/>
      </w:pPr>
      <w:r w:rsidRPr="00B4461A">
        <w:t>7.5.8. sąveika su autobusų įkrovimo stotelių apkrova ir energijos valdymo sistema.</w:t>
      </w:r>
    </w:p>
    <w:p w14:paraId="28ACC662" w14:textId="77777777" w:rsidR="00B4461A" w:rsidRPr="00B4461A" w:rsidRDefault="00B4461A" w:rsidP="00B4461A">
      <w:pPr>
        <w:contextualSpacing/>
        <w:rPr>
          <w:b/>
          <w:bCs/>
        </w:rPr>
      </w:pPr>
      <w:r w:rsidRPr="00B4461A">
        <w:rPr>
          <w:b/>
          <w:bCs/>
        </w:rPr>
        <w:t>8. Integravimo į autobusų įkrovimo infrastruktūrą reikalavimai</w:t>
      </w:r>
    </w:p>
    <w:p w14:paraId="074365C3" w14:textId="77777777" w:rsidR="00B4461A" w:rsidRPr="00B4461A" w:rsidRDefault="00B4461A" w:rsidP="00B4461A">
      <w:pPr>
        <w:contextualSpacing/>
      </w:pPr>
      <w:r w:rsidRPr="00B4461A">
        <w:t>8.1. Sistema turi būti integruota į esamą elektrinių autobusų įkrovimo infrastruktūrą taip, kad veiktų kaip suderinta elektros energijos gamybos, kaupimo ir paskirstymo sistema.</w:t>
      </w:r>
    </w:p>
    <w:p w14:paraId="3FA39A3E" w14:textId="77777777" w:rsidR="00B4461A" w:rsidRPr="00B4461A" w:rsidRDefault="00B4461A" w:rsidP="00B4461A">
      <w:pPr>
        <w:contextualSpacing/>
      </w:pPr>
      <w:r w:rsidRPr="00B4461A">
        <w:t>8.2. Energijos valdymo sistema turi užtikrinti ne mažiau kaip šią logiką:</w:t>
      </w:r>
    </w:p>
    <w:p w14:paraId="02612367" w14:textId="77777777" w:rsidR="00B4461A" w:rsidRPr="00B4461A" w:rsidRDefault="00B4461A" w:rsidP="00B4461A">
      <w:pPr>
        <w:contextualSpacing/>
      </w:pPr>
      <w:r w:rsidRPr="00B4461A">
        <w:t xml:space="preserve">8.2.1. kai yra saulės generacija, ji </w:t>
      </w:r>
      <w:proofErr w:type="spellStart"/>
      <w:r w:rsidRPr="00B4461A">
        <w:t>prioritetiškai</w:t>
      </w:r>
      <w:proofErr w:type="spellEnd"/>
      <w:r w:rsidRPr="00B4461A">
        <w:t xml:space="preserve"> naudojama įkrovimo infrastruktūros apkrovoms;</w:t>
      </w:r>
    </w:p>
    <w:p w14:paraId="6397E8F4" w14:textId="77777777" w:rsidR="00B4461A" w:rsidRPr="00B4461A" w:rsidRDefault="00B4461A" w:rsidP="00B4461A">
      <w:pPr>
        <w:contextualSpacing/>
      </w:pPr>
      <w:r w:rsidRPr="00B4461A">
        <w:t>8.2.2. kai saulės generacijos nepakanka, trūkstama galia gali būti tiekiama iš baterijos, atsižvelgiant į SOC, nustatytus ribojimus ir saugos sąlygas;</w:t>
      </w:r>
    </w:p>
    <w:p w14:paraId="55D0BDDF" w14:textId="77777777" w:rsidR="00B4461A" w:rsidRPr="00B4461A" w:rsidRDefault="00B4461A" w:rsidP="00B4461A">
      <w:pPr>
        <w:contextualSpacing/>
      </w:pPr>
      <w:r w:rsidRPr="00B4461A">
        <w:t>8.2.3. kai autobusų įkrovimo infrastruktūros momentinė apkrova viršija iš tinklo leidžiamą ar nustatytą galios ribą, sistema turi aktyvuoti „</w:t>
      </w:r>
      <w:proofErr w:type="spellStart"/>
      <w:r w:rsidRPr="00B4461A">
        <w:t>Boost</w:t>
      </w:r>
      <w:proofErr w:type="spellEnd"/>
      <w:r w:rsidRPr="00B4461A">
        <w:t xml:space="preserve">“ arba lygiavertę galios didinimo funkciją ir papildomą galią tiekti iš baterijos, jeigu tai leidžia baterijos SOC, </w:t>
      </w:r>
      <w:proofErr w:type="spellStart"/>
      <w:r w:rsidRPr="00B4461A">
        <w:t>inverterio</w:t>
      </w:r>
      <w:proofErr w:type="spellEnd"/>
      <w:r w:rsidRPr="00B4461A">
        <w:t xml:space="preserve"> parametrai, apsaugos ir projektiniai ribojimai;</w:t>
      </w:r>
    </w:p>
    <w:p w14:paraId="4410EDB3" w14:textId="77777777" w:rsidR="00B4461A" w:rsidRPr="00B4461A" w:rsidRDefault="00B4461A" w:rsidP="00B4461A">
      <w:pPr>
        <w:contextualSpacing/>
      </w:pPr>
      <w:r w:rsidRPr="00B4461A">
        <w:t>8.2.4. kai yra perteklinė saulės generacija ir leidžia režimas, energija nukreipiama baterijai įkrauti;</w:t>
      </w:r>
    </w:p>
    <w:p w14:paraId="587BD620" w14:textId="77777777" w:rsidR="00B4461A" w:rsidRPr="00B4461A" w:rsidRDefault="00B4461A" w:rsidP="00B4461A">
      <w:pPr>
        <w:contextualSpacing/>
      </w:pPr>
      <w:r w:rsidRPr="00B4461A">
        <w:t>8.2.5. sistema automatiškai riboja veikimą taip, kad nebūtų viršytos leistinos tinklo, įrangos ir saugos ribos;</w:t>
      </w:r>
    </w:p>
    <w:p w14:paraId="21D26B42" w14:textId="77777777" w:rsidR="00B4461A" w:rsidRPr="00B4461A" w:rsidRDefault="00B4461A" w:rsidP="00B4461A">
      <w:pPr>
        <w:contextualSpacing/>
      </w:pPr>
      <w:r w:rsidRPr="00B4461A">
        <w:t>8.2.6. turi būti įmanomas rankinis prioritetų ar darbo režimų koregavimas pagal suteiktas naudotojo teises.</w:t>
      </w:r>
    </w:p>
    <w:p w14:paraId="20699074" w14:textId="77777777" w:rsidR="00B4461A" w:rsidRPr="00B4461A" w:rsidRDefault="00B4461A" w:rsidP="00B4461A">
      <w:pPr>
        <w:contextualSpacing/>
      </w:pPr>
      <w:r w:rsidRPr="00B4461A">
        <w:t>8.3. Integracija turi būti pagrįsta projektiniais sprendiniais, kuriuose nurodoma:</w:t>
      </w:r>
    </w:p>
    <w:p w14:paraId="0CD784F1" w14:textId="77777777" w:rsidR="00B4461A" w:rsidRPr="00B4461A" w:rsidRDefault="00B4461A" w:rsidP="00B4461A">
      <w:pPr>
        <w:contextualSpacing/>
      </w:pPr>
      <w:r w:rsidRPr="00B4461A">
        <w:t>8.3.1. principinė elektros schema;</w:t>
      </w:r>
    </w:p>
    <w:p w14:paraId="4313BA03" w14:textId="77777777" w:rsidR="00B4461A" w:rsidRPr="00B4461A" w:rsidRDefault="00B4461A" w:rsidP="00B4461A">
      <w:pPr>
        <w:contextualSpacing/>
      </w:pPr>
      <w:r w:rsidRPr="00B4461A">
        <w:t>8.3.2. matavimo ir valdymo taškai;</w:t>
      </w:r>
    </w:p>
    <w:p w14:paraId="66D3E239" w14:textId="77777777" w:rsidR="00B4461A" w:rsidRPr="00B4461A" w:rsidRDefault="00B4461A" w:rsidP="00B4461A">
      <w:pPr>
        <w:contextualSpacing/>
      </w:pPr>
      <w:r w:rsidRPr="00B4461A">
        <w:t>8.3.3. galios balansavimo algoritmas;</w:t>
      </w:r>
    </w:p>
    <w:p w14:paraId="699A9C71" w14:textId="77777777" w:rsidR="00B4461A" w:rsidRPr="00B4461A" w:rsidRDefault="00B4461A" w:rsidP="00B4461A">
      <w:pPr>
        <w:contextualSpacing/>
      </w:pPr>
      <w:r w:rsidRPr="00B4461A">
        <w:t>8.3.4. apsaugų ir avarinio išjungimo sąveika;</w:t>
      </w:r>
    </w:p>
    <w:p w14:paraId="6B707EEE" w14:textId="77777777" w:rsidR="00B4461A" w:rsidRPr="00B4461A" w:rsidRDefault="00B4461A" w:rsidP="00B4461A">
      <w:pPr>
        <w:contextualSpacing/>
      </w:pPr>
      <w:r w:rsidRPr="00B4461A">
        <w:t>8.3.5. komunikacijos sąsajos;</w:t>
      </w:r>
    </w:p>
    <w:p w14:paraId="55C24F2B" w14:textId="77777777" w:rsidR="00B4461A" w:rsidRPr="00B4461A" w:rsidRDefault="00B4461A" w:rsidP="00B4461A">
      <w:pPr>
        <w:contextualSpacing/>
      </w:pPr>
      <w:r w:rsidRPr="00B4461A">
        <w:t>8.3.6. sistemos darbo režimai.</w:t>
      </w:r>
    </w:p>
    <w:p w14:paraId="1A64153E" w14:textId="77777777" w:rsidR="00B4461A" w:rsidRPr="00B4461A" w:rsidRDefault="00B4461A" w:rsidP="00B4461A">
      <w:pPr>
        <w:contextualSpacing/>
        <w:rPr>
          <w:b/>
          <w:bCs/>
        </w:rPr>
      </w:pPr>
      <w:r w:rsidRPr="00B4461A">
        <w:rPr>
          <w:b/>
          <w:bCs/>
        </w:rPr>
        <w:t>9. Valdymo, stebėsenos ir duomenų saugumo reikalavimai</w:t>
      </w:r>
    </w:p>
    <w:p w14:paraId="0C8F9F3A" w14:textId="77777777" w:rsidR="00B4461A" w:rsidRPr="00B4461A" w:rsidRDefault="00B4461A" w:rsidP="00B4461A">
      <w:pPr>
        <w:contextualSpacing/>
      </w:pPr>
      <w:r w:rsidRPr="00B4461A">
        <w:t>9.1. Sistemos parametrų nustatymas, stebėsena ir valdymas turi būti galimi lokaliame Perkančiojo subjekto LAN tinkle.</w:t>
      </w:r>
    </w:p>
    <w:p w14:paraId="7CDC3448" w14:textId="77777777" w:rsidR="00B4461A" w:rsidRPr="00B4461A" w:rsidRDefault="00B4461A" w:rsidP="00B4461A">
      <w:pPr>
        <w:contextualSpacing/>
      </w:pPr>
      <w:r w:rsidRPr="00B4461A">
        <w:t>9.2. Sistema negali būti techniškai priklausoma nuo privalomų trečiųjų šalių debesijos paslaugų taip, kad be jų nebūtų galima atlikti pagrindinių valdymo, stebėsenos, konfigūravimo, diagnostikos ar saugaus eksploatavimo funkcijų.</w:t>
      </w:r>
    </w:p>
    <w:p w14:paraId="26CEA18C" w14:textId="3F6AB3B8" w:rsidR="00B4461A" w:rsidRPr="00B4461A" w:rsidRDefault="00B4461A" w:rsidP="00B4461A">
      <w:pPr>
        <w:contextualSpacing/>
      </w:pPr>
      <w:r w:rsidRPr="00B4461A">
        <w:t xml:space="preserve">9.3. </w:t>
      </w:r>
      <w:r w:rsidR="00CF4FD6">
        <w:t>Pagrindinės sistemos valdymo, stebėsenos, konfigūravimo, diagnostikos ir saugaus eksploatavimo funkcijos turi veikti lokaliai, be privalomos priklausomybės nuo ne ES debesijos paslaugų. Sistemos veikimui būtini duomenys negali būti perduodami už Europos Sąjungos ribų, išskyrus atvejus, kai toks perdavimas yra būtinas teisėtam garantiniam ar techniniam aptarnavimui, iš anksto suderintas su Perkančiuoju subjektu ir atitinka taikomus duomenų apsaugos bei kibernetinio saugumo reikalavimus.</w:t>
      </w:r>
    </w:p>
    <w:p w14:paraId="60184735" w14:textId="77777777" w:rsidR="00B4461A" w:rsidRPr="00B4461A" w:rsidRDefault="00B4461A" w:rsidP="00B4461A">
      <w:pPr>
        <w:contextualSpacing/>
      </w:pPr>
      <w:r w:rsidRPr="00B4461A">
        <w:t>9.4. Nuotolinė prieiga, jeigu siūloma, turi būti išjungiama arba ribojama Perkančiojo subjekto sprendimu. Nuotolinė prieiga turi būti apsaugota autentifikavimo, prieigos teisių ir šifravimo priemonėmis.</w:t>
      </w:r>
    </w:p>
    <w:p w14:paraId="1E70A3CF" w14:textId="77777777" w:rsidR="00B4461A" w:rsidRPr="00B4461A" w:rsidRDefault="00B4461A" w:rsidP="00B4461A">
      <w:pPr>
        <w:contextualSpacing/>
      </w:pPr>
      <w:r w:rsidRPr="00B4461A">
        <w:t>9.5. Lokali stebėsenos sistema turi rodyti ne mažiau kaip:</w:t>
      </w:r>
    </w:p>
    <w:p w14:paraId="6248F0B9" w14:textId="77777777" w:rsidR="00B4461A" w:rsidRPr="00B4461A" w:rsidRDefault="00B4461A" w:rsidP="00B4461A">
      <w:pPr>
        <w:contextualSpacing/>
      </w:pPr>
      <w:r w:rsidRPr="00B4461A">
        <w:t>9.5.1. saulės elektrinės momentinę galią ir pagamintą energiją;</w:t>
      </w:r>
    </w:p>
    <w:p w14:paraId="2347CFB6" w14:textId="77777777" w:rsidR="00B4461A" w:rsidRPr="00B4461A" w:rsidRDefault="00B4461A" w:rsidP="00B4461A">
      <w:pPr>
        <w:contextualSpacing/>
      </w:pPr>
      <w:r w:rsidRPr="00B4461A">
        <w:lastRenderedPageBreak/>
        <w:t>9.5.2. baterijos SOC, įkrovimo ir iškrovimo galią;</w:t>
      </w:r>
    </w:p>
    <w:p w14:paraId="14F83F2E" w14:textId="77777777" w:rsidR="00B4461A" w:rsidRPr="00B4461A" w:rsidRDefault="00B4461A" w:rsidP="00B4461A">
      <w:pPr>
        <w:contextualSpacing/>
      </w:pPr>
      <w:r w:rsidRPr="00B4461A">
        <w:t>9.5.3. tinklo importo ir eksporto galią, jeigu eksportas leidžiamas;</w:t>
      </w:r>
    </w:p>
    <w:p w14:paraId="129C74D2" w14:textId="77777777" w:rsidR="00B4461A" w:rsidRPr="00B4461A" w:rsidRDefault="00B4461A" w:rsidP="00B4461A">
      <w:pPr>
        <w:contextualSpacing/>
      </w:pPr>
      <w:r w:rsidRPr="00B4461A">
        <w:t>9.5.4. įkrovimo infrastruktūros bendrą apkrovą, jeigu techniškai įmanoma gauti šiuos duomenis;</w:t>
      </w:r>
    </w:p>
    <w:p w14:paraId="173A5D1B" w14:textId="77777777" w:rsidR="00B4461A" w:rsidRPr="00B4461A" w:rsidRDefault="00B4461A" w:rsidP="00B4461A">
      <w:pPr>
        <w:contextualSpacing/>
      </w:pPr>
      <w:r w:rsidRPr="00B4461A">
        <w:t>9.5.5. sistemos darbo režimą;</w:t>
      </w:r>
    </w:p>
    <w:p w14:paraId="35128CDB" w14:textId="77777777" w:rsidR="00B4461A" w:rsidRPr="00B4461A" w:rsidRDefault="00B4461A" w:rsidP="00B4461A">
      <w:pPr>
        <w:contextualSpacing/>
      </w:pPr>
      <w:r w:rsidRPr="00B4461A">
        <w:t>9.5.6. įspėjimus, avarijas ir įvykių istoriją;</w:t>
      </w:r>
    </w:p>
    <w:p w14:paraId="23B2824E" w14:textId="77777777" w:rsidR="00B4461A" w:rsidRPr="00B4461A" w:rsidRDefault="00B4461A" w:rsidP="00B4461A">
      <w:pPr>
        <w:contextualSpacing/>
      </w:pPr>
      <w:r w:rsidRPr="00B4461A">
        <w:t>9.5.7. pagrindinius energijos balanso duomenis.</w:t>
      </w:r>
    </w:p>
    <w:p w14:paraId="123DAE86" w14:textId="77777777" w:rsidR="00B4461A" w:rsidRPr="00B4461A" w:rsidRDefault="00B4461A" w:rsidP="00B4461A">
      <w:pPr>
        <w:contextualSpacing/>
      </w:pPr>
      <w:r w:rsidRPr="00B4461A">
        <w:t>9.6. Sistema turi turėti techninę ir / arba programinę plėtros galimybę ateityje naudoti elektros biržos kainų duomenis baterijos įkrovimo ir iškrovimo strategijoms optimizuoti. Tiekėjas turi pateikti šios galimybės aprašymą.</w:t>
      </w:r>
    </w:p>
    <w:p w14:paraId="635D0965" w14:textId="77777777" w:rsidR="00B4461A" w:rsidRPr="00B4461A" w:rsidRDefault="00B4461A" w:rsidP="00B4461A">
      <w:pPr>
        <w:contextualSpacing/>
        <w:rPr>
          <w:b/>
          <w:bCs/>
        </w:rPr>
      </w:pPr>
      <w:r w:rsidRPr="00B4461A">
        <w:rPr>
          <w:b/>
          <w:bCs/>
        </w:rPr>
        <w:t>10. Projektavimo techniniai reikalavimai</w:t>
      </w:r>
    </w:p>
    <w:p w14:paraId="033E42CF" w14:textId="77777777" w:rsidR="00B4461A" w:rsidRPr="00B4461A" w:rsidRDefault="00B4461A" w:rsidP="00B4461A">
      <w:pPr>
        <w:contextualSpacing/>
      </w:pPr>
      <w:r w:rsidRPr="00B4461A">
        <w:t>10.1. Projektiniuose sprendiniuose turi būti įvertinta:</w:t>
      </w:r>
    </w:p>
    <w:p w14:paraId="0695ADE2" w14:textId="77777777" w:rsidR="00B4461A" w:rsidRPr="00B4461A" w:rsidRDefault="00B4461A" w:rsidP="00B4461A">
      <w:pPr>
        <w:contextualSpacing/>
      </w:pPr>
      <w:r w:rsidRPr="00B4461A">
        <w:t>10.1.1. esama elektros infrastruktūra;</w:t>
      </w:r>
    </w:p>
    <w:p w14:paraId="373C70CD" w14:textId="77777777" w:rsidR="00B4461A" w:rsidRPr="00B4461A" w:rsidRDefault="00B4461A" w:rsidP="00B4461A">
      <w:pPr>
        <w:contextualSpacing/>
      </w:pPr>
      <w:r w:rsidRPr="00B4461A">
        <w:t>10.1.2. autobusų įkrovimo infrastruktūros galios poreikiai;</w:t>
      </w:r>
    </w:p>
    <w:p w14:paraId="24C02DB3" w14:textId="77777777" w:rsidR="00B4461A" w:rsidRPr="00B4461A" w:rsidRDefault="00B4461A" w:rsidP="00B4461A">
      <w:pPr>
        <w:contextualSpacing/>
      </w:pPr>
      <w:r w:rsidRPr="00B4461A">
        <w:t>10.1.3. saulės modulių išdėstymas ir šešėliavimas;</w:t>
      </w:r>
    </w:p>
    <w:p w14:paraId="7BA5F049" w14:textId="77777777" w:rsidR="00B4461A" w:rsidRPr="00B4461A" w:rsidRDefault="00B4461A" w:rsidP="00B4461A">
      <w:pPr>
        <w:contextualSpacing/>
      </w:pPr>
      <w:r w:rsidRPr="00B4461A">
        <w:t>10.1.4. konstrukcijų stabilumas, vėjo ir sniego apkrovos;</w:t>
      </w:r>
    </w:p>
    <w:p w14:paraId="28000C91" w14:textId="77777777" w:rsidR="00B4461A" w:rsidRPr="00B4461A" w:rsidRDefault="00B4461A" w:rsidP="00B4461A">
      <w:pPr>
        <w:contextualSpacing/>
      </w:pPr>
      <w:r w:rsidRPr="00B4461A">
        <w:t>10.1.5. kabelių, apsaugų, įžeminimo, viršįtampių apsaugos, automatikos ir apskaitos sprendiniai;</w:t>
      </w:r>
    </w:p>
    <w:p w14:paraId="24EEEDD2" w14:textId="77777777" w:rsidR="00B4461A" w:rsidRPr="00B4461A" w:rsidRDefault="00B4461A" w:rsidP="00B4461A">
      <w:pPr>
        <w:contextualSpacing/>
      </w:pPr>
      <w:r w:rsidRPr="00B4461A">
        <w:t>10.1.6. priešgaisrinės ir elektros saugos sprendiniai;</w:t>
      </w:r>
    </w:p>
    <w:p w14:paraId="7D264E47" w14:textId="77777777" w:rsidR="00B4461A" w:rsidRPr="00B4461A" w:rsidRDefault="00B4461A" w:rsidP="00B4461A">
      <w:pPr>
        <w:contextualSpacing/>
      </w:pPr>
      <w:r w:rsidRPr="00B4461A">
        <w:t>10.1.7. integracija į lokalų valdymo tinklą;</w:t>
      </w:r>
    </w:p>
    <w:p w14:paraId="4195F473" w14:textId="77777777" w:rsidR="00B4461A" w:rsidRPr="00B4461A" w:rsidRDefault="00B4461A" w:rsidP="00B4461A">
      <w:pPr>
        <w:contextualSpacing/>
      </w:pPr>
      <w:r w:rsidRPr="00B4461A">
        <w:t>10.1.8. tinklo operatoriaus techninės sąlygos ir ribojimai, jeigu taikoma.</w:t>
      </w:r>
    </w:p>
    <w:p w14:paraId="30CFC6F4" w14:textId="77777777" w:rsidR="00B4461A" w:rsidRPr="00B4461A" w:rsidRDefault="00B4461A" w:rsidP="00B4461A">
      <w:pPr>
        <w:contextualSpacing/>
      </w:pPr>
      <w:r w:rsidRPr="00B4461A">
        <w:t xml:space="preserve">10.2. Projektiniai sprendiniai turi būti parengti taip, kad sistema neviršytų Perkančiajam subjektui suteiktos </w:t>
      </w:r>
      <w:proofErr w:type="spellStart"/>
      <w:r w:rsidRPr="00B4461A">
        <w:t>leistinosios</w:t>
      </w:r>
      <w:proofErr w:type="spellEnd"/>
      <w:r w:rsidRPr="00B4461A">
        <w:t xml:space="preserve"> naudoti galios ir kitų tinklo operatoriaus nustatytų prijungimo sąlygų, išskyrus atvejus, kai teisės aktų nustatyta tvarka gaunami nauji ar pakeisti prijungimo sprendiniai.</w:t>
      </w:r>
    </w:p>
    <w:p w14:paraId="2E105D0D" w14:textId="77777777" w:rsidR="00B4461A" w:rsidRPr="00B4461A" w:rsidRDefault="00B4461A" w:rsidP="00B4461A">
      <w:pPr>
        <w:contextualSpacing/>
        <w:rPr>
          <w:b/>
          <w:bCs/>
        </w:rPr>
      </w:pPr>
      <w:r w:rsidRPr="00B4461A">
        <w:rPr>
          <w:b/>
          <w:bCs/>
        </w:rPr>
        <w:t>11. Elektrotechniniai, saugos ir aplinkosauginiai reikalavimai</w:t>
      </w:r>
    </w:p>
    <w:p w14:paraId="44CE9077" w14:textId="77777777" w:rsidR="00B4461A" w:rsidRPr="00B4461A" w:rsidRDefault="00B4461A" w:rsidP="00B4461A">
      <w:pPr>
        <w:contextualSpacing/>
      </w:pPr>
      <w:r w:rsidRPr="00B4461A">
        <w:t>11.1. Naudojama įranga turi būti nauja, nenaudota, teisėtai tiekiama rinkai ir tinkama naudoti Lietuvos Respublikoje.</w:t>
      </w:r>
    </w:p>
    <w:p w14:paraId="43890FC7" w14:textId="77777777" w:rsidR="00B4461A" w:rsidRPr="00B4461A" w:rsidRDefault="00B4461A" w:rsidP="00B4461A">
      <w:pPr>
        <w:contextualSpacing/>
      </w:pPr>
      <w:r w:rsidRPr="00B4461A">
        <w:t>11.2. Lauko sąlygomis montuojama įranga turi būti atspari UV spinduliuotei, drėgmei, temperatūrų svyravimams ir mechaniniam poveikiui.</w:t>
      </w:r>
    </w:p>
    <w:p w14:paraId="7C2F2A5E" w14:textId="77777777" w:rsidR="00B4461A" w:rsidRPr="00B4461A" w:rsidRDefault="00B4461A" w:rsidP="00B4461A">
      <w:pPr>
        <w:contextualSpacing/>
      </w:pPr>
      <w:r w:rsidRPr="00B4461A">
        <w:t>11.3. Turi būti numatytos elektrosaugos priemonės nuo trumpojo jungimo, perkrovos, viršįtampių, nuotėkio srovių, netinkamo įžeminimo ir kitų pavojingų būsenų.</w:t>
      </w:r>
    </w:p>
    <w:p w14:paraId="387959A0" w14:textId="77777777" w:rsidR="00B4461A" w:rsidRPr="00B4461A" w:rsidRDefault="00B4461A" w:rsidP="00B4461A">
      <w:pPr>
        <w:contextualSpacing/>
      </w:pPr>
      <w:r w:rsidRPr="00B4461A">
        <w:t>11.4. Turi būti įrengtos aiškiai identifikuojamos avarinio išjungimo priemonės.</w:t>
      </w:r>
    </w:p>
    <w:p w14:paraId="2270242C" w14:textId="77777777" w:rsidR="00B4461A" w:rsidRPr="00B4461A" w:rsidRDefault="00B4461A" w:rsidP="00B4461A">
      <w:pPr>
        <w:contextualSpacing/>
      </w:pPr>
      <w:r w:rsidRPr="00B4461A">
        <w:t xml:space="preserve">11.5. Sistema turi būti paženklinta taip, kad būtų aiškiai identifikuojamos DC grandinės, AC grandinės, apsaugos aparatai, įžeminimas, avarinio išjungimo priemonės, </w:t>
      </w:r>
      <w:proofErr w:type="spellStart"/>
      <w:r w:rsidRPr="00B4461A">
        <w:t>inverteris</w:t>
      </w:r>
      <w:proofErr w:type="spellEnd"/>
      <w:r w:rsidRPr="00B4461A">
        <w:t>, baterijų sistema ir pagrindiniai skydai.</w:t>
      </w:r>
    </w:p>
    <w:p w14:paraId="432865AE" w14:textId="77777777" w:rsidR="00B4461A" w:rsidRPr="00B4461A" w:rsidRDefault="00B4461A" w:rsidP="00B4461A">
      <w:pPr>
        <w:contextualSpacing/>
      </w:pPr>
      <w:r w:rsidRPr="00B4461A">
        <w:t>11.6. Sistema turi prisidėti prie atsinaujinančių energijos išteklių naudojimo transporto sektoriuje ir energijos vartojimo efektyvumo didinimo. Montavimo metu susidariusios atliekos ir pakuotės turi būti tvarkomos pagal taikomus teisės aktus.</w:t>
      </w:r>
    </w:p>
    <w:p w14:paraId="7FD198CD" w14:textId="77777777" w:rsidR="00B4461A" w:rsidRPr="00B4461A" w:rsidRDefault="00B4461A" w:rsidP="00B4461A">
      <w:pPr>
        <w:contextualSpacing/>
        <w:rPr>
          <w:b/>
          <w:bCs/>
        </w:rPr>
      </w:pPr>
      <w:r w:rsidRPr="00B4461A">
        <w:rPr>
          <w:b/>
          <w:bCs/>
        </w:rPr>
        <w:t>12. Techniniai bandymai ir priėmimo kriterijai</w:t>
      </w:r>
    </w:p>
    <w:p w14:paraId="26DFF373" w14:textId="77777777" w:rsidR="00B4461A" w:rsidRPr="00B4461A" w:rsidRDefault="00B4461A" w:rsidP="00B4461A">
      <w:pPr>
        <w:contextualSpacing/>
      </w:pPr>
      <w:r w:rsidRPr="00B4461A">
        <w:t>12.1. Techniniam rezultatui patvirtinti turi būti atlikti ne mažiau kaip šie bandymai ir patikros:</w:t>
      </w:r>
    </w:p>
    <w:p w14:paraId="788B49BB" w14:textId="77777777" w:rsidR="00B4461A" w:rsidRPr="00B4461A" w:rsidRDefault="00B4461A" w:rsidP="00B4461A">
      <w:pPr>
        <w:contextualSpacing/>
      </w:pPr>
      <w:r w:rsidRPr="00B4461A">
        <w:t>12.1.1. vizualinė įrangos ir montavimo kokybės patikra;</w:t>
      </w:r>
    </w:p>
    <w:p w14:paraId="12988BAA" w14:textId="77777777" w:rsidR="00B4461A" w:rsidRPr="00B4461A" w:rsidRDefault="00B4461A" w:rsidP="00B4461A">
      <w:pPr>
        <w:contextualSpacing/>
      </w:pPr>
      <w:r w:rsidRPr="00B4461A">
        <w:t>12.1.2. konstrukcijų tvirtinimo ir modulių montavimo patikra;</w:t>
      </w:r>
    </w:p>
    <w:p w14:paraId="0132AEA3" w14:textId="77777777" w:rsidR="00B4461A" w:rsidRPr="00B4461A" w:rsidRDefault="00B4461A" w:rsidP="00B4461A">
      <w:pPr>
        <w:contextualSpacing/>
      </w:pPr>
      <w:r w:rsidRPr="00B4461A">
        <w:t>12.1.3. DC grandinių poliškumo, izoliacijos varžos ir jungčių patikra;</w:t>
      </w:r>
    </w:p>
    <w:p w14:paraId="10624755" w14:textId="77777777" w:rsidR="00B4461A" w:rsidRPr="00B4461A" w:rsidRDefault="00B4461A" w:rsidP="00B4461A">
      <w:pPr>
        <w:contextualSpacing/>
      </w:pPr>
      <w:r w:rsidRPr="00B4461A">
        <w:t>12.1.4. AC grandinių, apsaugų ir įžeminimo patikra;</w:t>
      </w:r>
    </w:p>
    <w:p w14:paraId="2557507D" w14:textId="77777777" w:rsidR="00B4461A" w:rsidRPr="00B4461A" w:rsidRDefault="00B4461A" w:rsidP="00B4461A">
      <w:pPr>
        <w:contextualSpacing/>
      </w:pPr>
      <w:r w:rsidRPr="00B4461A">
        <w:lastRenderedPageBreak/>
        <w:t xml:space="preserve">12.1.5. </w:t>
      </w:r>
      <w:proofErr w:type="spellStart"/>
      <w:r w:rsidRPr="00B4461A">
        <w:t>inverterio</w:t>
      </w:r>
      <w:proofErr w:type="spellEnd"/>
      <w:r w:rsidRPr="00B4461A">
        <w:t>, baterijos, BMS ir EMS veikimo patikra;</w:t>
      </w:r>
    </w:p>
    <w:p w14:paraId="21B78AC4" w14:textId="77777777" w:rsidR="00B4461A" w:rsidRPr="00B4461A" w:rsidRDefault="00B4461A" w:rsidP="00B4461A">
      <w:pPr>
        <w:contextualSpacing/>
      </w:pPr>
      <w:r w:rsidRPr="00B4461A">
        <w:t>12.1.6. avarinio išjungimo funkcijų patikra;</w:t>
      </w:r>
    </w:p>
    <w:p w14:paraId="195337A4" w14:textId="77777777" w:rsidR="00B4461A" w:rsidRPr="00B4461A" w:rsidRDefault="00B4461A" w:rsidP="00B4461A">
      <w:pPr>
        <w:contextualSpacing/>
      </w:pPr>
      <w:r w:rsidRPr="00B4461A">
        <w:t>12.1.7. galios balansavimo su autobusų įkrovimo infrastruktūra funkcijų patikra;</w:t>
      </w:r>
    </w:p>
    <w:p w14:paraId="288A53C7" w14:textId="77777777" w:rsidR="00B4461A" w:rsidRPr="00B4461A" w:rsidRDefault="00B4461A" w:rsidP="00B4461A">
      <w:pPr>
        <w:contextualSpacing/>
      </w:pPr>
      <w:r w:rsidRPr="00B4461A">
        <w:t>12.1.8. „</w:t>
      </w:r>
      <w:proofErr w:type="spellStart"/>
      <w:r w:rsidRPr="00B4461A">
        <w:t>Boost</w:t>
      </w:r>
      <w:proofErr w:type="spellEnd"/>
      <w:r w:rsidRPr="00B4461A">
        <w:t>“ arba lygiavertės galios didinimo funkcijos veikimo patikra;</w:t>
      </w:r>
    </w:p>
    <w:p w14:paraId="5DBCB62C" w14:textId="77777777" w:rsidR="00B4461A" w:rsidRPr="00B4461A" w:rsidRDefault="00B4461A" w:rsidP="00B4461A">
      <w:pPr>
        <w:contextualSpacing/>
      </w:pPr>
      <w:r w:rsidRPr="00B4461A">
        <w:t>12.1.9. duomenų stebėsenos lokaliame LAN tinkle patikra.</w:t>
      </w:r>
    </w:p>
    <w:p w14:paraId="2BA59302" w14:textId="77777777" w:rsidR="00B4461A" w:rsidRPr="00B4461A" w:rsidRDefault="00B4461A" w:rsidP="00B4461A">
      <w:pPr>
        <w:contextualSpacing/>
      </w:pPr>
      <w:r w:rsidRPr="00B4461A">
        <w:t>12.2. Techninis rezultatas laikomas atitinkančiu šią techninę specifikaciją, kai:</w:t>
      </w:r>
    </w:p>
    <w:p w14:paraId="0A058DCB" w14:textId="77777777" w:rsidR="00B4461A" w:rsidRPr="00B4461A" w:rsidRDefault="00B4461A" w:rsidP="00B4461A">
      <w:pPr>
        <w:contextualSpacing/>
      </w:pPr>
      <w:r w:rsidRPr="00B4461A">
        <w:t xml:space="preserve">12.2.1. saulės modulių bendra įrengtoji DC galia yra ne mažesnė kaip 55 </w:t>
      </w:r>
      <w:proofErr w:type="spellStart"/>
      <w:r w:rsidRPr="00B4461A">
        <w:t>kWp</w:t>
      </w:r>
      <w:proofErr w:type="spellEnd"/>
      <w:r w:rsidRPr="00B4461A">
        <w:t>;</w:t>
      </w:r>
    </w:p>
    <w:p w14:paraId="121D64F6" w14:textId="77777777" w:rsidR="00B4461A" w:rsidRPr="00B4461A" w:rsidRDefault="00B4461A" w:rsidP="00B4461A">
      <w:pPr>
        <w:contextualSpacing/>
      </w:pPr>
      <w:r w:rsidRPr="00B4461A">
        <w:t>12.2.2. hibridinės sistemos nominali AC galia yra ne mažesnė kaip 100 kW;</w:t>
      </w:r>
    </w:p>
    <w:p w14:paraId="0CB6FE66" w14:textId="77777777" w:rsidR="00B4461A" w:rsidRPr="00B4461A" w:rsidRDefault="00B4461A" w:rsidP="00B4461A">
      <w:pPr>
        <w:contextualSpacing/>
      </w:pPr>
      <w:r w:rsidRPr="00B4461A">
        <w:t>12.2.3. LFP baterijų nominali talpa yra ne mažesnė kaip 210 kWh;</w:t>
      </w:r>
    </w:p>
    <w:p w14:paraId="634A380A" w14:textId="77777777" w:rsidR="00B4461A" w:rsidRPr="00B4461A" w:rsidRDefault="00B4461A" w:rsidP="00B4461A">
      <w:pPr>
        <w:contextualSpacing/>
      </w:pPr>
      <w:r w:rsidRPr="00B4461A">
        <w:t>12.2.4. sistema veikia integruotai su autobusų įkrovimo infrastruktūra;</w:t>
      </w:r>
    </w:p>
    <w:p w14:paraId="3154BF2F" w14:textId="77777777" w:rsidR="00B4461A" w:rsidRPr="00B4461A" w:rsidRDefault="00B4461A" w:rsidP="00B4461A">
      <w:pPr>
        <w:contextualSpacing/>
      </w:pPr>
      <w:r w:rsidRPr="00B4461A">
        <w:t>12.2.5. veikia „</w:t>
      </w:r>
      <w:proofErr w:type="spellStart"/>
      <w:r w:rsidRPr="00B4461A">
        <w:t>Boost</w:t>
      </w:r>
      <w:proofErr w:type="spellEnd"/>
      <w:r w:rsidRPr="00B4461A">
        <w:t>“ arba lygiavertė galios didinimo funkcija;</w:t>
      </w:r>
    </w:p>
    <w:p w14:paraId="1B3748F7" w14:textId="77777777" w:rsidR="00B4461A" w:rsidRPr="00B4461A" w:rsidRDefault="00B4461A" w:rsidP="00B4461A">
      <w:pPr>
        <w:contextualSpacing/>
      </w:pPr>
      <w:r w:rsidRPr="00B4461A">
        <w:t>12.2.6. veikia lokalus LAN stebėsenos ir valdymo funkcionalumas;</w:t>
      </w:r>
    </w:p>
    <w:p w14:paraId="32F6EBDF" w14:textId="77777777" w:rsidR="00B4461A" w:rsidRPr="00B4461A" w:rsidRDefault="00B4461A" w:rsidP="00B4461A">
      <w:pPr>
        <w:contextualSpacing/>
      </w:pPr>
      <w:r w:rsidRPr="00B4461A">
        <w:t>12.2.7. pateikti bandymų ir matavimų protokolai;</w:t>
      </w:r>
    </w:p>
    <w:p w14:paraId="45C39012" w14:textId="77777777" w:rsidR="00B4461A" w:rsidRPr="00B4461A" w:rsidRDefault="00B4461A" w:rsidP="00B4461A">
      <w:pPr>
        <w:contextualSpacing/>
      </w:pPr>
      <w:r w:rsidRPr="00B4461A">
        <w:t>12.2.8. pateikti pagrindinių komponentų techniniai dokumentai ir atitikties įrodymai.</w:t>
      </w:r>
    </w:p>
    <w:p w14:paraId="7A7AD602" w14:textId="77777777" w:rsidR="00B4461A" w:rsidRPr="00B4461A" w:rsidRDefault="00B4461A" w:rsidP="00B4461A">
      <w:pPr>
        <w:contextualSpacing/>
        <w:rPr>
          <w:b/>
          <w:bCs/>
        </w:rPr>
      </w:pPr>
      <w:r w:rsidRPr="00B4461A">
        <w:rPr>
          <w:b/>
          <w:bCs/>
        </w:rPr>
        <w:t>13. Tiekėjo techniniame pasiūlyme pateikiami duomenys</w:t>
      </w:r>
    </w:p>
    <w:p w14:paraId="5570F1E7" w14:textId="77777777" w:rsidR="00B4461A" w:rsidRPr="00B4461A" w:rsidRDefault="00B4461A" w:rsidP="00B4461A">
      <w:pPr>
        <w:contextualSpacing/>
      </w:pPr>
      <w:r w:rsidRPr="00B4461A">
        <w:t>13.1. Tiekėjas kartu su pasiūlymu turi pateikti:</w:t>
      </w:r>
    </w:p>
    <w:p w14:paraId="68FD0966" w14:textId="77777777" w:rsidR="00B4461A" w:rsidRPr="00B4461A" w:rsidRDefault="00B4461A" w:rsidP="00B4461A">
      <w:pPr>
        <w:contextualSpacing/>
      </w:pPr>
      <w:r w:rsidRPr="00B4461A">
        <w:t>13.1.1. siūlomos sistemos techninį aprašymą;</w:t>
      </w:r>
    </w:p>
    <w:p w14:paraId="4E5E9021" w14:textId="77777777" w:rsidR="00B4461A" w:rsidRPr="00B4461A" w:rsidRDefault="00B4461A" w:rsidP="00B4461A">
      <w:pPr>
        <w:contextualSpacing/>
      </w:pPr>
      <w:r w:rsidRPr="00B4461A">
        <w:t>13.1.2. saulės modulių techninių duomenų lapus;</w:t>
      </w:r>
    </w:p>
    <w:p w14:paraId="1CCC286B" w14:textId="77777777" w:rsidR="00B4461A" w:rsidRPr="00B4461A" w:rsidRDefault="00B4461A" w:rsidP="00B4461A">
      <w:pPr>
        <w:contextualSpacing/>
      </w:pPr>
      <w:r w:rsidRPr="00B4461A">
        <w:t xml:space="preserve">13.1.3. hibridinio </w:t>
      </w:r>
      <w:proofErr w:type="spellStart"/>
      <w:r w:rsidRPr="00B4461A">
        <w:t>inverterio</w:t>
      </w:r>
      <w:proofErr w:type="spellEnd"/>
      <w:r w:rsidRPr="00B4461A">
        <w:t xml:space="preserve"> arba hibridinės sistemos techninių duomenų lapus;</w:t>
      </w:r>
    </w:p>
    <w:p w14:paraId="5F374FF6" w14:textId="77777777" w:rsidR="00B4461A" w:rsidRPr="00B4461A" w:rsidRDefault="00B4461A" w:rsidP="00B4461A">
      <w:pPr>
        <w:contextualSpacing/>
      </w:pPr>
      <w:r w:rsidRPr="00B4461A">
        <w:t>13.1.4. baterijų sistemos techninių duomenų lapus;</w:t>
      </w:r>
    </w:p>
    <w:p w14:paraId="680367F5" w14:textId="77777777" w:rsidR="00B4461A" w:rsidRPr="00B4461A" w:rsidRDefault="00B4461A" w:rsidP="00B4461A">
      <w:pPr>
        <w:contextualSpacing/>
      </w:pPr>
      <w:r w:rsidRPr="00B4461A">
        <w:t>13.1.5. tvirtinimo konstrukcijos aprašymą ir pagrindinius techninius dokumentus;</w:t>
      </w:r>
    </w:p>
    <w:p w14:paraId="65B808CE" w14:textId="77777777" w:rsidR="00B4461A" w:rsidRPr="00B4461A" w:rsidRDefault="00B4461A" w:rsidP="00B4461A">
      <w:pPr>
        <w:contextualSpacing/>
      </w:pPr>
      <w:r w:rsidRPr="00B4461A">
        <w:t>13.1.6. principinę sistemos schemą;</w:t>
      </w:r>
    </w:p>
    <w:p w14:paraId="6036A8C4" w14:textId="77777777" w:rsidR="00B4461A" w:rsidRPr="00B4461A" w:rsidRDefault="00B4461A" w:rsidP="00B4461A">
      <w:pPr>
        <w:contextualSpacing/>
      </w:pPr>
      <w:r w:rsidRPr="00B4461A">
        <w:t>13.1.7. galios balansavimo ir integravimo į autobusų įkrovimo infrastruktūrą veikimo aprašymą;</w:t>
      </w:r>
    </w:p>
    <w:p w14:paraId="2BF5508E" w14:textId="77777777" w:rsidR="00B4461A" w:rsidRPr="00B4461A" w:rsidRDefault="00B4461A" w:rsidP="00B4461A">
      <w:pPr>
        <w:contextualSpacing/>
      </w:pPr>
      <w:r w:rsidRPr="00B4461A">
        <w:t>13.1.8. „</w:t>
      </w:r>
      <w:proofErr w:type="spellStart"/>
      <w:r w:rsidRPr="00B4461A">
        <w:t>Boost</w:t>
      </w:r>
      <w:proofErr w:type="spellEnd"/>
      <w:r w:rsidRPr="00B4461A">
        <w:t>“ arba lygiavertės galios didinimo funkcijos aprašymą;</w:t>
      </w:r>
    </w:p>
    <w:p w14:paraId="7D2019E5" w14:textId="77777777" w:rsidR="00B4461A" w:rsidRPr="00B4461A" w:rsidRDefault="00B4461A" w:rsidP="00B4461A">
      <w:pPr>
        <w:contextualSpacing/>
      </w:pPr>
      <w:r w:rsidRPr="00B4461A">
        <w:t>13.1.9. LAN stebėsenos, lokalaus valdymo ir duomenų saugumo sprendinių aprašymą;</w:t>
      </w:r>
    </w:p>
    <w:p w14:paraId="538E5CE0" w14:textId="77777777" w:rsidR="00B4461A" w:rsidRPr="00B4461A" w:rsidRDefault="00B4461A" w:rsidP="00B4461A">
      <w:pPr>
        <w:contextualSpacing/>
      </w:pPr>
      <w:r w:rsidRPr="00B4461A">
        <w:t>13.1.10. pagrindinių komponentų CE deklaracijas, sertifikatus arba lygiaverčius dokumentus;</w:t>
      </w:r>
    </w:p>
    <w:p w14:paraId="178DF2CA" w14:textId="77777777" w:rsidR="00B4461A" w:rsidRPr="00B4461A" w:rsidRDefault="00B4461A" w:rsidP="00B4461A">
      <w:pPr>
        <w:contextualSpacing/>
      </w:pPr>
      <w:r w:rsidRPr="00B4461A">
        <w:t>13.1.11. gamintojo deklaruojamų garantijų, tarnavimo laiko, ciklų skaičiaus ir techninės priežiūros sąlygų aprašymą;</w:t>
      </w:r>
    </w:p>
    <w:p w14:paraId="3BA7FB10" w14:textId="77777777" w:rsidR="00B4461A" w:rsidRPr="00B4461A" w:rsidRDefault="00B4461A" w:rsidP="00B4461A">
      <w:pPr>
        <w:contextualSpacing/>
      </w:pPr>
      <w:r w:rsidRPr="00B4461A">
        <w:t>13.1.12. patvirtinimą, kad pagrindinės sistemos funkcijos nėra priklausomos nuo privalomų ne ES debesijos paslaugų ir kad sistemos veikimui būtini duomenys nebus perduodami už Europos Sąjungos ribų, išskyrus šioje specifikacijoje numatytas išimtis.</w:t>
      </w:r>
    </w:p>
    <w:p w14:paraId="365759D3" w14:textId="77777777" w:rsidR="00B4461A" w:rsidRPr="00B4461A" w:rsidRDefault="00B4461A" w:rsidP="00B4461A">
      <w:pPr>
        <w:contextualSpacing/>
      </w:pPr>
      <w:r w:rsidRPr="00B4461A">
        <w:t>13.2. Perkantysis subjektas turi teisę prašyti pagrįsti siūlomų sprendinių lygiavertiškumą, techninį suderinamumą ir atitiktį šiai techninei specifikacijai.</w:t>
      </w:r>
    </w:p>
    <w:p w14:paraId="3A49034F" w14:textId="77777777" w:rsidR="000648E1" w:rsidRDefault="000648E1" w:rsidP="00B4461A">
      <w:pPr>
        <w:contextualSpacing/>
      </w:pPr>
    </w:p>
    <w:sectPr w:rsidR="00064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1A"/>
    <w:rsid w:val="000648E1"/>
    <w:rsid w:val="000F4ACC"/>
    <w:rsid w:val="00153B38"/>
    <w:rsid w:val="00310282"/>
    <w:rsid w:val="00410059"/>
    <w:rsid w:val="00581181"/>
    <w:rsid w:val="0079700B"/>
    <w:rsid w:val="00850A3E"/>
    <w:rsid w:val="00B4461A"/>
    <w:rsid w:val="00CF4FD6"/>
    <w:rsid w:val="00F40030"/>
    <w:rsid w:val="00FD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2B9F"/>
  <w15:chartTrackingRefBased/>
  <w15:docId w15:val="{DF62099B-9DE9-4D6F-AD78-02EC7A48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B44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4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46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46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461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446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461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4461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461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461A"/>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B4461A"/>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B4461A"/>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B4461A"/>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B4461A"/>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B4461A"/>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4461A"/>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4461A"/>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4461A"/>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B44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461A"/>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446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461A"/>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446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461A"/>
    <w:rPr>
      <w:i/>
      <w:iCs/>
      <w:color w:val="404040" w:themeColor="text1" w:themeTint="BF"/>
      <w:lang w:val="lt-LT"/>
    </w:rPr>
  </w:style>
  <w:style w:type="paragraph" w:styleId="Sraopastraipa">
    <w:name w:val="List Paragraph"/>
    <w:basedOn w:val="prastasis"/>
    <w:uiPriority w:val="34"/>
    <w:qFormat/>
    <w:rsid w:val="00B4461A"/>
    <w:pPr>
      <w:ind w:left="720"/>
      <w:contextualSpacing/>
    </w:pPr>
  </w:style>
  <w:style w:type="character" w:styleId="Rykuspabraukimas">
    <w:name w:val="Intense Emphasis"/>
    <w:basedOn w:val="Numatytasispastraiposriftas"/>
    <w:uiPriority w:val="21"/>
    <w:qFormat/>
    <w:rsid w:val="00B4461A"/>
    <w:rPr>
      <w:i/>
      <w:iCs/>
      <w:color w:val="0F4761" w:themeColor="accent1" w:themeShade="BF"/>
    </w:rPr>
  </w:style>
  <w:style w:type="paragraph" w:styleId="Iskirtacitata">
    <w:name w:val="Intense Quote"/>
    <w:basedOn w:val="prastasis"/>
    <w:next w:val="prastasis"/>
    <w:link w:val="IskirtacitataDiagrama"/>
    <w:uiPriority w:val="30"/>
    <w:qFormat/>
    <w:rsid w:val="00B44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461A"/>
    <w:rPr>
      <w:i/>
      <w:iCs/>
      <w:color w:val="0F4761" w:themeColor="accent1" w:themeShade="BF"/>
      <w:lang w:val="lt-LT"/>
    </w:rPr>
  </w:style>
  <w:style w:type="character" w:styleId="Rykinuoroda">
    <w:name w:val="Intense Reference"/>
    <w:basedOn w:val="Numatytasispastraiposriftas"/>
    <w:uiPriority w:val="32"/>
    <w:qFormat/>
    <w:rsid w:val="00B446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11847</Words>
  <Characters>6754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Česlavas Mikelevičius</dc:creator>
  <cp:keywords/>
  <dc:description/>
  <cp:lastModifiedBy>Česlavas Mikelevičius</cp:lastModifiedBy>
  <cp:revision>5</cp:revision>
  <dcterms:created xsi:type="dcterms:W3CDTF">2026-05-11T11:40:00Z</dcterms:created>
  <dcterms:modified xsi:type="dcterms:W3CDTF">2026-05-13T11:46:00Z</dcterms:modified>
</cp:coreProperties>
</file>