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439D6FE" w:rsidR="00F372C9" w:rsidRPr="00D9406C" w:rsidRDefault="009C040A" w:rsidP="00D9406C">
            <w:pPr>
              <w:jc w:val="center"/>
              <w:rPr>
                <w:rFonts w:asciiTheme="majorHAnsi" w:hAnsiTheme="majorHAnsi" w:cstheme="majorHAnsi"/>
                <w:b/>
              </w:rPr>
            </w:pPr>
            <w:bookmarkStart w:id="0" w:name="tekstoAntraste"/>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9C040A">
              <w:rPr>
                <w:rFonts w:asciiTheme="majorHAnsi" w:hAnsiTheme="majorHAnsi" w:cstheme="majorHAnsi"/>
                <w:b/>
                <w:bCs/>
              </w:rPr>
              <w:t>Integruotos baudžiamojo proceso informacinės sistemos programinės įrangos modernizavimo ir priežiūros paslaugos</w:t>
            </w:r>
            <w:bookmarkEnd w:id="0"/>
            <w:r w:rsidRPr="009C040A">
              <w:rPr>
                <w:rFonts w:asciiTheme="majorHAnsi" w:hAnsiTheme="majorHAnsi" w:cstheme="majorHAnsi"/>
                <w:b/>
                <w:bCs/>
              </w:rPr>
              <w:t xml:space="preserve"> </w:t>
            </w:r>
            <w:r w:rsidRPr="009C040A">
              <w:rPr>
                <w:rFonts w:asciiTheme="majorHAnsi" w:hAnsiTheme="majorHAnsi" w:cstheme="majorHAnsi"/>
                <w:b/>
              </w:rPr>
              <w:t>(PPR-1198)</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5"/>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4F6DA2D8" w:rsidR="003C73F8" w:rsidRPr="00D9406C" w:rsidRDefault="003C73F8" w:rsidP="0032580A">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426C88DF" w14:textId="77777777" w:rsidR="009B5E6A" w:rsidRPr="009B5E6A" w:rsidRDefault="00D9406C" w:rsidP="009B5E6A">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9B5E6A" w:rsidRPr="009B5E6A">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w:t>
      </w:r>
      <w:r w:rsidR="009B5E6A" w:rsidRPr="009B5E6A">
        <w:rPr>
          <w:rFonts w:asciiTheme="majorHAnsi" w:eastAsia="Times New Roman" w:hAnsiTheme="majorHAnsi" w:cstheme="majorHAnsi"/>
          <w:lang w:eastAsia="lt-LT"/>
        </w:rPr>
        <w:lastRenderedPageBreak/>
        <w:t>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9B5E6A" w:rsidRPr="009B5E6A">
        <w:rPr>
          <w:rFonts w:asciiTheme="majorHAnsi" w:eastAsia="Times New Roman" w:hAnsiTheme="majorHAnsi" w:cstheme="majorHAnsi"/>
          <w:lang w:eastAsia="lt-LT"/>
        </w:rPr>
        <w:t>ių</w:t>
      </w:r>
      <w:proofErr w:type="spellEnd"/>
      <w:r w:rsidR="009B5E6A" w:rsidRPr="009B5E6A">
        <w:rPr>
          <w:rFonts w:asciiTheme="majorHAnsi" w:eastAsia="Times New Roman" w:hAnsiTheme="majorHAnsi" w:cstheme="majorHAnsi"/>
          <w:lang w:eastAsia="lt-LT"/>
        </w:rPr>
        <w:t>) pajėgumais tiekėjas nesiremia (jeigu jam taikomas reikalavimas dėl pašalinimo pagrindų nebuvimo).</w:t>
      </w:r>
    </w:p>
    <w:p w14:paraId="6241C2DB" w14:textId="58CBA043" w:rsidR="00BC7275" w:rsidRPr="00BC7275" w:rsidRDefault="009B5E6A" w:rsidP="009B5E6A">
      <w:pPr>
        <w:spacing w:after="0" w:line="240" w:lineRule="auto"/>
        <w:ind w:firstLine="567"/>
        <w:rPr>
          <w:rFonts w:asciiTheme="majorHAnsi" w:eastAsia="Times New Roman" w:hAnsiTheme="majorHAnsi" w:cstheme="majorHAnsi"/>
          <w:lang w:eastAsia="lt-LT"/>
        </w:rPr>
      </w:pPr>
      <w:r w:rsidRPr="009B5E6A">
        <w:rPr>
          <w:rFonts w:asciiTheme="majorHAnsi" w:eastAsia="Times New Roman" w:hAnsiTheme="majorHAnsi" w:cstheme="majorHAnsi"/>
          <w:lang w:eastAsia="lt-LT"/>
        </w:rPr>
        <w:t>Tiekėjo pasiūlymą pripažinus galimu laimėtoju, tiekėjas turi pateiki pirkimo dokumentų Specialiųjų sąlygų 3.1 punkto 3 lentelės 3.1.1 p. nurodytus aktualius dokumentus, patvirtinančius pašalinimo pagrindų nebuvimo faktą, dėl deklaracijoje nurodytų asmenų, išskyrus dėl subtiekėjo (-ų), kurio (-</w:t>
      </w:r>
      <w:proofErr w:type="spellStart"/>
      <w:r w:rsidRPr="009B5E6A">
        <w:rPr>
          <w:rFonts w:asciiTheme="majorHAnsi" w:eastAsia="Times New Roman" w:hAnsiTheme="majorHAnsi" w:cstheme="majorHAnsi"/>
          <w:lang w:eastAsia="lt-LT"/>
        </w:rPr>
        <w:t>ių</w:t>
      </w:r>
      <w:proofErr w:type="spellEnd"/>
      <w:r w:rsidRPr="009B5E6A">
        <w:rPr>
          <w:rFonts w:asciiTheme="majorHAnsi" w:eastAsia="Times New Roman" w:hAnsiTheme="majorHAnsi" w:cstheme="majorHAnsi"/>
          <w:lang w:eastAsia="lt-LT"/>
        </w:rPr>
        <w:t>) pajėgumais tiekėjas nesiremia, pateiktų duomenų, nebent jam taikomas reikalavimas dėl pašalinimo pagrindų nebuvimo, tuomet turės būti pateikti ir dėl jo</w:t>
      </w:r>
      <w:r w:rsidR="00BC7275" w:rsidRPr="00BC7275">
        <w:rPr>
          <w:rFonts w:asciiTheme="majorHAnsi" w:eastAsia="Times New Roman" w:hAnsiTheme="majorHAnsi" w:cstheme="majorHAnsi"/>
          <w:lang w:eastAsia="lt-LT"/>
        </w:rPr>
        <w:t>.</w:t>
      </w:r>
    </w:p>
    <w:p w14:paraId="34A3A363" w14:textId="1A85349A"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2739A1" w:rsidRPr="002739A1">
        <w:rPr>
          <w:rFonts w:asciiTheme="majorHAnsi" w:eastAsia="Times New Roman" w:hAnsiTheme="majorHAnsi" w:cstheme="majorHAnsi"/>
          <w:b/>
          <w:lang w:eastAsia="lt-LT"/>
        </w:rPr>
        <w:t xml:space="preserve">Turi būti pateikta ir ūkio subjekto, kurio pajėgumais remiamasi (jeigu jis pasitelkiamas) deklaracija. </w:t>
      </w:r>
      <w:r w:rsidR="002739A1" w:rsidRPr="002739A1">
        <w:rPr>
          <w:rFonts w:asciiTheme="majorHAnsi" w:eastAsia="Times New Roman" w:hAnsiTheme="majorHAnsi" w:cstheme="majorHAnsi"/>
          <w:b/>
          <w:u w:val="single"/>
          <w:lang w:eastAsia="lt-LT"/>
        </w:rPr>
        <w:t>Jeigu yra pasitelktas subtiekėjas (-ai), kurio (-</w:t>
      </w:r>
      <w:proofErr w:type="spellStart"/>
      <w:r w:rsidR="002739A1" w:rsidRPr="002739A1">
        <w:rPr>
          <w:rFonts w:asciiTheme="majorHAnsi" w:eastAsia="Times New Roman" w:hAnsiTheme="majorHAnsi" w:cstheme="majorHAnsi"/>
          <w:b/>
          <w:u w:val="single"/>
          <w:lang w:eastAsia="lt-LT"/>
        </w:rPr>
        <w:t>ių</w:t>
      </w:r>
      <w:proofErr w:type="spellEnd"/>
      <w:r w:rsidR="002739A1" w:rsidRPr="002739A1">
        <w:rPr>
          <w:rFonts w:asciiTheme="majorHAnsi" w:eastAsia="Times New Roman" w:hAnsiTheme="majorHAnsi" w:cstheme="majorHAnsi"/>
          <w:b/>
          <w:u w:val="single"/>
          <w:lang w:eastAsia="lt-LT"/>
        </w:rPr>
        <w:t>) pajėgumais tiekėjas nesiremia, tuomet turi būti pateikta ir subtiekėjo (-ų), kurio (-</w:t>
      </w:r>
      <w:proofErr w:type="spellStart"/>
      <w:r w:rsidR="002739A1" w:rsidRPr="002739A1">
        <w:rPr>
          <w:rFonts w:asciiTheme="majorHAnsi" w:eastAsia="Times New Roman" w:hAnsiTheme="majorHAnsi" w:cstheme="majorHAnsi"/>
          <w:b/>
          <w:u w:val="single"/>
          <w:lang w:eastAsia="lt-LT"/>
        </w:rPr>
        <w:t>ių</w:t>
      </w:r>
      <w:proofErr w:type="spellEnd"/>
      <w:r w:rsidR="002739A1" w:rsidRPr="002739A1">
        <w:rPr>
          <w:rFonts w:asciiTheme="majorHAnsi" w:eastAsia="Times New Roman" w:hAnsiTheme="majorHAnsi" w:cstheme="majorHAnsi"/>
          <w:b/>
          <w:u w:val="single"/>
          <w:lang w:eastAsia="lt-LT"/>
        </w:rPr>
        <w:t xml:space="preserve">) pajėgumais tiekėjas nesiremia, deklaracija, tačiau joje pateikiami tik duomenys apie jį kontroliuojančius fizinius ir juridinius asmenis, </w:t>
      </w:r>
      <w:r w:rsidR="002739A1" w:rsidRPr="002739A1">
        <w:rPr>
          <w:rFonts w:asciiTheme="majorHAnsi" w:eastAsia="Times New Roman" w:hAnsiTheme="majorHAnsi" w:cstheme="majorHAnsi"/>
          <w:b/>
          <w:lang w:eastAsia="lt-LT"/>
        </w:rPr>
        <w:t>vadovaujantis Viešųjų pirkimų įstatymo 2 str. 15</w:t>
      </w:r>
      <w:r w:rsidR="002739A1" w:rsidRPr="002739A1">
        <w:rPr>
          <w:rFonts w:asciiTheme="majorHAnsi" w:eastAsia="Times New Roman" w:hAnsiTheme="majorHAnsi" w:cstheme="majorHAnsi"/>
          <w:b/>
          <w:vertAlign w:val="superscript"/>
          <w:lang w:eastAsia="lt-LT"/>
        </w:rPr>
        <w:t>1</w:t>
      </w:r>
      <w:r w:rsidR="002739A1" w:rsidRPr="002739A1">
        <w:rPr>
          <w:rFonts w:asciiTheme="majorHAnsi" w:eastAsia="Times New Roman" w:hAnsiTheme="majorHAnsi" w:cstheme="majorHAnsi"/>
          <w:b/>
          <w:lang w:eastAsia="lt-LT"/>
        </w:rPr>
        <w:t xml:space="preserve"> dalimi </w:t>
      </w:r>
      <w:r w:rsidR="002739A1" w:rsidRPr="002739A1">
        <w:rPr>
          <w:rFonts w:asciiTheme="majorHAnsi" w:eastAsia="Times New Roman" w:hAnsiTheme="majorHAnsi" w:cstheme="majorHAnsi"/>
          <w:b/>
          <w:u w:val="single"/>
          <w:lang w:eastAsia="lt-LT"/>
        </w:rPr>
        <w:t>(t. y. pasitelktas subtiekėjas, kurio pajėgumais tiekėjas nesiremia, pildo tik lentelės II skiltį ir joje nurodo tik kontroliuojančius asmenis). Deklaracijas teikia tik juridiniai asmenys.</w:t>
      </w:r>
    </w:p>
    <w:p w14:paraId="2FAF35C8" w14:textId="25092FBB" w:rsidR="003C73F8" w:rsidRPr="002739A1" w:rsidRDefault="00EA6C90" w:rsidP="002739A1">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bookmarkStart w:id="17" w:name="part_7ca657e27bcc4b4d803c62cceb87cbd0"/>
      <w:bookmarkStart w:id="18" w:name="part_01442e03a4944843837ae786a649b0d1"/>
      <w:bookmarkEnd w:id="17"/>
      <w:bookmarkEnd w:id="18"/>
    </w:p>
    <w:sectPr w:rsidR="003C73F8" w:rsidRPr="002739A1"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F762" w14:textId="77777777" w:rsidR="005C072C" w:rsidRDefault="005C072C">
      <w:pPr>
        <w:spacing w:after="0" w:line="240" w:lineRule="auto"/>
      </w:pPr>
      <w:r>
        <w:separator/>
      </w:r>
    </w:p>
  </w:endnote>
  <w:endnote w:type="continuationSeparator" w:id="0">
    <w:p w14:paraId="2A31FC8A" w14:textId="77777777" w:rsidR="005C072C" w:rsidRDefault="005C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117C" w14:textId="77777777" w:rsidR="005C072C" w:rsidRDefault="005C072C">
      <w:pPr>
        <w:spacing w:after="0" w:line="240" w:lineRule="auto"/>
      </w:pPr>
      <w:r>
        <w:separator/>
      </w:r>
    </w:p>
  </w:footnote>
  <w:footnote w:type="continuationSeparator" w:id="0">
    <w:p w14:paraId="33382B67" w14:textId="77777777" w:rsidR="005C072C" w:rsidRDefault="005C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9A1"/>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33712"/>
    <w:rsid w:val="00546615"/>
    <w:rsid w:val="00547246"/>
    <w:rsid w:val="00557917"/>
    <w:rsid w:val="00573939"/>
    <w:rsid w:val="005907B7"/>
    <w:rsid w:val="00591A20"/>
    <w:rsid w:val="005C072C"/>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82AA1"/>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01F10"/>
    <w:rsid w:val="009123C2"/>
    <w:rsid w:val="0095386F"/>
    <w:rsid w:val="00957A69"/>
    <w:rsid w:val="009616C1"/>
    <w:rsid w:val="00971CCE"/>
    <w:rsid w:val="00974023"/>
    <w:rsid w:val="00974C48"/>
    <w:rsid w:val="009829C4"/>
    <w:rsid w:val="0098678C"/>
    <w:rsid w:val="0099199E"/>
    <w:rsid w:val="00993F3E"/>
    <w:rsid w:val="009A1B87"/>
    <w:rsid w:val="009B26D3"/>
    <w:rsid w:val="009B5E6A"/>
    <w:rsid w:val="009C040A"/>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38"/>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4895"/>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DF122E"/>
    <w:rsid w:val="00E066C9"/>
    <w:rsid w:val="00E12EC5"/>
    <w:rsid w:val="00E21054"/>
    <w:rsid w:val="00E241BC"/>
    <w:rsid w:val="00E2482E"/>
    <w:rsid w:val="00E262F5"/>
    <w:rsid w:val="00E26B40"/>
    <w:rsid w:val="00E33B50"/>
    <w:rsid w:val="00E35014"/>
    <w:rsid w:val="00E37313"/>
    <w:rsid w:val="00E4763B"/>
    <w:rsid w:val="00E61737"/>
    <w:rsid w:val="00E62143"/>
    <w:rsid w:val="00E65047"/>
    <w:rsid w:val="00E742DE"/>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2A55"/>
    <w:rsid w:val="00F467F9"/>
    <w:rsid w:val="00F50763"/>
    <w:rsid w:val="00F5081D"/>
    <w:rsid w:val="00F54DFB"/>
    <w:rsid w:val="00F63E39"/>
    <w:rsid w:val="00F64268"/>
    <w:rsid w:val="00F7342F"/>
    <w:rsid w:val="00F878C7"/>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127</TotalTime>
  <Pages>2</Pages>
  <Words>2363</Words>
  <Characters>1348</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Živilė Šakalienė</cp:lastModifiedBy>
  <cp:revision>61</cp:revision>
  <cp:lastPrinted>2021-01-19T12:06:00Z</cp:lastPrinted>
  <dcterms:created xsi:type="dcterms:W3CDTF">2023-01-27T13:07:00Z</dcterms:created>
  <dcterms:modified xsi:type="dcterms:W3CDTF">2025-01-14T09:55:00Z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