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4646D61"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D224CA"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4C9ECD1C" w14:textId="1A221EA6" w:rsidR="00612535" w:rsidRPr="00612535" w:rsidRDefault="00612535" w:rsidP="00612535">
            <w:pPr>
              <w:spacing w:after="20" w:line="240" w:lineRule="auto"/>
              <w:ind w:right="-68"/>
              <w:rPr>
                <w:rFonts w:ascii="Times New Roman" w:hAnsi="Times New Roman" w:cs="Times New Roman"/>
                <w:sz w:val="20"/>
                <w:szCs w:val="20"/>
              </w:rPr>
            </w:pPr>
            <w:r w:rsidRPr="00612535">
              <w:rPr>
                <w:rFonts w:ascii="Times New Roman" w:hAnsi="Times New Roman" w:cs="Times New Roman"/>
                <w:sz w:val="20"/>
                <w:szCs w:val="20"/>
              </w:rPr>
              <w:t xml:space="preserve">Valgyklos vedėja Jolanta Čyvienė, tel. +370 652 73295; jolanta.cyviene@klaipedosgpmc.lt </w:t>
            </w:r>
            <w:r>
              <w:rPr>
                <w:rFonts w:ascii="Times New Roman" w:hAnsi="Times New Roman" w:cs="Times New Roman"/>
                <w:sz w:val="20"/>
                <w:szCs w:val="20"/>
              </w:rPr>
              <w:t xml:space="preserve"> </w:t>
            </w:r>
          </w:p>
          <w:p w14:paraId="63B290F2" w14:textId="412D840D" w:rsidR="001B7327" w:rsidRPr="00B02194" w:rsidRDefault="00612535" w:rsidP="00612535">
            <w:pPr>
              <w:spacing w:after="20" w:line="240" w:lineRule="auto"/>
              <w:ind w:right="-68"/>
              <w:rPr>
                <w:rFonts w:ascii="Times New Roman" w:hAnsi="Times New Roman" w:cs="Times New Roman"/>
                <w:sz w:val="20"/>
                <w:szCs w:val="20"/>
              </w:rPr>
            </w:pPr>
            <w:r w:rsidRPr="00612535">
              <w:rPr>
                <w:rFonts w:ascii="Times New Roman" w:hAnsi="Times New Roman" w:cs="Times New Roman"/>
                <w:sz w:val="20"/>
                <w:szCs w:val="20"/>
              </w:rPr>
              <w:t xml:space="preserve">Kretingos f. valgyklos vedėja Alvyda Švambarienė, +370 </w:t>
            </w:r>
            <w:r>
              <w:rPr>
                <w:rFonts w:ascii="Times New Roman" w:hAnsi="Times New Roman" w:cs="Times New Roman"/>
                <w:sz w:val="20"/>
                <w:szCs w:val="20"/>
              </w:rPr>
              <w:t>6</w:t>
            </w:r>
            <w:r w:rsidRPr="00612535">
              <w:rPr>
                <w:rFonts w:ascii="Times New Roman" w:hAnsi="Times New Roman" w:cs="Times New Roman"/>
                <w:sz w:val="20"/>
                <w:szCs w:val="20"/>
              </w:rPr>
              <w:t>86 76930</w:t>
            </w:r>
            <w:r>
              <w:rPr>
                <w:rFonts w:ascii="Times New Roman" w:hAnsi="Times New Roman" w:cs="Times New Roman"/>
                <w:sz w:val="20"/>
                <w:szCs w:val="20"/>
              </w:rPr>
              <w:t xml:space="preserve">; </w:t>
            </w:r>
            <w:hyperlink r:id="rId8" w:history="1">
              <w:r w:rsidRPr="0030082D">
                <w:rPr>
                  <w:rStyle w:val="Hyperlink"/>
                  <w:rFonts w:ascii="Times New Roman" w:hAnsi="Times New Roman" w:cs="Times New Roman"/>
                  <w:spacing w:val="0"/>
                  <w:sz w:val="20"/>
                  <w:szCs w:val="20"/>
                </w:rPr>
                <w:t>alvyda.svambariene@klaipedosgpmc.lt</w:t>
              </w:r>
            </w:hyperlink>
            <w:r>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54166268"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D224CA">
              <w:rPr>
                <w:rFonts w:ascii="Times New Roman" w:hAnsi="Times New Roman" w:cs="Times New Roman"/>
                <w:i/>
                <w:sz w:val="20"/>
                <w:szCs w:val="20"/>
              </w:rPr>
              <w:t>Maisto produktus</w:t>
            </w:r>
            <w:r>
              <w:rPr>
                <w:rFonts w:ascii="Times New Roman" w:hAnsi="Times New Roman" w:cs="Times New Roman"/>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12535"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12535" w:rsidRPr="00B02194" w:rsidRDefault="00612535" w:rsidP="00612535">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12535" w:rsidRPr="00B02194" w:rsidRDefault="00612535" w:rsidP="00612535">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2B17B1D5" w:rsidR="00612535" w:rsidRPr="00CE608A" w:rsidRDefault="00612535" w:rsidP="00612535">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12 (dvylika) mėnesių nuo sutarties pasirašymo datos arba kol bus nupirkta Prekių už maksimalią Sutarties kainą.</w:t>
            </w:r>
          </w:p>
        </w:tc>
      </w:tr>
      <w:tr w:rsidR="00612535"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12535" w:rsidRPr="00B02194" w:rsidRDefault="00612535" w:rsidP="00612535">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12535" w:rsidRPr="00B02194" w:rsidRDefault="00612535" w:rsidP="00612535">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7CAADBE4" w:rsidR="00612535" w:rsidRPr="00CE608A" w:rsidRDefault="00612535" w:rsidP="00612535">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Sutartis automatiškai gali būti pratęsta 12 (dvylikos) mėnesių laikotarpiui.</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5644E3">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840A13E" w:rsidR="00245CF9" w:rsidRPr="00B02194" w:rsidRDefault="00612535" w:rsidP="00ED5740">
            <w:pPr>
              <w:spacing w:after="0" w:line="240" w:lineRule="auto"/>
              <w:ind w:right="-68"/>
              <w:jc w:val="both"/>
              <w:rPr>
                <w:rFonts w:ascii="Times New Roman" w:hAnsi="Times New Roman" w:cs="Times New Roman"/>
                <w:bCs/>
                <w:sz w:val="20"/>
                <w:szCs w:val="20"/>
              </w:rPr>
            </w:pPr>
            <w:r w:rsidRPr="00612535">
              <w:rPr>
                <w:rFonts w:ascii="Times New Roman" w:hAnsi="Times New Roman" w:cs="Times New Roman"/>
                <w:bCs/>
                <w:sz w:val="20"/>
                <w:szCs w:val="20"/>
              </w:rPr>
              <w:t xml:space="preserve">Jei Sutarties 2.4.3 punkte nurodyta maksimali Sutarties kaina nebus išnaudota ir likus 30 (trisdešimčiai) kalendorinių dienų iki Tiekėjo Prievolių įvykdymo termino pabaigos nė viena iš Šalių raštiškai nepraneša apie Sutarties nutraukimą kitai Šaliai, bus laikoma, kad Sutartis pratęsta automatiškai be rašytinio Sutarties Šalių susitarimo sekantiems 12 (dvylikos) mėnesių terminui tomis pačiomis sąlygomis.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lastRenderedPageBreak/>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42E1BA1D" w14:textId="77777777" w:rsidR="00101B5C" w:rsidRDefault="00612535" w:rsidP="00612535">
            <w:pPr>
              <w:spacing w:after="0" w:line="240" w:lineRule="auto"/>
              <w:ind w:right="-68"/>
              <w:rPr>
                <w:rFonts w:ascii="Times New Roman" w:hAnsi="Times New Roman" w:cs="Times New Roman"/>
                <w:bCs/>
                <w:sz w:val="20"/>
                <w:szCs w:val="20"/>
              </w:rPr>
            </w:pPr>
            <w:r w:rsidRPr="00612535">
              <w:rPr>
                <w:rFonts w:ascii="Times New Roman" w:hAnsi="Times New Roman" w:cs="Times New Roman"/>
                <w:bCs/>
                <w:sz w:val="20"/>
                <w:szCs w:val="20"/>
              </w:rPr>
              <w:t xml:space="preserve">Preliminarūs kiekiai nurodyti Sutarties 2 priede – Tiekėjo pasiūlymas. </w:t>
            </w:r>
          </w:p>
          <w:p w14:paraId="5EC9EE29" w14:textId="1AE4B63E" w:rsidR="00FB42BE" w:rsidRPr="00B02194" w:rsidRDefault="00101B5C" w:rsidP="00307AB9">
            <w:pPr>
              <w:spacing w:after="0" w:line="240" w:lineRule="auto"/>
              <w:ind w:right="-68"/>
              <w:rPr>
                <w:rFonts w:ascii="Times New Roman" w:hAnsi="Times New Roman" w:cs="Times New Roman"/>
                <w:bCs/>
                <w:sz w:val="20"/>
                <w:szCs w:val="20"/>
              </w:rPr>
            </w:pPr>
            <w:r w:rsidRPr="00101B5C">
              <w:rPr>
                <w:rFonts w:ascii="Times New Roman" w:hAnsi="Times New Roman" w:cs="Times New Roman"/>
                <w:bCs/>
                <w:sz w:val="20"/>
                <w:szCs w:val="20"/>
              </w:rPr>
              <w:t>Pirkėjas neįsipareigoja išpirkti visų sąraše esančių prekių. Prekių tiekimas vyksta užsakius pagal poreikį</w:t>
            </w:r>
            <w:r>
              <w:rPr>
                <w:rFonts w:ascii="Times New Roman" w:hAnsi="Times New Roman" w:cs="Times New Roman"/>
                <w:bCs/>
                <w:sz w:val="20"/>
                <w:szCs w:val="20"/>
              </w:rPr>
              <w:t>, bet</w:t>
            </w:r>
            <w:r w:rsidR="00612535" w:rsidRPr="00612535">
              <w:rPr>
                <w:rFonts w:ascii="Times New Roman" w:hAnsi="Times New Roman" w:cs="Times New Roman"/>
                <w:bCs/>
                <w:sz w:val="20"/>
                <w:szCs w:val="20"/>
              </w:rPr>
              <w:t xml:space="preserve"> ne mažiau kaip 80 (aštuoniasdešimt) procentų nuo Maksimalios sutarties kainos.</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68B0A9E0" w14:textId="5A6E324F" w:rsidR="00922EE1" w:rsidRPr="00922EE1" w:rsidRDefault="00922EE1" w:rsidP="00922EE1">
            <w:pPr>
              <w:spacing w:after="0" w:line="240" w:lineRule="auto"/>
              <w:ind w:right="-68"/>
              <w:rPr>
                <w:rFonts w:ascii="Times New Roman" w:hAnsi="Times New Roman" w:cs="Times New Roman"/>
                <w:bCs/>
                <w:sz w:val="20"/>
                <w:szCs w:val="20"/>
              </w:rPr>
            </w:pPr>
            <w:r w:rsidRPr="00922EE1">
              <w:rPr>
                <w:rFonts w:ascii="Times New Roman" w:hAnsi="Times New Roman" w:cs="Times New Roman"/>
                <w:bCs/>
                <w:sz w:val="20"/>
                <w:szCs w:val="20"/>
              </w:rPr>
              <w:t xml:space="preserve">1.Užsakymai pateikiami ir priimami elektroniniu Paštu </w:t>
            </w:r>
            <w:r w:rsidRPr="00101B5C">
              <w:rPr>
                <w:rFonts w:ascii="Times New Roman" w:hAnsi="Times New Roman" w:cs="Times New Roman"/>
                <w:bCs/>
                <w:color w:val="FF0000"/>
                <w:sz w:val="20"/>
                <w:szCs w:val="20"/>
              </w:rPr>
              <w:t>NURODYTI</w:t>
            </w:r>
            <w:r w:rsidRPr="00922EE1">
              <w:rPr>
                <w:rFonts w:ascii="Times New Roman" w:hAnsi="Times New Roman" w:cs="Times New Roman"/>
                <w:bCs/>
                <w:sz w:val="20"/>
                <w:szCs w:val="20"/>
              </w:rPr>
              <w:t>, arba, Pirkėjui neturint tam galimybės, telefonu +</w:t>
            </w:r>
            <w:r w:rsidRPr="00101B5C">
              <w:rPr>
                <w:rFonts w:ascii="Times New Roman" w:hAnsi="Times New Roman" w:cs="Times New Roman"/>
                <w:bCs/>
                <w:color w:val="FF0000"/>
                <w:sz w:val="20"/>
                <w:szCs w:val="20"/>
              </w:rPr>
              <w:t>370</w:t>
            </w:r>
            <w:r w:rsidR="00101B5C">
              <w:rPr>
                <w:rFonts w:ascii="Times New Roman" w:hAnsi="Times New Roman" w:cs="Times New Roman"/>
                <w:bCs/>
                <w:color w:val="FF0000"/>
                <w:sz w:val="20"/>
                <w:szCs w:val="20"/>
              </w:rPr>
              <w:t xml:space="preserve"> </w:t>
            </w:r>
            <w:r w:rsidRPr="00101B5C">
              <w:rPr>
                <w:rFonts w:ascii="Times New Roman" w:hAnsi="Times New Roman" w:cs="Times New Roman"/>
                <w:bCs/>
                <w:color w:val="FF0000"/>
                <w:sz w:val="20"/>
                <w:szCs w:val="20"/>
              </w:rPr>
              <w:t xml:space="preserve">NURODYTI  </w:t>
            </w:r>
            <w:r w:rsidRPr="00922EE1">
              <w:rPr>
                <w:rFonts w:ascii="Times New Roman" w:hAnsi="Times New Roman" w:cs="Times New Roman"/>
                <w:bCs/>
                <w:sz w:val="20"/>
                <w:szCs w:val="20"/>
              </w:rPr>
              <w:t xml:space="preserve">darbo dienomis iki 13.00 val. </w:t>
            </w:r>
          </w:p>
          <w:p w14:paraId="5C71DB3A" w14:textId="77777777" w:rsidR="00922EE1" w:rsidRPr="00922EE1" w:rsidRDefault="00922EE1" w:rsidP="00922EE1">
            <w:pPr>
              <w:spacing w:after="0" w:line="240" w:lineRule="auto"/>
              <w:ind w:right="-68"/>
              <w:rPr>
                <w:rFonts w:ascii="Times New Roman" w:hAnsi="Times New Roman" w:cs="Times New Roman"/>
                <w:bCs/>
                <w:sz w:val="20"/>
                <w:szCs w:val="20"/>
              </w:rPr>
            </w:pPr>
            <w:r w:rsidRPr="00922EE1">
              <w:rPr>
                <w:rFonts w:ascii="Times New Roman" w:hAnsi="Times New Roman" w:cs="Times New Roman"/>
                <w:bCs/>
                <w:sz w:val="20"/>
                <w:szCs w:val="20"/>
              </w:rPr>
              <w:t>2.  Prekių užsakyme turi būti nurodomas Prekių kiekis ir / ar užsakomų Prekės pakuočių skaičius, pristatymo data (diena ir valanda) ir Pirkimo sutartyje numatytas pristatymo vietos adresas (-ai).  Siekiant skatinti aplinkos užterštumo mažinimą, atskiro užsakymo vertė negali būti mažesnė nei 25 (dvidešimt penki) eurai su PVM.</w:t>
            </w:r>
          </w:p>
          <w:p w14:paraId="16F42CA5" w14:textId="77777777" w:rsidR="00922EE1" w:rsidRPr="00922EE1" w:rsidRDefault="00922EE1" w:rsidP="00922EE1">
            <w:pPr>
              <w:spacing w:after="0" w:line="240" w:lineRule="auto"/>
              <w:ind w:right="-68"/>
              <w:rPr>
                <w:rFonts w:ascii="Times New Roman" w:hAnsi="Times New Roman" w:cs="Times New Roman"/>
                <w:bCs/>
                <w:sz w:val="20"/>
                <w:szCs w:val="20"/>
              </w:rPr>
            </w:pPr>
            <w:r w:rsidRPr="00922EE1">
              <w:rPr>
                <w:rFonts w:ascii="Times New Roman" w:hAnsi="Times New Roman" w:cs="Times New Roman"/>
                <w:bCs/>
                <w:sz w:val="20"/>
                <w:szCs w:val="20"/>
              </w:rPr>
              <w:t>3.  Pristatomos Prekės privalo atitikti Pirkimo sutarties priede nurodytų Prekių techninių specifikacijų reikalavimus.  Esant reikalui, Tiekėjas privalės pateikti tai įrodančius atitikties, kokybės ir saugos deklaracijas, sertifikatus saugos lapus ir kt. dokumentus.</w:t>
            </w:r>
          </w:p>
          <w:p w14:paraId="306170FC" w14:textId="77777777" w:rsidR="00922EE1" w:rsidRPr="00922EE1" w:rsidRDefault="00922EE1" w:rsidP="00922EE1">
            <w:pPr>
              <w:spacing w:after="0" w:line="240" w:lineRule="auto"/>
              <w:ind w:right="-68"/>
              <w:rPr>
                <w:rFonts w:ascii="Times New Roman" w:hAnsi="Times New Roman" w:cs="Times New Roman"/>
                <w:bCs/>
                <w:sz w:val="20"/>
                <w:szCs w:val="20"/>
              </w:rPr>
            </w:pPr>
            <w:r w:rsidRPr="00922EE1">
              <w:rPr>
                <w:rFonts w:ascii="Times New Roman" w:hAnsi="Times New Roman" w:cs="Times New Roman"/>
                <w:bCs/>
                <w:sz w:val="20"/>
                <w:szCs w:val="20"/>
              </w:rPr>
              <w:t>4.Tiekėjas  pagal Pirkėjo pateiktą užsakymą pristato Prekes Pirkėjui nuo 7.00 val. iki 13.00 val., ne rečiau kaip 6 (šešis) kartus per mėnesį.</w:t>
            </w:r>
          </w:p>
          <w:p w14:paraId="2538527C" w14:textId="77777777" w:rsidR="00922EE1" w:rsidRPr="00922EE1" w:rsidRDefault="00922EE1" w:rsidP="00922EE1">
            <w:pPr>
              <w:spacing w:after="0" w:line="240" w:lineRule="auto"/>
              <w:ind w:right="-68"/>
              <w:rPr>
                <w:rFonts w:ascii="Times New Roman" w:hAnsi="Times New Roman" w:cs="Times New Roman"/>
                <w:bCs/>
                <w:sz w:val="20"/>
                <w:szCs w:val="20"/>
              </w:rPr>
            </w:pPr>
            <w:r w:rsidRPr="00922EE1">
              <w:rPr>
                <w:rFonts w:ascii="Times New Roman" w:hAnsi="Times New Roman" w:cs="Times New Roman"/>
                <w:bCs/>
                <w:sz w:val="20"/>
                <w:szCs w:val="20"/>
              </w:rPr>
              <w:t>5. Tiekėjas Prekes pristato kitą darbo dieną nuo užsakymo pateikimo dienos. Pirkėjui užsakymą pateikus po 13.00 val., kitą darbo dieną jis būtų pristatomas tik tokiu atveju, jei Tiekėjas turės tam galimybę;</w:t>
            </w:r>
          </w:p>
          <w:p w14:paraId="7CC117D7" w14:textId="77777777" w:rsidR="00922EE1" w:rsidRPr="00922EE1" w:rsidRDefault="00922EE1" w:rsidP="00922EE1">
            <w:pPr>
              <w:spacing w:after="0" w:line="240" w:lineRule="auto"/>
              <w:ind w:right="-68"/>
              <w:rPr>
                <w:rFonts w:ascii="Times New Roman" w:hAnsi="Times New Roman" w:cs="Times New Roman"/>
                <w:bCs/>
                <w:sz w:val="20"/>
                <w:szCs w:val="20"/>
              </w:rPr>
            </w:pPr>
            <w:r w:rsidRPr="00922EE1">
              <w:rPr>
                <w:rFonts w:ascii="Times New Roman" w:hAnsi="Times New Roman" w:cs="Times New Roman"/>
                <w:bCs/>
                <w:sz w:val="20"/>
                <w:szCs w:val="20"/>
              </w:rPr>
              <w:t>6. Atsiradus nenumatytoms aplinkybėms, dėl kurių neįmanoma laiku pristatyti Prekių, Tiekėjas įsipareigoja nedelsiant informuoti Pirkėją apie tokių aplinkybių atsiradimą. Prekių pristatymo terminas gali būti atitinkamai koreguojamas ir pratęsiamas, tačiau bendras Prekių pristatymo terminas negali būti ilgesnis nei 3 (trys) darbo dienos.</w:t>
            </w:r>
          </w:p>
          <w:p w14:paraId="16BC872C" w14:textId="77777777" w:rsidR="00922EE1" w:rsidRPr="00922EE1" w:rsidRDefault="00922EE1" w:rsidP="00922EE1">
            <w:pPr>
              <w:spacing w:after="0" w:line="240" w:lineRule="auto"/>
              <w:ind w:right="-68"/>
              <w:rPr>
                <w:rFonts w:ascii="Times New Roman" w:hAnsi="Times New Roman" w:cs="Times New Roman"/>
                <w:bCs/>
                <w:sz w:val="20"/>
                <w:szCs w:val="20"/>
              </w:rPr>
            </w:pPr>
            <w:r w:rsidRPr="00922EE1">
              <w:rPr>
                <w:rFonts w:ascii="Times New Roman" w:hAnsi="Times New Roman" w:cs="Times New Roman"/>
                <w:bCs/>
                <w:sz w:val="20"/>
                <w:szCs w:val="20"/>
              </w:rPr>
              <w:t>7. Pristatytų Prekių kiekius ir kokybę patikrina Tiekėjo ir Pirkėjo atstovai atsiimant Prekes pagal pateikiamą krovinio važtaraštį ir/arba sąskaitą – faktūrą.</w:t>
            </w:r>
          </w:p>
          <w:p w14:paraId="23D75963" w14:textId="599A6465" w:rsidR="00553EC6" w:rsidRPr="00B02194" w:rsidRDefault="00922EE1" w:rsidP="00922EE1">
            <w:pPr>
              <w:spacing w:after="0" w:line="240" w:lineRule="auto"/>
              <w:ind w:right="-68"/>
              <w:jc w:val="both"/>
              <w:rPr>
                <w:rFonts w:ascii="Times New Roman" w:hAnsi="Times New Roman" w:cs="Times New Roman"/>
                <w:bCs/>
                <w:sz w:val="20"/>
                <w:szCs w:val="20"/>
              </w:rPr>
            </w:pPr>
            <w:r w:rsidRPr="00922EE1">
              <w:rPr>
                <w:rFonts w:ascii="Times New Roman" w:hAnsi="Times New Roman" w:cs="Times New Roman"/>
                <w:bCs/>
                <w:sz w:val="20"/>
                <w:szCs w:val="20"/>
              </w:rPr>
              <w:t>8.  Pirkėjui nustačius, kad Prekės neatitinka Pirkimo sutarties reikalavimų, arba nepristatytas užsakytas Prekių kiekis, Pirkėjas nedelsiant apie tai informuoja Tiekėją telefonu ir fiksuoja siųsdamas elektroninį laišką Tiekėjo pateiktu el. paštu bei reikalauja ne vėliau kaip per 3 (tris) valandas pakeisti Prekes tinkamomis ar pateikti trūkstamą Prekių kiekį.</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494C336A" w:rsidR="005F4414" w:rsidRPr="00CE608A" w:rsidRDefault="00101B5C"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fiksuotas įkainis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488A1335" w:rsidR="00D57C6D" w:rsidRPr="00CE608A" w:rsidRDefault="00101B5C"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28000,00 (dvidešimt aštuoni tūkstančiai eurų)</w:t>
            </w: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5103EE16" w:rsidR="005F4414" w:rsidRPr="00B02194" w:rsidRDefault="00D224CA"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101B5C">
                  <w:rPr>
                    <w:rFonts w:ascii="Times New Roman" w:hAnsi="Times New Roman" w:cs="Times New Roman"/>
                    <w:bCs/>
                    <w:sz w:val="20"/>
                    <w:szCs w:val="20"/>
                  </w:rPr>
                  <w:t>Maksimali sutarties kaina</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49023FD7" w:rsidR="005F4414" w:rsidRPr="00CE608A" w:rsidRDefault="00101B5C"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33880,00 (tris</w:t>
            </w:r>
            <w:r>
              <w:rPr>
                <w:rFonts w:ascii="Times New Roman" w:hAnsi="Times New Roman" w:cs="Times New Roman"/>
                <w:sz w:val="20"/>
                <w:szCs w:val="20"/>
              </w:rPr>
              <w:t>dešimt trys tūkstančiai</w:t>
            </w:r>
            <w:r>
              <w:t xml:space="preserve"> </w:t>
            </w:r>
            <w:r w:rsidRPr="00101B5C">
              <w:rPr>
                <w:rFonts w:ascii="Times New Roman" w:hAnsi="Times New Roman" w:cs="Times New Roman"/>
                <w:sz w:val="20"/>
                <w:szCs w:val="20"/>
              </w:rPr>
              <w:t>aštuoni</w:t>
            </w:r>
            <w:r>
              <w:rPr>
                <w:rFonts w:ascii="Times New Roman" w:hAnsi="Times New Roman" w:cs="Times New Roman"/>
                <w:sz w:val="20"/>
                <w:szCs w:val="20"/>
              </w:rPr>
              <w:t xml:space="preserve"> šimtai  aštuoniasdešimt eurų)</w:t>
            </w: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191BF54C"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comboBox>
                  <w:listItem w:value="Pasirinkite elementą."/>
                  <w:listItem w:displayText="21% " w:value="21% "/>
                  <w:listItem w:displayText="9% " w:value="9% "/>
                  <w:listItem w:displayText="0% " w:value="0% "/>
                </w:comboBox>
              </w:sdtPr>
              <w:sdtEndPr/>
              <w:sdtContent>
                <w:r w:rsidR="00101B5C">
                  <w:rPr>
                    <w:rFonts w:ascii="Times New Roman" w:hAnsi="Times New Roman" w:cs="Times New Roman"/>
                    <w:bCs/>
                    <w:sz w:val="20"/>
                    <w:szCs w:val="20"/>
                  </w:rPr>
                  <w:t xml:space="preserve">21% </w:t>
                </w:r>
              </w:sdtContent>
            </w:sdt>
          </w:p>
        </w:tc>
        <w:tc>
          <w:tcPr>
            <w:tcW w:w="4402" w:type="dxa"/>
            <w:vAlign w:val="center"/>
          </w:tcPr>
          <w:p w14:paraId="5613F3D7" w14:textId="76CB5341" w:rsidR="00D57C6D" w:rsidRPr="00CE608A" w:rsidRDefault="00101B5C"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5880,00 (</w:t>
            </w:r>
            <w:r>
              <w:rPr>
                <w:rFonts w:ascii="Times New Roman" w:hAnsi="Times New Roman" w:cs="Times New Roman"/>
                <w:sz w:val="20"/>
                <w:szCs w:val="20"/>
              </w:rPr>
              <w:t xml:space="preserve"> penki tūkstančiai</w:t>
            </w:r>
            <w:r>
              <w:t xml:space="preserve"> </w:t>
            </w:r>
            <w:r w:rsidRPr="00101B5C">
              <w:rPr>
                <w:rFonts w:ascii="Times New Roman" w:hAnsi="Times New Roman" w:cs="Times New Roman"/>
                <w:sz w:val="20"/>
                <w:szCs w:val="20"/>
              </w:rPr>
              <w:t>aštuoni</w:t>
            </w:r>
            <w:r>
              <w:rPr>
                <w:rFonts w:ascii="Times New Roman" w:hAnsi="Times New Roman" w:cs="Times New Roman"/>
                <w:sz w:val="20"/>
                <w:szCs w:val="20"/>
              </w:rPr>
              <w:t xml:space="preserve"> šimtai  aštuoniasdešimt eurų)</w:t>
            </w: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770B250A" w14:textId="77777777" w:rsidR="005F4414" w:rsidRDefault="00101B5C" w:rsidP="003863B2">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Sutarties 2 priedas (Tiekėjo pasiūlymas)</w:t>
            </w:r>
          </w:p>
          <w:p w14:paraId="00A0E1B7" w14:textId="77777777" w:rsidR="00101B5C" w:rsidRPr="00101B5C" w:rsidRDefault="00101B5C" w:rsidP="00101B5C">
            <w:pPr>
              <w:spacing w:after="0" w:line="240" w:lineRule="auto"/>
              <w:ind w:right="-68"/>
              <w:rPr>
                <w:rFonts w:ascii="Times New Roman" w:hAnsi="Times New Roman" w:cs="Times New Roman"/>
                <w:sz w:val="20"/>
                <w:szCs w:val="20"/>
              </w:rPr>
            </w:pPr>
            <w:r w:rsidRPr="00101B5C">
              <w:rPr>
                <w:rFonts w:ascii="Times New Roman" w:hAnsi="Times New Roman" w:cs="Times New Roman"/>
                <w:sz w:val="20"/>
                <w:szCs w:val="20"/>
              </w:rPr>
              <w:lastRenderedPageBreak/>
              <w:t>Pirkėjas numato galimybę įsigyti Sutartimi įsigyjamų Prekių sąraše nenurodytų, tačiau su pirkimo objektu susijusių Prekių (toliau – Nenumatytos prekės) neviršijant 10 (dešimties) proc. Pradinės Sutarties vertės (jos nedidinant).</w:t>
            </w:r>
          </w:p>
          <w:p w14:paraId="6E8ECD7D" w14:textId="36FFDF81" w:rsidR="00101B5C" w:rsidRPr="00CE608A" w:rsidRDefault="00101B5C" w:rsidP="00101B5C">
            <w:pPr>
              <w:spacing w:after="0" w:line="240" w:lineRule="auto"/>
              <w:ind w:right="-68"/>
              <w:rPr>
                <w:rFonts w:ascii="Times New Roman" w:hAnsi="Times New Roman" w:cs="Times New Roman"/>
                <w:sz w:val="20"/>
                <w:szCs w:val="20"/>
              </w:rPr>
            </w:pPr>
            <w:r w:rsidRPr="00101B5C">
              <w:rPr>
                <w:rFonts w:ascii="Times New Roman" w:hAnsi="Times New Roman" w:cs="Times New Roman"/>
                <w:sz w:val="20"/>
                <w:szCs w:val="20"/>
              </w:rPr>
              <w:t>Už nenumatytas prekes bus apmokama ne didesnėmis nei tą dieną tiekėjo viešai skelbiamomis mažmeninėmis kainomis.</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629CA2DA"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79CA0DF7"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bookmarkStart w:id="0" w:name="_GoBack"/>
            <w:bookmarkEnd w:id="0"/>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712B73ED" w14:textId="77777777" w:rsidR="005F4414"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101B5C">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r w:rsidR="00101B5C">
              <w:rPr>
                <w:rFonts w:ascii="Times New Roman" w:hAnsi="Times New Roman" w:cs="Times New Roman"/>
                <w:bCs/>
                <w:sz w:val="20"/>
                <w:szCs w:val="20"/>
              </w:rPr>
              <w:t xml:space="preserve">. </w:t>
            </w:r>
          </w:p>
          <w:p w14:paraId="6A86AFE7" w14:textId="2065A8E6" w:rsidR="004A23C7" w:rsidRPr="00CE608A" w:rsidRDefault="004A23C7" w:rsidP="00EE3A7D">
            <w:pPr>
              <w:spacing w:after="0" w:line="240" w:lineRule="auto"/>
              <w:ind w:right="-68"/>
              <w:jc w:val="both"/>
              <w:rPr>
                <w:rFonts w:ascii="Times New Roman" w:hAnsi="Times New Roman" w:cs="Times New Roman"/>
                <w:bCs/>
                <w:sz w:val="20"/>
                <w:szCs w:val="20"/>
              </w:rPr>
            </w:pPr>
            <w:r w:rsidRPr="004A23C7">
              <w:rPr>
                <w:rFonts w:ascii="Times New Roman" w:hAnsi="Times New Roman" w:cs="Times New Roman"/>
                <w:bCs/>
                <w:sz w:val="20"/>
                <w:szCs w:val="20"/>
              </w:rPr>
              <w:t xml:space="preserve">Jeigu Tiekėjo išrašytoje sąskaitoje faktūroje </w:t>
            </w:r>
            <w:r>
              <w:rPr>
                <w:rFonts w:ascii="Times New Roman" w:hAnsi="Times New Roman" w:cs="Times New Roman"/>
                <w:bCs/>
                <w:sz w:val="20"/>
                <w:szCs w:val="20"/>
              </w:rPr>
              <w:t xml:space="preserve">ir/arba prekių pristatymo važtaraštyje </w:t>
            </w:r>
            <w:r w:rsidRPr="004A23C7">
              <w:rPr>
                <w:rFonts w:ascii="Times New Roman" w:hAnsi="Times New Roman" w:cs="Times New Roman"/>
                <w:bCs/>
                <w:sz w:val="20"/>
                <w:szCs w:val="20"/>
              </w:rPr>
              <w:t>išsamiai nurodytos pristatytos Prekės</w:t>
            </w:r>
            <w:r>
              <w:rPr>
                <w:rFonts w:ascii="Times New Roman" w:hAnsi="Times New Roman" w:cs="Times New Roman"/>
                <w:bCs/>
                <w:sz w:val="20"/>
                <w:szCs w:val="20"/>
              </w:rPr>
              <w:t xml:space="preserve"> ir jų</w:t>
            </w:r>
            <w:r w:rsidRPr="004A23C7">
              <w:rPr>
                <w:rFonts w:ascii="Times New Roman" w:hAnsi="Times New Roman" w:cs="Times New Roman"/>
                <w:bCs/>
                <w:sz w:val="20"/>
                <w:szCs w:val="20"/>
              </w:rPr>
              <w:t xml:space="preserve"> kiekiai Prekių priėmimo perdavimo aktas neteikiamas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770D42D6"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3E6E34D1" w14:textId="77777777" w:rsidR="004A23C7" w:rsidRDefault="004A23C7" w:rsidP="004A23C7">
            <w:pPr>
              <w:spacing w:after="0" w:line="240" w:lineRule="auto"/>
              <w:ind w:right="-68"/>
              <w:jc w:val="both"/>
              <w:rPr>
                <w:rFonts w:ascii="Times New Roman" w:eastAsia="Calibri" w:hAnsi="Times New Roman" w:cs="Times New Roman"/>
                <w:sz w:val="20"/>
                <w:szCs w:val="20"/>
              </w:rPr>
            </w:pPr>
            <w:r>
              <w:rPr>
                <w:rFonts w:ascii="Times New Roman" w:eastAsia="Calibri" w:hAnsi="Times New Roman" w:cs="Times New Roman"/>
                <w:sz w:val="20"/>
                <w:szCs w:val="20"/>
              </w:rPr>
              <w:t>Taikos pr. 67, Klaipėda ;</w:t>
            </w:r>
          </w:p>
          <w:p w14:paraId="1E63C8F4" w14:textId="24ED1337" w:rsidR="00C27901" w:rsidRPr="00B02194" w:rsidRDefault="004A23C7" w:rsidP="004A23C7">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Sodžiaus 1c, Kretingsodis, Kretingos raj.</w:t>
            </w:r>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2D8FE33E" w:rsidR="00C27901" w:rsidRPr="00B02194" w:rsidRDefault="004A23C7" w:rsidP="000E7A44">
            <w:pPr>
              <w:spacing w:after="0" w:line="240" w:lineRule="auto"/>
              <w:ind w:right="-68"/>
              <w:rPr>
                <w:rFonts w:ascii="Times New Roman" w:hAnsi="Times New Roman" w:cs="Times New Roman"/>
                <w:sz w:val="20"/>
                <w:szCs w:val="20"/>
              </w:rPr>
            </w:pPr>
            <w:r w:rsidRPr="004A23C7">
              <w:rPr>
                <w:rFonts w:ascii="Times New Roman" w:hAnsi="Times New Roman" w:cs="Times New Roman"/>
                <w:sz w:val="20"/>
                <w:szCs w:val="20"/>
              </w:rPr>
              <w:t>Pagal galiojančius Teisės aktus</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19C6082F" w:rsidR="001A5940" w:rsidRDefault="004A23C7"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Galimas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488CF965" w:rsidR="00D33378" w:rsidRPr="00B02194" w:rsidRDefault="004A23C7"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23315785" w14:textId="0164343C" w:rsidR="004A23C7" w:rsidRPr="004A23C7" w:rsidRDefault="004A23C7" w:rsidP="004A23C7">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 xml:space="preserve">1. </w:t>
            </w:r>
            <w:r w:rsidRPr="004A23C7">
              <w:rPr>
                <w:rFonts w:ascii="Times New Roman" w:hAnsi="Times New Roman" w:cs="Times New Roman"/>
                <w:sz w:val="20"/>
                <w:szCs w:val="20"/>
              </w:rPr>
              <w:t>ne mažiau kaip 30 proc. perkamų maisto produktų kiekio (kilogramais, litrais, vienetais) turi atitikti bent vieną iš šių minimalių aplinkos apsaugos kriterijų:</w:t>
            </w:r>
          </w:p>
          <w:p w14:paraId="36F7457C" w14:textId="77777777" w:rsidR="004A23C7" w:rsidRPr="004A23C7" w:rsidRDefault="004A23C7" w:rsidP="004A23C7">
            <w:pPr>
              <w:spacing w:after="0" w:line="240" w:lineRule="auto"/>
              <w:ind w:right="-68"/>
              <w:jc w:val="both"/>
              <w:rPr>
                <w:rFonts w:ascii="Times New Roman" w:hAnsi="Times New Roman" w:cs="Times New Roman"/>
                <w:sz w:val="20"/>
                <w:szCs w:val="20"/>
              </w:rPr>
            </w:pPr>
            <w:r w:rsidRPr="004A23C7">
              <w:rPr>
                <w:rFonts w:ascii="Times New Roman" w:hAnsi="Times New Roman" w:cs="Times New Roman"/>
                <w:sz w:val="20"/>
                <w:szCs w:val="20"/>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9CF2792" w14:textId="47317A6B" w:rsidR="00C27901" w:rsidRPr="00B02194" w:rsidRDefault="004A23C7" w:rsidP="004A23C7">
            <w:pPr>
              <w:spacing w:after="0" w:line="240" w:lineRule="auto"/>
              <w:ind w:right="-68"/>
              <w:jc w:val="both"/>
              <w:rPr>
                <w:rFonts w:ascii="Times New Roman" w:hAnsi="Times New Roman" w:cs="Times New Roman"/>
                <w:sz w:val="20"/>
                <w:szCs w:val="20"/>
              </w:rPr>
            </w:pPr>
            <w:r w:rsidRPr="004A23C7">
              <w:rPr>
                <w:rFonts w:ascii="Times New Roman" w:hAnsi="Times New Roman" w:cs="Times New Roman"/>
                <w:sz w:val="20"/>
                <w:szCs w:val="20"/>
              </w:rPr>
              <w:t>2. Jeigu Prekė tiekiama ar perduodama antrinėje pakuotėje, ji turi atitikti pakuotėms nustatytus minimalius aplinkos apsaugos kriterijus (2 priedo II skyrius „Pakuotės“), nebent tai prieštarauja higienos normoms.</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7720AD71" w14:textId="0A3AF9FE" w:rsidR="006A0088" w:rsidRPr="004A23C7" w:rsidRDefault="00706256" w:rsidP="00553EC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 xml:space="preserve">galimai taps </w:t>
      </w:r>
      <w:r w:rsidR="00F67996" w:rsidRPr="00B02194">
        <w:rPr>
          <w:rFonts w:ascii="Times New Roman" w:eastAsia="Arial" w:hAnsi="Times New Roman"/>
          <w:b w:val="0"/>
          <w:bCs w:val="0"/>
          <w:lang w:val="lt-LT"/>
        </w:rPr>
        <w:lastRenderedPageBreak/>
        <w:t>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7BC5152D"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lastRenderedPageBreak/>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D224CA">
        <w:rPr>
          <w:rFonts w:ascii="Times New Roman" w:eastAsia="Times New Roman" w:hAnsi="Times New Roman" w:cs="Times New Roman"/>
          <w:sz w:val="20"/>
          <w:szCs w:val="20"/>
        </w:rPr>
      </w:r>
      <w:r w:rsidR="00D224CA">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D224CA">
        <w:rPr>
          <w:rFonts w:ascii="Times New Roman" w:eastAsia="Times New Roman" w:hAnsi="Times New Roman" w:cs="Times New Roman"/>
          <w:sz w:val="20"/>
          <w:szCs w:val="20"/>
        </w:rPr>
      </w:r>
      <w:r w:rsidR="00D224CA">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D224CA">
        <w:rPr>
          <w:rFonts w:ascii="Times New Roman" w:eastAsia="Times New Roman" w:hAnsi="Times New Roman" w:cs="Times New Roman"/>
          <w:sz w:val="20"/>
          <w:szCs w:val="20"/>
        </w:rPr>
      </w:r>
      <w:r w:rsidR="00D224CA">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5FE6"/>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5C"/>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AB9"/>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23C7"/>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535"/>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2EE1"/>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24C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styleId="UnresolvedMention">
    <w:name w:val="Unresolved Mention"/>
    <w:basedOn w:val="DefaultParagraphFont"/>
    <w:uiPriority w:val="99"/>
    <w:semiHidden/>
    <w:unhideWhenUsed/>
    <w:rsid w:val="00612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550382459">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yda.svambariene@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7E3"/>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17060</Words>
  <Characters>9725</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2026-05-15T13:47:00Z</dcterms:created>
  <dcterms:modified xsi:type="dcterms:W3CDTF">2026-05-15T13:47:00Z</dcterms:modified>
  <cp:category/>
  <cp:contentStatus/>
</cp:coreProperties>
</file>