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550105E6" w:rsidR="00EE3D9C" w:rsidRPr="00F64F00" w:rsidRDefault="007A447D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F64F00">
        <w:rPr>
          <w:rFonts w:ascii="Times New Roman" w:hAnsi="Times New Roman"/>
          <w:b/>
          <w:bCs/>
          <w:kern w:val="2"/>
          <w:sz w:val="24"/>
          <w:szCs w:val="24"/>
        </w:rPr>
        <w:t>Dėl</w:t>
      </w:r>
      <w:r w:rsidR="00927024" w:rsidRPr="00F64F00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="00F64F00" w:rsidRPr="00F64F00">
        <w:rPr>
          <w:rFonts w:ascii="Times New Roman" w:eastAsia="Times New Roman" w:hAnsi="Times New Roman"/>
          <w:b/>
          <w:bCs/>
          <w:sz w:val="24"/>
          <w:szCs w:val="24"/>
        </w:rPr>
        <w:t>įtraukties švietime viešinimo komunikacijos kampanijos plačiajai visuomenei parengimo ir vykdymo</w:t>
      </w:r>
      <w:r w:rsidR="007562AE" w:rsidRPr="00F64F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113B" w:rsidRPr="00F64F00">
        <w:rPr>
          <w:rFonts w:ascii="Times New Roman" w:hAnsi="Times New Roman"/>
          <w:b/>
          <w:bCs/>
          <w:sz w:val="24"/>
          <w:szCs w:val="24"/>
        </w:rPr>
        <w:t>paslaugų</w:t>
      </w:r>
      <w:r w:rsidR="0028113B" w:rsidRPr="00F64F00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F64F00">
        <w:rPr>
          <w:rFonts w:ascii="Times New Roman" w:hAnsi="Times New Roman"/>
          <w:b/>
          <w:bCs/>
          <w:kern w:val="2"/>
          <w:sz w:val="24"/>
          <w:szCs w:val="24"/>
        </w:rPr>
        <w:t>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„Įtrauktis: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16839B4E" w:rsidR="00CB3CF0" w:rsidRPr="007562AE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</w:t>
      </w:r>
      <w:r w:rsidRPr="007562AE">
        <w:rPr>
          <w:rFonts w:ascii="Times New Roman" w:hAnsi="Times New Roman"/>
          <w:b/>
          <w:bCs/>
          <w:sz w:val="24"/>
          <w:szCs w:val="24"/>
        </w:rPr>
        <w:t>:</w:t>
      </w:r>
      <w:r w:rsidRPr="007562AE">
        <w:rPr>
          <w:rFonts w:ascii="Times New Roman" w:hAnsi="Times New Roman"/>
          <w:sz w:val="24"/>
          <w:szCs w:val="24"/>
        </w:rPr>
        <w:t xml:space="preserve"> </w:t>
      </w:r>
      <w:r w:rsidR="00526236" w:rsidRPr="007562AE">
        <w:rPr>
          <w:rFonts w:ascii="Times New Roman" w:hAnsi="Times New Roman"/>
          <w:sz w:val="24"/>
          <w:szCs w:val="24"/>
        </w:rPr>
        <w:t xml:space="preserve">pasirengimas </w:t>
      </w:r>
      <w:r w:rsidR="00F64F00" w:rsidRPr="7B9BA7FF">
        <w:rPr>
          <w:rFonts w:ascii="Times New Roman" w:eastAsia="Times New Roman" w:hAnsi="Times New Roman"/>
          <w:sz w:val="24"/>
          <w:szCs w:val="24"/>
        </w:rPr>
        <w:t>įtraukties švietime viešinimo komunikacijos kampanijos plačiajai visuomenei parengimo ir vykdymo</w:t>
      </w:r>
      <w:r w:rsidR="007562AE" w:rsidRPr="007562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7562AE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 xml:space="preserve"> (toliau – Viešasis pirkimas)</w:t>
      </w:r>
      <w:r w:rsidR="007562AE">
        <w:rPr>
          <w:rFonts w:ascii="Times New Roman" w:hAnsi="Times New Roman"/>
          <w:color w:val="000000"/>
          <w:sz w:val="24"/>
          <w:szCs w:val="24"/>
        </w:rPr>
        <w:t xml:space="preserve"> pagal Perkančiosios organizacijos koncepciją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>.</w:t>
      </w:r>
    </w:p>
    <w:p w14:paraId="119A0CF8" w14:textId="03EF913D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</w:t>
      </w:r>
      <w:r w:rsidR="007A447D">
        <w:rPr>
          <w:rFonts w:ascii="Times New Roman" w:hAnsi="Times New Roman"/>
          <w:color w:val="000000"/>
          <w:sz w:val="24"/>
          <w:szCs w:val="24"/>
        </w:rPr>
        <w:t xml:space="preserve"> pasiūlymų vertinimo kriterijų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 xml:space="preserve"> sudaryti sąlygas rinkos dalyviams teikti pastabas ir siūlymus Viešojo pirkimo techninei specifikacijai, kvalifikacijos reikalavimams,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47EB3508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7562AE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F64F00">
        <w:rPr>
          <w:rFonts w:ascii="Times New Roman" w:hAnsi="Times New Roman"/>
          <w:b/>
          <w:sz w:val="24"/>
          <w:szCs w:val="24"/>
        </w:rPr>
        <w:t xml:space="preserve">gegužės 22  </w:t>
      </w:r>
      <w:r w:rsidRPr="00A859D9">
        <w:rPr>
          <w:rFonts w:ascii="Times New Roman" w:hAnsi="Times New Roman"/>
          <w:b/>
          <w:sz w:val="24"/>
          <w:szCs w:val="24"/>
        </w:rPr>
        <w:t>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F64F00">
        <w:rPr>
          <w:rFonts w:ascii="Times New Roman" w:hAnsi="Times New Roman"/>
          <w:b/>
          <w:sz w:val="24"/>
          <w:szCs w:val="24"/>
        </w:rPr>
        <w:t>0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27C11"/>
    <w:rsid w:val="0024688B"/>
    <w:rsid w:val="00246F94"/>
    <w:rsid w:val="00254195"/>
    <w:rsid w:val="00265717"/>
    <w:rsid w:val="0028113B"/>
    <w:rsid w:val="002A3D27"/>
    <w:rsid w:val="002C4B5A"/>
    <w:rsid w:val="002C56A8"/>
    <w:rsid w:val="003650FA"/>
    <w:rsid w:val="003A5EA4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6642FB"/>
    <w:rsid w:val="006C25FB"/>
    <w:rsid w:val="006C46EB"/>
    <w:rsid w:val="006E653F"/>
    <w:rsid w:val="00703B29"/>
    <w:rsid w:val="00703D13"/>
    <w:rsid w:val="007432D2"/>
    <w:rsid w:val="00744650"/>
    <w:rsid w:val="007562AE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65752"/>
    <w:rsid w:val="008822A2"/>
    <w:rsid w:val="008939F9"/>
    <w:rsid w:val="008A178D"/>
    <w:rsid w:val="008B5D5C"/>
    <w:rsid w:val="008D168B"/>
    <w:rsid w:val="00902913"/>
    <w:rsid w:val="00927024"/>
    <w:rsid w:val="0093411E"/>
    <w:rsid w:val="00973F76"/>
    <w:rsid w:val="0099404F"/>
    <w:rsid w:val="00997FF6"/>
    <w:rsid w:val="009A0ADA"/>
    <w:rsid w:val="009F21C7"/>
    <w:rsid w:val="00A070F6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D403C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E07F75"/>
    <w:rsid w:val="00E24837"/>
    <w:rsid w:val="00E753E1"/>
    <w:rsid w:val="00E82CEB"/>
    <w:rsid w:val="00E90FA8"/>
    <w:rsid w:val="00EE3D9C"/>
    <w:rsid w:val="00F31DDF"/>
    <w:rsid w:val="00F34027"/>
    <w:rsid w:val="00F64ACE"/>
    <w:rsid w:val="00F64F00"/>
    <w:rsid w:val="00F854EE"/>
    <w:rsid w:val="00FC2727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2666</Words>
  <Characters>1520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2</cp:revision>
  <dcterms:created xsi:type="dcterms:W3CDTF">2026-05-17T18:30:00Z</dcterms:created>
  <dcterms:modified xsi:type="dcterms:W3CDTF">2026-05-17T18:30:00Z</dcterms:modified>
</cp:coreProperties>
</file>