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lastRenderedPageBreak/>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2E012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2E012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 xml:space="preserve">Article 32(2) of the </w:t>
      </w:r>
      <w:r w:rsidRPr="008A01F3">
        <w:rPr>
          <w:rFonts w:ascii="Arial" w:hAnsi="Arial"/>
          <w:sz w:val="16"/>
          <w:szCs w:val="16"/>
        </w:rPr>
        <w:t>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466C74FB19BC844BE4BFBEB5AACEC7E" ma:contentTypeVersion="0" ma:contentTypeDescription="Kurkite naują dokumentą." ma:contentTypeScope="" ma:versionID="5bd50bd70fa7e946eabe50ff552ab95f">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2AB3E8-A4CF-4756-85CD-D77F99855E6B}"/>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2025-04-08T05:25:00Z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0x0101009466C74FB19BC844BE4BFBEB5AACEC7E</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