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2579"/>
        <w:tblW w:w="14737" w:type="dxa"/>
        <w:tblLayout w:type="fixed"/>
        <w:tblLook w:val="04A0" w:firstRow="1" w:lastRow="0" w:firstColumn="1" w:lastColumn="0" w:noHBand="0" w:noVBand="1"/>
      </w:tblPr>
      <w:tblGrid>
        <w:gridCol w:w="846"/>
        <w:gridCol w:w="6905"/>
        <w:gridCol w:w="6986"/>
      </w:tblGrid>
      <w:tr w:rsidR="00EA666F" w:rsidRPr="00AC1CF9" w14:paraId="167BA247" w14:textId="77777777" w:rsidTr="00DC5D12">
        <w:tc>
          <w:tcPr>
            <w:tcW w:w="846" w:type="dxa"/>
            <w:tcMar>
              <w:top w:w="28" w:type="dxa"/>
              <w:bottom w:w="28" w:type="dxa"/>
            </w:tcMar>
          </w:tcPr>
          <w:p w14:paraId="41B2B558" w14:textId="77777777" w:rsidR="00EA666F" w:rsidRPr="00AC1CF9" w:rsidRDefault="00EA666F" w:rsidP="00DC5D12">
            <w:pPr>
              <w:rPr>
                <w:rFonts w:ascii="Arial" w:hAnsi="Arial" w:cs="Arial"/>
                <w:sz w:val="22"/>
                <w:szCs w:val="22"/>
                <w:lang w:val="lt-LT"/>
              </w:rPr>
            </w:pPr>
          </w:p>
        </w:tc>
        <w:tc>
          <w:tcPr>
            <w:tcW w:w="6905" w:type="dxa"/>
            <w:tcMar>
              <w:top w:w="28" w:type="dxa"/>
              <w:bottom w:w="28" w:type="dxa"/>
            </w:tcMar>
          </w:tcPr>
          <w:p w14:paraId="7FE3D06C" w14:textId="3898B418" w:rsidR="00EA666F" w:rsidRPr="00AC1CF9" w:rsidRDefault="00EA666F" w:rsidP="00DC5D12">
            <w:pPr>
              <w:jc w:val="center"/>
              <w:rPr>
                <w:rFonts w:ascii="Arial" w:hAnsi="Arial" w:cs="Arial"/>
                <w:b/>
                <w:bCs/>
                <w:sz w:val="22"/>
                <w:szCs w:val="22"/>
                <w:lang w:val="lt-LT"/>
              </w:rPr>
            </w:pPr>
            <w:r w:rsidRPr="00AC1CF9">
              <w:rPr>
                <w:rFonts w:ascii="Arial" w:hAnsi="Arial" w:cs="Arial"/>
                <w:sz w:val="22"/>
                <w:szCs w:val="22"/>
                <w:lang w:val="lt-LT"/>
              </w:rPr>
              <w:tab/>
            </w:r>
            <w:r w:rsidRPr="00AC1CF9">
              <w:rPr>
                <w:rFonts w:ascii="Arial" w:hAnsi="Arial" w:cs="Arial"/>
                <w:b/>
                <w:bCs/>
                <w:sz w:val="22"/>
                <w:szCs w:val="22"/>
                <w:lang w:val="lt-LT"/>
              </w:rPr>
              <w:t>Įkainių peržiūros procedūra (toliau – procedūra)</w:t>
            </w:r>
          </w:p>
        </w:tc>
        <w:tc>
          <w:tcPr>
            <w:tcW w:w="6986" w:type="dxa"/>
            <w:tcMar>
              <w:top w:w="28" w:type="dxa"/>
              <w:bottom w:w="28" w:type="dxa"/>
            </w:tcMar>
          </w:tcPr>
          <w:p w14:paraId="61BFCF2B" w14:textId="424157C5" w:rsidR="00EA666F" w:rsidRPr="00AC1CF9" w:rsidRDefault="00EA666F" w:rsidP="00DC5D12">
            <w:pPr>
              <w:jc w:val="center"/>
              <w:rPr>
                <w:rFonts w:ascii="Arial" w:hAnsi="Arial" w:cs="Arial"/>
                <w:b/>
                <w:bCs/>
                <w:sz w:val="22"/>
                <w:szCs w:val="22"/>
              </w:rPr>
            </w:pPr>
            <w:r w:rsidRPr="00AC1CF9">
              <w:rPr>
                <w:rFonts w:ascii="Arial" w:hAnsi="Arial" w:cs="Arial"/>
                <w:sz w:val="22"/>
                <w:szCs w:val="22"/>
                <w:lang w:val="lt-LT"/>
              </w:rPr>
              <w:tab/>
            </w:r>
            <w:r w:rsidRPr="00AC1CF9">
              <w:rPr>
                <w:rFonts w:ascii="Arial" w:hAnsi="Arial" w:cs="Arial"/>
                <w:b/>
                <w:bCs/>
                <w:sz w:val="22"/>
                <w:szCs w:val="22"/>
                <w:lang w:val="en-GB"/>
              </w:rPr>
              <w:t>Rates review procedure (hereinafter referred to as the procedure)</w:t>
            </w:r>
          </w:p>
        </w:tc>
      </w:tr>
      <w:tr w:rsidR="00EA666F" w:rsidRPr="00AC1CF9" w14:paraId="251A296A" w14:textId="77777777" w:rsidTr="00DC5D12">
        <w:tc>
          <w:tcPr>
            <w:tcW w:w="846" w:type="dxa"/>
            <w:tcMar>
              <w:top w:w="28" w:type="dxa"/>
              <w:bottom w:w="28" w:type="dxa"/>
            </w:tcMar>
          </w:tcPr>
          <w:p w14:paraId="200D48B9"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38E7C4F3" w:rsidR="00EA666F" w:rsidRPr="00AC1CF9" w:rsidRDefault="00C01B18" w:rsidP="000375E0">
            <w:pPr>
              <w:jc w:val="both"/>
              <w:rPr>
                <w:rFonts w:ascii="Arial" w:hAnsi="Arial" w:cs="Arial"/>
                <w:sz w:val="22"/>
                <w:szCs w:val="22"/>
                <w:lang w:val="lt-LT"/>
              </w:rPr>
            </w:pPr>
            <w:r w:rsidRPr="00AC1CF9">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AC1CF9">
              <w:rPr>
                <w:rFonts w:ascii="Arial" w:hAnsi="Arial" w:cs="Arial"/>
                <w:b/>
                <w:bCs/>
                <w:color w:val="000000" w:themeColor="text1"/>
                <w:sz w:val="22"/>
                <w:szCs w:val="22"/>
                <w:lang w:val="lt-LT"/>
              </w:rPr>
              <w:t>susitarimas</w:t>
            </w:r>
            <w:r w:rsidRPr="00AC1CF9">
              <w:rPr>
                <w:rFonts w:ascii="Arial" w:hAnsi="Arial" w:cs="Arial"/>
                <w:color w:val="000000" w:themeColor="text1"/>
                <w:sz w:val="22"/>
                <w:szCs w:val="22"/>
                <w:lang w:val="lt-LT"/>
              </w:rPr>
              <w:t>) įsigaliojimo diena).</w:t>
            </w:r>
          </w:p>
        </w:tc>
        <w:tc>
          <w:tcPr>
            <w:tcW w:w="6986" w:type="dxa"/>
            <w:tcMar>
              <w:top w:w="28" w:type="dxa"/>
              <w:bottom w:w="28" w:type="dxa"/>
            </w:tcMar>
          </w:tcPr>
          <w:p w14:paraId="2D22A4D4" w14:textId="13524984" w:rsidR="00EA666F" w:rsidRPr="00AC1CF9" w:rsidRDefault="003A3DDF" w:rsidP="00DC5D12">
            <w:pPr>
              <w:jc w:val="both"/>
              <w:rPr>
                <w:rFonts w:ascii="Arial" w:hAnsi="Arial" w:cs="Arial"/>
                <w:sz w:val="22"/>
                <w:szCs w:val="22"/>
              </w:rPr>
            </w:pPr>
            <w:r w:rsidRPr="00AC1CF9">
              <w:rPr>
                <w:rFonts w:ascii="Arial" w:hAnsi="Arial" w:cs="Arial"/>
                <w:color w:val="000000" w:themeColor="text1"/>
                <w:sz w:val="22"/>
                <w:szCs w:val="22"/>
                <w:lang w:val="en-GB"/>
              </w:rPr>
              <w:t xml:space="preserve">The first recalculation of the rates excl. VAT may be carried out after the entry into force of the Contract </w:t>
            </w:r>
            <w:proofErr w:type="gramStart"/>
            <w:r w:rsidRPr="00AC1CF9">
              <w:rPr>
                <w:rFonts w:ascii="Arial" w:hAnsi="Arial" w:cs="Arial"/>
                <w:color w:val="000000" w:themeColor="text1"/>
                <w:sz w:val="22"/>
                <w:szCs w:val="22"/>
                <w:lang w:val="en-GB"/>
              </w:rPr>
              <w:t>on the basis of</w:t>
            </w:r>
            <w:proofErr w:type="gramEnd"/>
            <w:r w:rsidRPr="00AC1CF9">
              <w:rPr>
                <w:rFonts w:ascii="Arial" w:hAnsi="Arial" w:cs="Arial"/>
                <w:color w:val="000000" w:themeColor="text1"/>
                <w:sz w:val="22"/>
                <w:szCs w:val="22"/>
                <w:lang w:val="en-GB"/>
              </w:rPr>
              <w:t xml:space="preserve">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w:t>
            </w:r>
            <w:proofErr w:type="gramStart"/>
            <w:r w:rsidRPr="00AC1CF9">
              <w:rPr>
                <w:rFonts w:ascii="Arial" w:hAnsi="Arial" w:cs="Arial"/>
                <w:color w:val="000000" w:themeColor="text1"/>
                <w:sz w:val="22"/>
                <w:szCs w:val="22"/>
                <w:lang w:val="en-GB"/>
              </w:rPr>
              <w:t>be considered to be</w:t>
            </w:r>
            <w:proofErr w:type="gramEnd"/>
            <w:r w:rsidRPr="00AC1CF9">
              <w:rPr>
                <w:rFonts w:ascii="Arial" w:hAnsi="Arial" w:cs="Arial"/>
                <w:color w:val="000000" w:themeColor="text1"/>
                <w:sz w:val="22"/>
                <w:szCs w:val="22"/>
                <w:lang w:val="en-GB"/>
              </w:rPr>
              <w:t xml:space="preserve"> the date of entry into force of the last agreement on the revision of the Contract rates (hereinafter referred to as the </w:t>
            </w:r>
            <w:r w:rsidRPr="00AC1CF9">
              <w:rPr>
                <w:rFonts w:ascii="Arial" w:hAnsi="Arial" w:cs="Arial"/>
                <w:b/>
                <w:bCs/>
                <w:color w:val="000000" w:themeColor="text1"/>
                <w:sz w:val="22"/>
                <w:szCs w:val="22"/>
                <w:lang w:val="en-GB"/>
              </w:rPr>
              <w:t>agreement</w:t>
            </w:r>
            <w:r w:rsidRPr="00AC1CF9">
              <w:rPr>
                <w:rFonts w:ascii="Arial" w:hAnsi="Arial" w:cs="Arial"/>
                <w:color w:val="000000" w:themeColor="text1"/>
                <w:sz w:val="22"/>
                <w:szCs w:val="22"/>
                <w:lang w:val="en-GB"/>
              </w:rPr>
              <w:t>).</w:t>
            </w:r>
          </w:p>
        </w:tc>
      </w:tr>
      <w:tr w:rsidR="00EA666F" w:rsidRPr="00AC1CF9" w14:paraId="02E6CFDF" w14:textId="77777777" w:rsidTr="00DC5D12">
        <w:tc>
          <w:tcPr>
            <w:tcW w:w="846" w:type="dxa"/>
            <w:tcMar>
              <w:top w:w="28" w:type="dxa"/>
              <w:bottom w:w="28" w:type="dxa"/>
            </w:tcMar>
          </w:tcPr>
          <w:p w14:paraId="77B39D86"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014B3E2E"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Įkainiai peržiūrimi tik tai Sutarties daliai, kuri nėra išpirkta, t. y. Paslaugoms, kurios nėra priimtos aktu ir apmokėtos. Vėlesnis įkainių perskaičiavimas negali apimti laikotarpio, už kurį jau buvo atliktas perskaičiavimas.</w:t>
            </w:r>
          </w:p>
        </w:tc>
        <w:tc>
          <w:tcPr>
            <w:tcW w:w="6986" w:type="dxa"/>
            <w:tcMar>
              <w:top w:w="28" w:type="dxa"/>
              <w:bottom w:w="28" w:type="dxa"/>
            </w:tcMar>
          </w:tcPr>
          <w:p w14:paraId="165CD868" w14:textId="2CCEF7F3" w:rsidR="00EA666F" w:rsidRPr="00AC1CF9" w:rsidRDefault="00E20EB3" w:rsidP="00DC5D12">
            <w:pPr>
              <w:jc w:val="both"/>
              <w:rPr>
                <w:rFonts w:ascii="Arial" w:hAnsi="Arial" w:cs="Arial"/>
                <w:sz w:val="22"/>
                <w:szCs w:val="22"/>
              </w:rPr>
            </w:pPr>
            <w:r w:rsidRPr="00AC1CF9">
              <w:rPr>
                <w:rFonts w:ascii="Arial" w:hAnsi="Arial" w:cs="Arial"/>
                <w:color w:val="000000" w:themeColor="text1"/>
                <w:sz w:val="22"/>
                <w:szCs w:val="22"/>
                <w:lang w:val="en-GB"/>
              </w:rPr>
              <w:t>Rates shall be reviewed only for the part of the Contract that is not redeemed, i.e. services that are not accepted by a deed and paid for. The subsequent recalculation of rates may not cover the period for which the recalculation has already been carried out.</w:t>
            </w:r>
          </w:p>
        </w:tc>
      </w:tr>
      <w:tr w:rsidR="00EA666F" w:rsidRPr="00AC1CF9" w14:paraId="5FB308C7" w14:textId="77777777" w:rsidTr="00DC5D12">
        <w:tc>
          <w:tcPr>
            <w:tcW w:w="846" w:type="dxa"/>
            <w:tcMar>
              <w:top w:w="28" w:type="dxa"/>
              <w:bottom w:w="28" w:type="dxa"/>
            </w:tcMar>
          </w:tcPr>
          <w:p w14:paraId="6BC1596D"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390AC5F" w14:textId="02C6D82E" w:rsidR="00EA666F" w:rsidRPr="00AC1CF9" w:rsidRDefault="00FA66FD" w:rsidP="00DC5D12">
            <w:pPr>
              <w:jc w:val="both"/>
              <w:rPr>
                <w:rFonts w:ascii="Arial" w:hAnsi="Arial" w:cs="Arial"/>
                <w:sz w:val="22"/>
                <w:szCs w:val="22"/>
                <w:lang w:val="lt-LT"/>
              </w:rPr>
            </w:pPr>
            <w:r w:rsidRPr="00AC1CF9">
              <w:rPr>
                <w:rFonts w:ascii="Arial" w:hAnsi="Arial" w:cs="Arial"/>
                <w:sz w:val="22"/>
                <w:szCs w:val="22"/>
                <w:lang w:val="lt-LT"/>
              </w:rPr>
              <w:t>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tc>
        <w:tc>
          <w:tcPr>
            <w:tcW w:w="6986" w:type="dxa"/>
            <w:tcMar>
              <w:top w:w="28" w:type="dxa"/>
              <w:bottom w:w="28" w:type="dxa"/>
            </w:tcMar>
          </w:tcPr>
          <w:p w14:paraId="1031C083" w14:textId="1165C6CC" w:rsidR="00EA666F" w:rsidRPr="00AC1CF9" w:rsidRDefault="00C7485C" w:rsidP="00C7485C">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If the supply of services is delayed due to the fault of the Service Provider, the rates of the delayed services shall not be recalculated due to the rise in the price level (cannot be increased</w:t>
            </w:r>
            <w:proofErr w:type="gramStart"/>
            <w:r w:rsidRPr="00AC1CF9">
              <w:rPr>
                <w:rFonts w:ascii="Arial" w:hAnsi="Arial" w:cs="Arial"/>
                <w:color w:val="000000" w:themeColor="text1"/>
                <w:sz w:val="22"/>
                <w:szCs w:val="22"/>
                <w:lang w:val="en-GB"/>
              </w:rPr>
              <w:t>), but</w:t>
            </w:r>
            <w:proofErr w:type="gramEnd"/>
            <w:r w:rsidRPr="00AC1CF9">
              <w:rPr>
                <w:rFonts w:ascii="Arial" w:hAnsi="Arial" w:cs="Arial"/>
                <w:color w:val="000000" w:themeColor="text1"/>
                <w:sz w:val="22"/>
                <w:szCs w:val="22"/>
                <w:lang w:val="en-GB"/>
              </w:rPr>
              <w:t xml:space="preserve"> shall be recalculated due to the fall in the price level (can be reduced) in the following procedure and conditions.</w:t>
            </w:r>
          </w:p>
        </w:tc>
      </w:tr>
      <w:tr w:rsidR="00EA666F" w:rsidRPr="00AC1CF9" w14:paraId="0F85142A" w14:textId="77777777" w:rsidTr="00DC5D12">
        <w:tc>
          <w:tcPr>
            <w:tcW w:w="846" w:type="dxa"/>
            <w:tcMar>
              <w:top w:w="28" w:type="dxa"/>
              <w:bottom w:w="28" w:type="dxa"/>
            </w:tcMar>
          </w:tcPr>
          <w:p w14:paraId="4B3902D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26025415" w:rsidR="00EA666F" w:rsidRPr="00AC1CF9" w:rsidRDefault="006978FF" w:rsidP="00DC5D12">
            <w:pPr>
              <w:jc w:val="both"/>
              <w:rPr>
                <w:rFonts w:ascii="Arial" w:hAnsi="Arial" w:cs="Arial"/>
                <w:sz w:val="22"/>
                <w:szCs w:val="22"/>
                <w:lang w:val="lt-LT"/>
              </w:rPr>
            </w:pPr>
            <w:r w:rsidRPr="00AC1CF9">
              <w:rPr>
                <w:rFonts w:ascii="Arial" w:hAnsi="Arial" w:cs="Arial"/>
                <w:sz w:val="22"/>
                <w:szCs w:val="22"/>
                <w:lang w:val="lt-LT"/>
              </w:rPr>
              <w:t>Po to, kai Šalys sudaro susitarimą, perskaičiuoti įkainiai be PVM taikomi Paslaugoms, kurios nebuvo faktiškai priimtos pagal aktą ir apmokėtos iki Šalies prašymo kitai Šaliai peržiūrėti įkainius gavimo dienos.</w:t>
            </w:r>
          </w:p>
        </w:tc>
        <w:tc>
          <w:tcPr>
            <w:tcW w:w="6986" w:type="dxa"/>
            <w:tcMar>
              <w:top w:w="28" w:type="dxa"/>
              <w:bottom w:w="28" w:type="dxa"/>
            </w:tcMar>
          </w:tcPr>
          <w:p w14:paraId="24C75E9B" w14:textId="6B4580BB" w:rsidR="00EA666F" w:rsidRPr="00AC1CF9" w:rsidRDefault="008411CA" w:rsidP="00DC5D12">
            <w:pPr>
              <w:jc w:val="both"/>
              <w:rPr>
                <w:rFonts w:ascii="Arial" w:hAnsi="Arial" w:cs="Arial"/>
                <w:sz w:val="22"/>
                <w:szCs w:val="22"/>
              </w:rPr>
            </w:pPr>
            <w:r w:rsidRPr="00AC1CF9">
              <w:rPr>
                <w:rFonts w:ascii="Arial" w:hAnsi="Arial" w:cs="Arial"/>
                <w:color w:val="000000" w:themeColor="text1"/>
                <w:sz w:val="22"/>
                <w:szCs w:val="22"/>
                <w:lang w:val="en-GB"/>
              </w:rPr>
              <w:t>After the Parties conclude an agreement, the recalculated rates excl. VAT shall be applied to Services that were not actually accepted under the deed and paid for before the date of receipt of the Party's request for the other Party to review the rates.</w:t>
            </w:r>
          </w:p>
        </w:tc>
      </w:tr>
      <w:tr w:rsidR="00EA666F" w:rsidRPr="00AC1CF9" w14:paraId="52108561" w14:textId="77777777" w:rsidTr="00DC5D12">
        <w:tc>
          <w:tcPr>
            <w:tcW w:w="846" w:type="dxa"/>
            <w:tcMar>
              <w:top w:w="28" w:type="dxa"/>
              <w:bottom w:w="28" w:type="dxa"/>
            </w:tcMar>
          </w:tcPr>
          <w:p w14:paraId="620BAFAB"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3BFC16F9" w:rsidR="00EA666F" w:rsidRPr="00AC1CF9" w:rsidRDefault="007F3CD2" w:rsidP="007F3CD2">
            <w:pPr>
              <w:jc w:val="both"/>
              <w:rPr>
                <w:rFonts w:ascii="Arial" w:hAnsi="Arial" w:cs="Arial"/>
                <w:sz w:val="22"/>
                <w:szCs w:val="22"/>
                <w:lang w:val="lt-LT"/>
              </w:rPr>
            </w:pPr>
            <w:r w:rsidRPr="00AC1CF9">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17A0BF81" w:rsidR="00EA666F" w:rsidRPr="00AC1CF9" w:rsidRDefault="009B3CDE" w:rsidP="00DC5D12">
            <w:pPr>
              <w:jc w:val="both"/>
              <w:rPr>
                <w:rFonts w:ascii="Arial" w:hAnsi="Arial" w:cs="Arial"/>
                <w:sz w:val="22"/>
                <w:szCs w:val="22"/>
              </w:rPr>
            </w:pPr>
            <w:r w:rsidRPr="00AC1CF9">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or another institution.</w:t>
            </w:r>
          </w:p>
        </w:tc>
      </w:tr>
      <w:tr w:rsidR="00EA666F" w:rsidRPr="00AC1CF9" w14:paraId="76DCE0A9" w14:textId="77777777" w:rsidTr="00DC5D12">
        <w:tc>
          <w:tcPr>
            <w:tcW w:w="846" w:type="dxa"/>
            <w:tcMar>
              <w:top w:w="28" w:type="dxa"/>
              <w:bottom w:w="28" w:type="dxa"/>
            </w:tcMar>
          </w:tcPr>
          <w:p w14:paraId="4E058EB2"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203268F" w14:textId="77777777" w:rsidR="00514CC2" w:rsidRPr="00AC1CF9" w:rsidRDefault="00514CC2" w:rsidP="00514CC2">
            <w:pPr>
              <w:jc w:val="both"/>
              <w:rPr>
                <w:rFonts w:ascii="Arial" w:hAnsi="Arial" w:cs="Arial"/>
                <w:sz w:val="22"/>
                <w:szCs w:val="22"/>
                <w:lang w:val="lt-LT"/>
              </w:rPr>
            </w:pPr>
            <w:r w:rsidRPr="00AC1CF9">
              <w:rPr>
                <w:rFonts w:ascii="Arial" w:hAnsi="Arial" w:cs="Arial"/>
                <w:sz w:val="22"/>
                <w:szCs w:val="22"/>
                <w:lang w:val="lt-LT"/>
              </w:rPr>
              <w:t xml:space="preserve">1.6. Sutarties įkainiai be PVM perskaičiuojami procedūroje nurodytu periodiškumu pagal Valstybės duomenų agentūros kas mėnesį skelbiamo Vartotojų kainų indeksą: </w:t>
            </w:r>
            <w:r w:rsidRPr="00AC1CF9">
              <w:rPr>
                <w:rFonts w:ascii="Arial" w:hAnsi="Arial" w:cs="Arial"/>
                <w:color w:val="000000" w:themeColor="text1"/>
                <w:sz w:val="22"/>
                <w:szCs w:val="22"/>
                <w:lang w:val="lt-LT"/>
              </w:rPr>
              <w:t>Vartojimo prekės ir paslaugos</w:t>
            </w:r>
            <w:r w:rsidRPr="00AC1CF9">
              <w:rPr>
                <w:rFonts w:ascii="Arial" w:hAnsi="Arial" w:cs="Arial"/>
                <w:i/>
                <w:iCs/>
                <w:color w:val="000000" w:themeColor="text1"/>
                <w:sz w:val="22"/>
                <w:szCs w:val="22"/>
                <w:lang w:val="lt-LT"/>
              </w:rPr>
              <w:t xml:space="preserve"> </w:t>
            </w:r>
            <w:r w:rsidRPr="00AC1CF9">
              <w:rPr>
                <w:rFonts w:ascii="Arial" w:hAnsi="Arial" w:cs="Arial"/>
                <w:sz w:val="22"/>
                <w:szCs w:val="22"/>
                <w:lang w:val="lt-LT"/>
              </w:rPr>
              <w:t xml:space="preserve">(toliau – </w:t>
            </w:r>
            <w:r w:rsidRPr="00AC1CF9">
              <w:rPr>
                <w:rFonts w:ascii="Arial" w:hAnsi="Arial" w:cs="Arial"/>
                <w:b/>
                <w:bCs/>
                <w:sz w:val="22"/>
                <w:szCs w:val="22"/>
                <w:lang w:val="lt-LT"/>
              </w:rPr>
              <w:t>Indeksas</w:t>
            </w:r>
            <w:r w:rsidRPr="00AC1CF9">
              <w:rPr>
                <w:rFonts w:ascii="Arial" w:hAnsi="Arial" w:cs="Arial"/>
                <w:sz w:val="22"/>
                <w:szCs w:val="22"/>
                <w:lang w:val="lt-LT"/>
              </w:rPr>
              <w:t>) yra viena iš sąlygų:</w:t>
            </w:r>
          </w:p>
          <w:p w14:paraId="464023B2" w14:textId="06B7534B" w:rsidR="00EA666F" w:rsidRPr="00AC1CF9" w:rsidRDefault="00EA666F" w:rsidP="00DC5D12">
            <w:pPr>
              <w:jc w:val="both"/>
              <w:rPr>
                <w:rFonts w:ascii="Arial" w:hAnsi="Arial" w:cs="Arial"/>
                <w:sz w:val="22"/>
                <w:szCs w:val="22"/>
                <w:lang w:val="lt-LT"/>
              </w:rPr>
            </w:pPr>
          </w:p>
        </w:tc>
        <w:tc>
          <w:tcPr>
            <w:tcW w:w="6986" w:type="dxa"/>
            <w:tcMar>
              <w:top w:w="28" w:type="dxa"/>
              <w:bottom w:w="28" w:type="dxa"/>
            </w:tcMar>
          </w:tcPr>
          <w:p w14:paraId="25A6461F" w14:textId="14568D4C" w:rsidR="00EA666F" w:rsidRPr="00AC1CF9" w:rsidRDefault="00E36473" w:rsidP="00DC5D12">
            <w:pPr>
              <w:jc w:val="both"/>
              <w:rPr>
                <w:rFonts w:ascii="Arial" w:hAnsi="Arial" w:cs="Arial"/>
                <w:sz w:val="22"/>
                <w:szCs w:val="22"/>
              </w:rPr>
            </w:pPr>
            <w:r w:rsidRPr="00AC1CF9">
              <w:rPr>
                <w:rFonts w:ascii="Arial" w:hAnsi="Arial" w:cs="Arial"/>
                <w:color w:val="000000" w:themeColor="text1"/>
                <w:sz w:val="22"/>
                <w:szCs w:val="22"/>
                <w:lang w:val="en-GB"/>
              </w:rPr>
              <w:t>Contract rates excl. VAT shall be recalculated at the periodicity specified in the procedure according to the Consumer Price Index published monthly by Statistics Lithuania State Data Agency: Consumer Goods and Services</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 xml:space="preserve">(hereinafter referred to as the </w:t>
            </w:r>
            <w:r w:rsidRPr="00AC1CF9">
              <w:rPr>
                <w:rFonts w:ascii="Arial" w:hAnsi="Arial" w:cs="Arial"/>
                <w:b/>
                <w:bCs/>
                <w:color w:val="000000" w:themeColor="text1"/>
                <w:sz w:val="22"/>
                <w:szCs w:val="22"/>
                <w:lang w:val="en-GB"/>
              </w:rPr>
              <w:t>Index)</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if one of the following conditions exists:</w:t>
            </w:r>
          </w:p>
        </w:tc>
      </w:tr>
      <w:tr w:rsidR="00EA666F" w:rsidRPr="00AC1CF9" w14:paraId="7D879B92" w14:textId="77777777" w:rsidTr="00DC5D12">
        <w:tc>
          <w:tcPr>
            <w:tcW w:w="846" w:type="dxa"/>
            <w:tcMar>
              <w:top w:w="28" w:type="dxa"/>
              <w:bottom w:w="28" w:type="dxa"/>
            </w:tcMar>
          </w:tcPr>
          <w:p w14:paraId="02C69129"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5F57EB63" w:rsidR="00EA666F" w:rsidRPr="00AC1CF9" w:rsidRDefault="00AC1CF9" w:rsidP="00DC5D12">
            <w:pPr>
              <w:jc w:val="both"/>
              <w:rPr>
                <w:rFonts w:ascii="Arial" w:hAnsi="Arial" w:cs="Arial"/>
                <w:sz w:val="22"/>
                <w:szCs w:val="22"/>
                <w:lang w:val="lt-LT"/>
              </w:rPr>
            </w:pPr>
            <w:r w:rsidRPr="00AC1CF9">
              <w:rPr>
                <w:rFonts w:ascii="Arial" w:hAnsi="Arial" w:cs="Arial"/>
                <w:color w:val="000000" w:themeColor="text1"/>
                <w:sz w:val="22"/>
                <w:szCs w:val="22"/>
                <w:lang w:val="lt-LT"/>
              </w:rPr>
              <w:t>pokyčio koeficientas (K) yra intervale (imtinai) tarp 0,95 – 1,05 (0,95 ≤ K ≤ 1,05) ir Sutarties įkainiai šios Sutarties nustatyta tvarka jau buvo perskaičiuoti anksčiau (</w:t>
            </w:r>
            <w:proofErr w:type="spellStart"/>
            <w:r w:rsidRPr="00AC1CF9">
              <w:rPr>
                <w:rFonts w:ascii="Arial" w:hAnsi="Arial" w:cs="Arial"/>
                <w:color w:val="000000" w:themeColor="text1"/>
                <w:sz w:val="22"/>
                <w:szCs w:val="22"/>
                <w:lang w:val="lt-LT"/>
              </w:rPr>
              <w:t>t.y</w:t>
            </w:r>
            <w:proofErr w:type="spellEnd"/>
            <w:r w:rsidRPr="00AC1CF9">
              <w:rPr>
                <w:rFonts w:ascii="Arial" w:hAnsi="Arial" w:cs="Arial"/>
                <w:color w:val="000000" w:themeColor="text1"/>
                <w:sz w:val="22"/>
                <w:szCs w:val="22"/>
                <w:lang w:val="lt-LT"/>
              </w:rPr>
              <w:t>.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AC1CF9">
              <w:rPr>
                <w:rStyle w:val="FootnoteReference"/>
                <w:rFonts w:ascii="Arial" w:hAnsi="Arial" w:cs="Arial"/>
                <w:color w:val="000000" w:themeColor="text1"/>
                <w:sz w:val="22"/>
                <w:szCs w:val="22"/>
              </w:rPr>
              <w:footnoteReference w:id="1"/>
            </w:r>
            <w:r w:rsidRPr="00AC1CF9">
              <w:rPr>
                <w:rFonts w:ascii="Arial" w:hAnsi="Arial" w:cs="Arial"/>
                <w:color w:val="000000" w:themeColor="text1"/>
                <w:sz w:val="22"/>
                <w:szCs w:val="22"/>
                <w:lang w:val="lt-LT"/>
              </w:rPr>
              <w:t xml:space="preserve">. </w:t>
            </w:r>
            <w:proofErr w:type="spellStart"/>
            <w:r w:rsidRPr="00AC1CF9">
              <w:rPr>
                <w:rFonts w:ascii="Arial" w:hAnsi="Arial" w:cs="Arial"/>
                <w:color w:val="000000" w:themeColor="text1"/>
                <w:sz w:val="22"/>
                <w:szCs w:val="22"/>
              </w:rPr>
              <w:t>Pokyčio</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koeficientas</w:t>
            </w:r>
            <w:proofErr w:type="spellEnd"/>
            <w:r w:rsidRPr="00AC1CF9">
              <w:rPr>
                <w:rFonts w:ascii="Arial" w:hAnsi="Arial" w:cs="Arial"/>
                <w:color w:val="000000" w:themeColor="text1"/>
                <w:sz w:val="22"/>
                <w:szCs w:val="22"/>
              </w:rPr>
              <w:t xml:space="preserve"> (K) </w:t>
            </w:r>
            <w:proofErr w:type="spellStart"/>
            <w:r w:rsidRPr="00AC1CF9">
              <w:rPr>
                <w:rFonts w:ascii="Arial" w:hAnsi="Arial" w:cs="Arial"/>
                <w:color w:val="000000" w:themeColor="text1"/>
                <w:sz w:val="22"/>
                <w:szCs w:val="22"/>
              </w:rPr>
              <w:t>apskaičiuojamas</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toliau</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nurodyta</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tvarka</w:t>
            </w:r>
            <w:proofErr w:type="spellEnd"/>
            <w:r w:rsidRPr="00AC1CF9">
              <w:rPr>
                <w:rFonts w:ascii="Arial" w:hAnsi="Arial" w:cs="Arial"/>
                <w:color w:val="000000" w:themeColor="text1"/>
                <w:sz w:val="22"/>
                <w:szCs w:val="22"/>
              </w:rPr>
              <w:t>.</w:t>
            </w:r>
          </w:p>
        </w:tc>
        <w:tc>
          <w:tcPr>
            <w:tcW w:w="6986" w:type="dxa"/>
            <w:tcMar>
              <w:top w:w="28" w:type="dxa"/>
              <w:bottom w:w="28" w:type="dxa"/>
            </w:tcMar>
          </w:tcPr>
          <w:p w14:paraId="323D8798" w14:textId="61FEEFFB" w:rsidR="00EA666F" w:rsidRPr="00AC1CF9" w:rsidRDefault="002D77E7" w:rsidP="002D77E7">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Services not actually delivered before the date of receipt of the request for review of the Contract rates without VAT are recalculated to the rates of these Services without VAT</w:t>
            </w:r>
            <w:r w:rsidRPr="00AC1CF9">
              <w:rPr>
                <w:rStyle w:val="FootnoteReference"/>
                <w:rFonts w:ascii="Arial" w:hAnsi="Arial" w:cs="Arial"/>
                <w:color w:val="000000" w:themeColor="text1"/>
                <w:sz w:val="22"/>
                <w:szCs w:val="22"/>
                <w:lang w:val="en-GB"/>
              </w:rPr>
              <w:footnoteReference w:id="2"/>
            </w:r>
            <w:r w:rsidRPr="00AC1CF9">
              <w:rPr>
                <w:rFonts w:ascii="Arial" w:hAnsi="Arial" w:cs="Arial"/>
                <w:color w:val="000000" w:themeColor="text1"/>
                <w:sz w:val="22"/>
                <w:szCs w:val="22"/>
                <w:lang w:val="en-GB"/>
              </w:rPr>
              <w:t xml:space="preserve"> provided in the proposal of the Service Provider. The coefficient of change (K) is calculated in the following order.  </w:t>
            </w:r>
          </w:p>
        </w:tc>
      </w:tr>
      <w:tr w:rsidR="00EA666F" w:rsidRPr="00AC1CF9" w14:paraId="1781846D" w14:textId="77777777" w:rsidTr="00DC5D12">
        <w:tc>
          <w:tcPr>
            <w:tcW w:w="846" w:type="dxa"/>
            <w:tcMar>
              <w:top w:w="28" w:type="dxa"/>
              <w:bottom w:w="28" w:type="dxa"/>
            </w:tcMar>
          </w:tcPr>
          <w:p w14:paraId="28BD195B"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arba</w:t>
            </w:r>
          </w:p>
          <w:p w14:paraId="798286F4" w14:textId="7DCAEF5F"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AC1CF9" w:rsidRDefault="00BC3C67" w:rsidP="00DC5D12">
            <w:pPr>
              <w:rPr>
                <w:rFonts w:ascii="Arial" w:hAnsi="Arial" w:cs="Arial"/>
                <w:sz w:val="22"/>
                <w:szCs w:val="22"/>
              </w:rPr>
            </w:pPr>
            <w:r w:rsidRPr="00AC1CF9">
              <w:rPr>
                <w:rFonts w:ascii="Arial" w:hAnsi="Arial" w:cs="Arial"/>
                <w:sz w:val="22"/>
                <w:szCs w:val="22"/>
              </w:rPr>
              <w:t>o</w:t>
            </w:r>
            <w:r w:rsidR="00EA666F" w:rsidRPr="00AC1CF9">
              <w:rPr>
                <w:rFonts w:ascii="Arial" w:hAnsi="Arial" w:cs="Arial"/>
                <w:sz w:val="22"/>
                <w:szCs w:val="22"/>
              </w:rPr>
              <w:t>r</w:t>
            </w:r>
          </w:p>
          <w:p w14:paraId="1F80491C" w14:textId="438869E0"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 xml:space="preserve">the coefficient of change (K) is greater than 1.05 (K&gt;1.05) or less than 0.95 (K&lt;0.95), in which case the review shall be carried out in the following </w:t>
            </w:r>
            <w:proofErr w:type="gramStart"/>
            <w:r w:rsidRPr="00AC1CF9">
              <w:rPr>
                <w:rFonts w:ascii="Arial" w:hAnsi="Arial" w:cs="Arial"/>
                <w:sz w:val="22"/>
                <w:szCs w:val="22"/>
                <w:lang w:val="en-GB"/>
              </w:rPr>
              <w:t>order;</w:t>
            </w:r>
            <w:proofErr w:type="gramEnd"/>
          </w:p>
        </w:tc>
      </w:tr>
      <w:tr w:rsidR="00EA666F" w:rsidRPr="00AC1CF9" w14:paraId="53B9B2D7" w14:textId="77777777" w:rsidTr="00DC5D12">
        <w:tc>
          <w:tcPr>
            <w:tcW w:w="846" w:type="dxa"/>
            <w:tcMar>
              <w:top w:w="28" w:type="dxa"/>
              <w:bottom w:w="28" w:type="dxa"/>
            </w:tcMar>
          </w:tcPr>
          <w:p w14:paraId="2D709EF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AC1CF9" w:rsidRDefault="00BC3C67" w:rsidP="00DC5D12">
            <w:pPr>
              <w:rPr>
                <w:rFonts w:ascii="Arial" w:hAnsi="Arial" w:cs="Arial"/>
                <w:sz w:val="22"/>
                <w:szCs w:val="22"/>
                <w:lang w:val="lt-LT"/>
              </w:rPr>
            </w:pPr>
            <w:r w:rsidRPr="00AC1CF9">
              <w:rPr>
                <w:rFonts w:ascii="Arial" w:hAnsi="Arial" w:cs="Arial"/>
                <w:sz w:val="22"/>
                <w:szCs w:val="22"/>
                <w:lang w:val="lt-LT"/>
              </w:rPr>
              <w:t>Indekso pokyčio koeficientas (K) apskaičiuojamas:</w:t>
            </w:r>
          </w:p>
          <w:p w14:paraId="202CBA00" w14:textId="77777777" w:rsidR="00BC3C67" w:rsidRPr="00AC1CF9" w:rsidRDefault="00BC3C67" w:rsidP="00DC5D12">
            <w:pPr>
              <w:rPr>
                <w:rFonts w:ascii="Arial" w:hAnsi="Arial" w:cs="Arial"/>
                <w:sz w:val="22"/>
                <w:szCs w:val="22"/>
                <w:lang w:val="lt-LT"/>
              </w:rPr>
            </w:pPr>
          </w:p>
          <w:p w14:paraId="6EE85FD9"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AC1CF9" w:rsidRDefault="00BC3C67" w:rsidP="00DC5D12">
            <w:pPr>
              <w:jc w:val="both"/>
              <w:rPr>
                <w:rFonts w:ascii="Arial" w:hAnsi="Arial" w:cs="Arial"/>
                <w:sz w:val="22"/>
                <w:szCs w:val="22"/>
                <w:lang w:val="lt-LT"/>
              </w:rPr>
            </w:pPr>
          </w:p>
          <w:p w14:paraId="0067561A"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 xml:space="preserve">Jeigu, atlikus skaičiavimus toliau procedūroje nurodyta tvarka, (K)&gt;1,05 arba (K)&lt;0,95, tai yra perskaičiuojami faktiškai nepriimtų ir </w:t>
            </w:r>
            <w:r w:rsidRPr="00AC1CF9">
              <w:rPr>
                <w:rFonts w:ascii="Arial" w:hAnsi="Arial" w:cs="Arial"/>
                <w:sz w:val="22"/>
                <w:szCs w:val="22"/>
                <w:lang w:val="lt-LT"/>
              </w:rPr>
              <w:lastRenderedPageBreak/>
              <w:t>neapmokėtų prekių / paslaugų įkainiai be PVM, kurie dauginami iš patikslinto Indekso pokyčio koeficiento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w:t>
            </w:r>
          </w:p>
          <w:p w14:paraId="0E5D3C87" w14:textId="77777777" w:rsidR="00BC3C67" w:rsidRPr="00AC1CF9" w:rsidRDefault="00BC3C67" w:rsidP="00DC5D12">
            <w:pPr>
              <w:jc w:val="both"/>
              <w:rPr>
                <w:rFonts w:ascii="Arial" w:hAnsi="Arial" w:cs="Arial"/>
                <w:sz w:val="22"/>
                <w:szCs w:val="22"/>
                <w:lang w:val="lt-LT"/>
              </w:rPr>
            </w:pPr>
          </w:p>
          <w:p w14:paraId="3A896AE0" w14:textId="618445D3"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Peržiūra vykdoma pagal formules:</w:t>
            </w:r>
          </w:p>
          <w:p w14:paraId="7449AAAB" w14:textId="77777777" w:rsidR="00BC3C67" w:rsidRPr="00AC1CF9" w:rsidRDefault="00BC3C67" w:rsidP="00DC5D12">
            <w:pPr>
              <w:jc w:val="both"/>
              <w:rPr>
                <w:rFonts w:ascii="Arial" w:hAnsi="Arial" w:cs="Arial"/>
                <w:sz w:val="22"/>
                <w:szCs w:val="22"/>
                <w:lang w:val="lt-LT"/>
              </w:rPr>
            </w:pPr>
          </w:p>
          <w:p w14:paraId="64BEF136"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 = (</w:t>
            </w:r>
            <w:proofErr w:type="spellStart"/>
            <w:r w:rsidRPr="00AC1CF9">
              <w:rPr>
                <w:rFonts w:ascii="Arial" w:hAnsi="Arial" w:cs="Arial"/>
                <w:sz w:val="22"/>
                <w:szCs w:val="22"/>
                <w:lang w:val="lt-LT"/>
              </w:rPr>
              <w:t>IPb</w:t>
            </w:r>
            <w:proofErr w:type="spellEnd"/>
            <w:r w:rsidRPr="00AC1CF9">
              <w:rPr>
                <w:rFonts w:ascii="Arial" w:hAnsi="Arial" w:cs="Arial"/>
                <w:sz w:val="22"/>
                <w:szCs w:val="22"/>
                <w:lang w:val="lt-LT"/>
              </w:rPr>
              <w:t xml:space="preserve"> / </w:t>
            </w:r>
            <w:proofErr w:type="spellStart"/>
            <w:r w:rsidRPr="00AC1CF9">
              <w:rPr>
                <w:rFonts w:ascii="Arial" w:hAnsi="Arial" w:cs="Arial"/>
                <w:sz w:val="22"/>
                <w:szCs w:val="22"/>
                <w:lang w:val="lt-LT"/>
              </w:rPr>
              <w:t>IPr</w:t>
            </w:r>
            <w:proofErr w:type="spellEnd"/>
            <w:r w:rsidRPr="00AC1CF9">
              <w:rPr>
                <w:rFonts w:ascii="Arial" w:hAnsi="Arial" w:cs="Arial"/>
                <w:sz w:val="22"/>
                <w:szCs w:val="22"/>
                <w:lang w:val="lt-LT"/>
              </w:rPr>
              <w:t>)</w:t>
            </w:r>
          </w:p>
          <w:p w14:paraId="11C2DA74" w14:textId="77777777" w:rsidR="00BC3C67" w:rsidRPr="00AC1CF9" w:rsidRDefault="00BC3C67" w:rsidP="00DC5D12">
            <w:pPr>
              <w:jc w:val="both"/>
              <w:rPr>
                <w:rFonts w:ascii="Arial" w:hAnsi="Arial" w:cs="Arial"/>
                <w:sz w:val="22"/>
                <w:szCs w:val="22"/>
                <w:lang w:val="lt-LT"/>
              </w:rPr>
            </w:pPr>
          </w:p>
          <w:p w14:paraId="4289B873"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0C3889A0" w14:textId="4DA15D6B"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ab/>
            </w:r>
          </w:p>
          <w:p w14:paraId="70046CE7" w14:textId="77777777" w:rsidR="00BC3C67" w:rsidRPr="00AC1CF9" w:rsidRDefault="00BC3C67" w:rsidP="00DC5D12">
            <w:pPr>
              <w:jc w:val="both"/>
              <w:rPr>
                <w:rFonts w:ascii="Arial" w:hAnsi="Arial" w:cs="Arial"/>
                <w:sz w:val="22"/>
                <w:szCs w:val="22"/>
                <w:lang w:val="lt-LT"/>
              </w:rPr>
            </w:pPr>
            <w:r w:rsidRPr="00AC1CF9">
              <w:rPr>
                <w:rFonts w:ascii="Arial" w:hAnsi="Arial" w:cs="Arial"/>
                <w:b/>
                <w:bCs/>
                <w:sz w:val="22"/>
                <w:szCs w:val="22"/>
                <w:lang w:val="lt-LT"/>
              </w:rPr>
              <w:t>K</w:t>
            </w:r>
            <w:r w:rsidRPr="00AC1CF9">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AC1CF9" w:rsidRDefault="00BC3C67" w:rsidP="00DC5D12">
            <w:pPr>
              <w:jc w:val="both"/>
              <w:rPr>
                <w:rFonts w:ascii="Arial" w:hAnsi="Arial" w:cs="Arial"/>
                <w:sz w:val="22"/>
                <w:szCs w:val="22"/>
                <w:lang w:val="lt-LT"/>
              </w:rPr>
            </w:pPr>
          </w:p>
          <w:p w14:paraId="74D2D971"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IPr</w:t>
            </w:r>
            <w:proofErr w:type="spellEnd"/>
            <w:r w:rsidRPr="00AC1CF9">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AC1CF9" w:rsidRDefault="00BC3C67" w:rsidP="00DC5D12">
            <w:pPr>
              <w:jc w:val="both"/>
              <w:rPr>
                <w:rFonts w:ascii="Arial" w:hAnsi="Arial" w:cs="Arial"/>
                <w:sz w:val="22"/>
                <w:szCs w:val="22"/>
                <w:lang w:val="lt-LT"/>
              </w:rPr>
            </w:pPr>
          </w:p>
          <w:p w14:paraId="57ECCA3F"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IPb</w:t>
            </w:r>
            <w:proofErr w:type="spellEnd"/>
            <w:r w:rsidRPr="00AC1CF9">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AC1CF9" w:rsidRDefault="00BC3C67" w:rsidP="00DC5D12">
            <w:pPr>
              <w:jc w:val="both"/>
              <w:rPr>
                <w:rFonts w:ascii="Arial" w:hAnsi="Arial" w:cs="Arial"/>
                <w:sz w:val="22"/>
                <w:szCs w:val="22"/>
                <w:lang w:val="lt-LT"/>
              </w:rPr>
            </w:pPr>
          </w:p>
          <w:p w14:paraId="3217B904"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didesnis nei 1,05, tuomet yra atimama 0,05 jo dalis ir apskaičiuojamas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w:t>
            </w:r>
          </w:p>
          <w:p w14:paraId="5CC43BB8" w14:textId="77777777" w:rsidR="00BC3C67" w:rsidRPr="00AC1CF9" w:rsidRDefault="00BC3C67" w:rsidP="00DC5D12">
            <w:pPr>
              <w:jc w:val="both"/>
              <w:rPr>
                <w:rFonts w:ascii="Arial" w:hAnsi="Arial" w:cs="Arial"/>
                <w:sz w:val="22"/>
                <w:szCs w:val="22"/>
                <w:lang w:val="lt-LT"/>
              </w:rPr>
            </w:pPr>
          </w:p>
          <w:p w14:paraId="53219808"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 K – 0,05</w:t>
            </w:r>
          </w:p>
          <w:p w14:paraId="35CF07A8" w14:textId="77777777" w:rsidR="00BC3C67" w:rsidRPr="00AC1CF9" w:rsidRDefault="00BC3C67" w:rsidP="00DC5D12">
            <w:pPr>
              <w:jc w:val="both"/>
              <w:rPr>
                <w:rFonts w:ascii="Arial" w:hAnsi="Arial" w:cs="Arial"/>
                <w:sz w:val="22"/>
                <w:szCs w:val="22"/>
                <w:lang w:val="lt-LT"/>
              </w:rPr>
            </w:pPr>
          </w:p>
          <w:p w14:paraId="4AD252FB"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mažesnis nei 0,95, tuomet yra pridedama 0,05 jo dalis ir apskaičiuojamas patikslintas Indekso pokyčio koeficientas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w:t>
            </w:r>
          </w:p>
          <w:p w14:paraId="6D382E14" w14:textId="77777777" w:rsidR="00BC3C67" w:rsidRPr="00AC1CF9" w:rsidRDefault="00BC3C67" w:rsidP="00DC5D12">
            <w:pPr>
              <w:jc w:val="both"/>
              <w:rPr>
                <w:rFonts w:ascii="Arial" w:hAnsi="Arial" w:cs="Arial"/>
                <w:sz w:val="22"/>
                <w:szCs w:val="22"/>
                <w:lang w:val="lt-LT"/>
              </w:rPr>
            </w:pPr>
          </w:p>
          <w:p w14:paraId="01C64C7E"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K + 0,05</w:t>
            </w:r>
          </w:p>
          <w:p w14:paraId="5AC9A623" w14:textId="77777777" w:rsidR="00BC3C67" w:rsidRPr="00AC1CF9" w:rsidRDefault="00BC3C67" w:rsidP="00DC5D12">
            <w:pPr>
              <w:jc w:val="both"/>
              <w:rPr>
                <w:rFonts w:ascii="Arial" w:hAnsi="Arial" w:cs="Arial"/>
                <w:sz w:val="22"/>
                <w:szCs w:val="22"/>
                <w:lang w:val="lt-LT"/>
              </w:rPr>
            </w:pPr>
          </w:p>
          <w:p w14:paraId="2F712111"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21C74B87" w14:textId="77777777" w:rsidR="00BC3C67" w:rsidRPr="00AC1CF9" w:rsidRDefault="00BC3C67" w:rsidP="00DC5D12">
            <w:pPr>
              <w:jc w:val="both"/>
              <w:rPr>
                <w:rFonts w:ascii="Arial" w:hAnsi="Arial" w:cs="Arial"/>
                <w:sz w:val="22"/>
                <w:szCs w:val="22"/>
                <w:lang w:val="lt-LT"/>
              </w:rPr>
            </w:pPr>
          </w:p>
          <w:p w14:paraId="548ED2F4" w14:textId="75A941F9"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AC1CF9" w:rsidRDefault="00BC3C67" w:rsidP="00DC5D12">
            <w:pPr>
              <w:rPr>
                <w:rFonts w:ascii="Arial" w:hAnsi="Arial" w:cs="Arial"/>
                <w:sz w:val="22"/>
                <w:szCs w:val="22"/>
              </w:rPr>
            </w:pPr>
            <w:r w:rsidRPr="00AC1CF9">
              <w:rPr>
                <w:rFonts w:ascii="Arial" w:hAnsi="Arial" w:cs="Arial"/>
                <w:sz w:val="22"/>
                <w:szCs w:val="22"/>
              </w:rPr>
              <w:lastRenderedPageBreak/>
              <w:t>The coefficient of change of the index (K) shall be calculated as follows:</w:t>
            </w:r>
          </w:p>
          <w:p w14:paraId="21B4BF79" w14:textId="77777777" w:rsidR="00BC3C67" w:rsidRPr="00AC1CF9" w:rsidRDefault="00BC3C67" w:rsidP="00DC5D12">
            <w:pPr>
              <w:rPr>
                <w:rFonts w:ascii="Arial" w:hAnsi="Arial" w:cs="Arial"/>
                <w:sz w:val="22"/>
                <w:szCs w:val="22"/>
              </w:rPr>
            </w:pPr>
          </w:p>
          <w:p w14:paraId="2E22441F"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AC1CF9" w:rsidRDefault="00BC3C67" w:rsidP="00DC5D12">
            <w:pPr>
              <w:jc w:val="both"/>
              <w:rPr>
                <w:rFonts w:ascii="Arial" w:hAnsi="Arial" w:cs="Arial"/>
                <w:sz w:val="22"/>
                <w:szCs w:val="22"/>
                <w:lang w:val="en-GB"/>
              </w:rPr>
            </w:pPr>
          </w:p>
          <w:p w14:paraId="081CB113" w14:textId="77777777" w:rsidR="00BC3C67" w:rsidRPr="00AC1CF9" w:rsidRDefault="00BC3C67" w:rsidP="00DC5D12">
            <w:pPr>
              <w:jc w:val="both"/>
              <w:rPr>
                <w:rFonts w:ascii="Arial" w:hAnsi="Arial" w:cs="Arial"/>
                <w:sz w:val="22"/>
                <w:szCs w:val="22"/>
              </w:rPr>
            </w:pPr>
            <w:r w:rsidRPr="00AC1CF9">
              <w:rPr>
                <w:rFonts w:ascii="Arial" w:hAnsi="Arial" w:cs="Arial"/>
                <w:sz w:val="22"/>
                <w:szCs w:val="22"/>
                <w:lang w:val="en-GB"/>
              </w:rPr>
              <w:lastRenderedPageBreak/>
              <w:t>If (K)&gt;1.05 or (K)&lt;0.95 after the calculation in accordance with the procedure below, the rates of goods / services not actually accepted and unpaid, excl. VAT, shall be recalculated, multiplied by the coefficient of change in the revised Index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w:t>
            </w:r>
          </w:p>
          <w:p w14:paraId="071CA4CD" w14:textId="77777777" w:rsidR="00BC3C67" w:rsidRPr="00AC1CF9" w:rsidRDefault="00BC3C67" w:rsidP="00DC5D12">
            <w:pPr>
              <w:jc w:val="both"/>
              <w:rPr>
                <w:rFonts w:ascii="Arial" w:hAnsi="Arial" w:cs="Arial"/>
                <w:sz w:val="22"/>
                <w:szCs w:val="22"/>
              </w:rPr>
            </w:pPr>
          </w:p>
          <w:p w14:paraId="458B1002" w14:textId="77777777" w:rsidR="00BC3C67" w:rsidRPr="00AC1CF9" w:rsidRDefault="00BC3C67" w:rsidP="00DC5D12">
            <w:pPr>
              <w:rPr>
                <w:rFonts w:ascii="Arial" w:hAnsi="Arial" w:cs="Arial"/>
                <w:sz w:val="22"/>
                <w:szCs w:val="22"/>
              </w:rPr>
            </w:pPr>
            <w:r w:rsidRPr="00AC1CF9">
              <w:rPr>
                <w:rFonts w:ascii="Arial" w:hAnsi="Arial" w:cs="Arial"/>
                <w:sz w:val="22"/>
                <w:szCs w:val="22"/>
              </w:rPr>
              <w:t>The review shall be carried out according to the formulas:</w:t>
            </w:r>
          </w:p>
          <w:p w14:paraId="14CF89E8" w14:textId="77777777" w:rsidR="00BC3C67" w:rsidRPr="00AC1CF9" w:rsidRDefault="00BC3C67" w:rsidP="00DC5D12">
            <w:pPr>
              <w:rPr>
                <w:rFonts w:ascii="Arial" w:hAnsi="Arial" w:cs="Arial"/>
                <w:sz w:val="22"/>
                <w:szCs w:val="22"/>
              </w:rPr>
            </w:pPr>
          </w:p>
          <w:p w14:paraId="5325A7B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 = (</w:t>
            </w:r>
            <w:proofErr w:type="spellStart"/>
            <w:r w:rsidRPr="00AC1CF9">
              <w:rPr>
                <w:rFonts w:ascii="Arial" w:hAnsi="Arial" w:cs="Arial"/>
                <w:sz w:val="22"/>
                <w:szCs w:val="22"/>
                <w:lang w:val="en-GB"/>
              </w:rPr>
              <w:t>IPb</w:t>
            </w:r>
            <w:proofErr w:type="spellEnd"/>
            <w:r w:rsidRPr="00AC1CF9">
              <w:rPr>
                <w:rFonts w:ascii="Arial" w:hAnsi="Arial" w:cs="Arial"/>
                <w:sz w:val="22"/>
                <w:szCs w:val="22"/>
                <w:lang w:val="en-GB"/>
              </w:rPr>
              <w:t xml:space="preserve"> / </w:t>
            </w:r>
            <w:proofErr w:type="spellStart"/>
            <w:r w:rsidRPr="00AC1CF9">
              <w:rPr>
                <w:rFonts w:ascii="Arial" w:hAnsi="Arial" w:cs="Arial"/>
                <w:sz w:val="22"/>
                <w:szCs w:val="22"/>
                <w:lang w:val="en-GB"/>
              </w:rPr>
              <w:t>IPr</w:t>
            </w:r>
            <w:proofErr w:type="spellEnd"/>
            <w:r w:rsidRPr="00AC1CF9">
              <w:rPr>
                <w:rFonts w:ascii="Arial" w:hAnsi="Arial" w:cs="Arial"/>
                <w:sz w:val="22"/>
                <w:szCs w:val="22"/>
                <w:lang w:val="en-GB"/>
              </w:rPr>
              <w:t>)</w:t>
            </w:r>
          </w:p>
          <w:p w14:paraId="528B6F6F" w14:textId="77777777" w:rsidR="00BC3C67" w:rsidRPr="00AC1CF9" w:rsidRDefault="00BC3C67" w:rsidP="00DC5D12">
            <w:pPr>
              <w:jc w:val="both"/>
              <w:rPr>
                <w:rFonts w:ascii="Arial" w:hAnsi="Arial" w:cs="Arial"/>
                <w:sz w:val="22"/>
                <w:szCs w:val="22"/>
              </w:rPr>
            </w:pPr>
          </w:p>
          <w:p w14:paraId="66A0A97E"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r w:rsidRPr="00AC1CF9">
              <w:rPr>
                <w:rFonts w:ascii="Arial" w:hAnsi="Arial" w:cs="Arial"/>
                <w:sz w:val="22"/>
                <w:szCs w:val="22"/>
                <w:lang w:val="en-GB"/>
              </w:rPr>
              <w:tab/>
            </w:r>
          </w:p>
          <w:p w14:paraId="675647A7" w14:textId="77777777" w:rsidR="00BC3C67" w:rsidRPr="00AC1CF9" w:rsidRDefault="00BC3C67" w:rsidP="00DC5D12">
            <w:pPr>
              <w:jc w:val="both"/>
              <w:rPr>
                <w:rFonts w:ascii="Arial" w:hAnsi="Arial" w:cs="Arial"/>
                <w:sz w:val="22"/>
                <w:szCs w:val="22"/>
              </w:rPr>
            </w:pPr>
          </w:p>
          <w:p w14:paraId="3C932A94" w14:textId="77777777" w:rsidR="00BC3C67" w:rsidRPr="00AC1CF9" w:rsidRDefault="00BC3C67" w:rsidP="00DC5D12">
            <w:pPr>
              <w:jc w:val="both"/>
              <w:rPr>
                <w:rFonts w:ascii="Arial" w:hAnsi="Arial" w:cs="Arial"/>
                <w:sz w:val="22"/>
                <w:szCs w:val="22"/>
                <w:lang w:val="en-GB"/>
              </w:rPr>
            </w:pPr>
            <w:r w:rsidRPr="00AC1CF9">
              <w:rPr>
                <w:rFonts w:ascii="Arial" w:hAnsi="Arial" w:cs="Arial"/>
                <w:b/>
                <w:bCs/>
                <w:sz w:val="22"/>
                <w:szCs w:val="22"/>
                <w:lang w:val="en-GB"/>
              </w:rPr>
              <w:t>K</w:t>
            </w:r>
            <w:r w:rsidRPr="00AC1CF9">
              <w:rPr>
                <w:rFonts w:ascii="Arial" w:hAnsi="Arial" w:cs="Arial"/>
                <w:sz w:val="22"/>
                <w:szCs w:val="22"/>
                <w:lang w:val="en-GB"/>
              </w:rPr>
              <w:t xml:space="preserve"> - Index change coefficient, which is indicated and applied to the accuracy of 4 (four) decimal </w:t>
            </w:r>
            <w:proofErr w:type="gramStart"/>
            <w:r w:rsidRPr="00AC1CF9">
              <w:rPr>
                <w:rFonts w:ascii="Arial" w:hAnsi="Arial" w:cs="Arial"/>
                <w:sz w:val="22"/>
                <w:szCs w:val="22"/>
                <w:lang w:val="en-GB"/>
              </w:rPr>
              <w:t>places;</w:t>
            </w:r>
            <w:proofErr w:type="gramEnd"/>
          </w:p>
          <w:p w14:paraId="65F22465" w14:textId="77777777" w:rsidR="00BC3C67" w:rsidRPr="00AC1CF9" w:rsidRDefault="00BC3C67" w:rsidP="00DC5D12">
            <w:pPr>
              <w:jc w:val="both"/>
              <w:rPr>
                <w:rFonts w:ascii="Arial" w:hAnsi="Arial" w:cs="Arial"/>
                <w:sz w:val="22"/>
                <w:szCs w:val="22"/>
              </w:rPr>
            </w:pPr>
          </w:p>
          <w:p w14:paraId="74D54781"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IPr</w:t>
            </w:r>
            <w:proofErr w:type="spellEnd"/>
            <w:r w:rsidRPr="00AC1CF9">
              <w:rPr>
                <w:rFonts w:ascii="Arial" w:hAnsi="Arial" w:cs="Arial"/>
                <w:sz w:val="22"/>
                <w:szCs w:val="22"/>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14:paraId="4BC150E6" w14:textId="77777777" w:rsidR="00BC3C67" w:rsidRPr="00AC1CF9" w:rsidRDefault="00BC3C67" w:rsidP="00DC5D12">
            <w:pPr>
              <w:jc w:val="both"/>
              <w:rPr>
                <w:rFonts w:ascii="Arial" w:hAnsi="Arial" w:cs="Arial"/>
                <w:sz w:val="22"/>
                <w:szCs w:val="22"/>
              </w:rPr>
            </w:pPr>
          </w:p>
          <w:p w14:paraId="3525149A"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Ipb</w:t>
            </w:r>
            <w:proofErr w:type="spellEnd"/>
            <w:r w:rsidRPr="00AC1CF9">
              <w:rPr>
                <w:rFonts w:ascii="Arial" w:hAnsi="Arial" w:cs="Arial"/>
                <w:sz w:val="22"/>
                <w:szCs w:val="22"/>
                <w:lang w:val="en-GB"/>
              </w:rPr>
              <w:t xml:space="preserve"> – The value of the index which was published at the end of the period, </w:t>
            </w:r>
            <w:proofErr w:type="spellStart"/>
            <w:r w:rsidRPr="00AC1CF9">
              <w:rPr>
                <w:rFonts w:ascii="Arial" w:hAnsi="Arial" w:cs="Arial"/>
                <w:sz w:val="22"/>
                <w:szCs w:val="22"/>
                <w:lang w:val="en-GB"/>
              </w:rPr>
              <w:t>i</w:t>
            </w:r>
            <w:proofErr w:type="spellEnd"/>
            <w:r w:rsidRPr="00AC1CF9">
              <w:rPr>
                <w:rFonts w:ascii="Arial" w:hAnsi="Arial" w:cs="Arial"/>
                <w:sz w:val="22"/>
                <w:szCs w:val="22"/>
                <w:lang w:val="en-GB"/>
              </w:rPr>
              <w:t>.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AC1CF9" w:rsidRDefault="00BC3C67" w:rsidP="00DC5D12">
            <w:pPr>
              <w:jc w:val="both"/>
              <w:rPr>
                <w:rFonts w:ascii="Arial" w:hAnsi="Arial" w:cs="Arial"/>
                <w:sz w:val="22"/>
                <w:szCs w:val="22"/>
              </w:rPr>
            </w:pPr>
          </w:p>
          <w:p w14:paraId="6A9431C8"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greater than 1.05, then its share of 0.05 shall be subtracted and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shall be calculated: </w:t>
            </w:r>
          </w:p>
          <w:p w14:paraId="65F05CEE" w14:textId="77777777" w:rsidR="00BC3C67" w:rsidRPr="00AC1CF9" w:rsidRDefault="00BC3C67" w:rsidP="00DC5D12">
            <w:pPr>
              <w:jc w:val="both"/>
              <w:rPr>
                <w:rFonts w:ascii="Arial" w:hAnsi="Arial" w:cs="Arial"/>
                <w:sz w:val="22"/>
                <w:szCs w:val="22"/>
              </w:rPr>
            </w:pPr>
          </w:p>
          <w:p w14:paraId="5246BDB1"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 K – 0.05</w:t>
            </w:r>
          </w:p>
          <w:p w14:paraId="759496B9" w14:textId="77777777" w:rsidR="00BC3C67" w:rsidRPr="00AC1CF9" w:rsidRDefault="00BC3C67" w:rsidP="00DC5D12">
            <w:pPr>
              <w:jc w:val="both"/>
              <w:rPr>
                <w:rFonts w:ascii="Arial" w:hAnsi="Arial" w:cs="Arial"/>
                <w:sz w:val="22"/>
                <w:szCs w:val="22"/>
              </w:rPr>
            </w:pPr>
          </w:p>
          <w:p w14:paraId="7EE808B0"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less than 0.95, then its share of 0.05 shall be added and the adjusted Index change coefficient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calculated: </w:t>
            </w:r>
          </w:p>
          <w:p w14:paraId="72300F9D" w14:textId="77777777" w:rsidR="00BC3C67" w:rsidRPr="00AC1CF9" w:rsidRDefault="00BC3C67" w:rsidP="00DC5D12">
            <w:pPr>
              <w:jc w:val="both"/>
              <w:rPr>
                <w:rFonts w:ascii="Arial" w:hAnsi="Arial" w:cs="Arial"/>
                <w:sz w:val="22"/>
                <w:szCs w:val="22"/>
              </w:rPr>
            </w:pPr>
          </w:p>
          <w:p w14:paraId="26A23C87"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K + 0.05</w:t>
            </w:r>
          </w:p>
          <w:p w14:paraId="35CC7826" w14:textId="77777777" w:rsidR="00BC3C67" w:rsidRPr="00AC1CF9" w:rsidRDefault="00BC3C67" w:rsidP="00DC5D12">
            <w:pPr>
              <w:jc w:val="both"/>
              <w:rPr>
                <w:rFonts w:ascii="Arial" w:hAnsi="Arial" w:cs="Arial"/>
                <w:sz w:val="22"/>
                <w:szCs w:val="22"/>
              </w:rPr>
            </w:pPr>
          </w:p>
          <w:p w14:paraId="38F8D2C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p>
          <w:p w14:paraId="6A61713A" w14:textId="77777777" w:rsidR="00BC3C67" w:rsidRPr="00AC1CF9" w:rsidRDefault="00BC3C67" w:rsidP="00DC5D12">
            <w:pPr>
              <w:jc w:val="both"/>
              <w:rPr>
                <w:rFonts w:ascii="Arial" w:hAnsi="Arial" w:cs="Arial"/>
                <w:sz w:val="22"/>
                <w:szCs w:val="22"/>
              </w:rPr>
            </w:pPr>
          </w:p>
          <w:p w14:paraId="063FAC17" w14:textId="37419CC8"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coefficients of change in the adjusted Index. </w:t>
            </w:r>
          </w:p>
        </w:tc>
      </w:tr>
      <w:tr w:rsidR="00EA666F" w:rsidRPr="00AC1CF9" w14:paraId="0A6FE783" w14:textId="77777777" w:rsidTr="00DC5D12">
        <w:tc>
          <w:tcPr>
            <w:tcW w:w="846" w:type="dxa"/>
            <w:tcMar>
              <w:top w:w="28" w:type="dxa"/>
              <w:bottom w:w="28" w:type="dxa"/>
            </w:tcMar>
          </w:tcPr>
          <w:p w14:paraId="057D941E"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5C3EE46D" w:rsidR="00EA666F" w:rsidRPr="00AC1CF9" w:rsidRDefault="00474932" w:rsidP="00DC5D12">
            <w:pPr>
              <w:jc w:val="both"/>
              <w:rPr>
                <w:rFonts w:ascii="Arial" w:hAnsi="Arial" w:cs="Arial"/>
                <w:sz w:val="22"/>
                <w:szCs w:val="22"/>
                <w:lang w:val="lt-LT"/>
              </w:rPr>
            </w:pPr>
            <w:r w:rsidRPr="00AC1CF9">
              <w:rPr>
                <w:rFonts w:ascii="Arial" w:hAnsi="Arial" w:cs="Arial"/>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perskaičiuoti fiksuoti įkainiai, perskaičiuota Sutarties kaina be PVM (pradinė sutarties vertė, jei ji keičiama) bei kita perskaičiavimui reikšminga informacija.</w:t>
            </w:r>
          </w:p>
        </w:tc>
        <w:tc>
          <w:tcPr>
            <w:tcW w:w="6986" w:type="dxa"/>
            <w:tcMar>
              <w:top w:w="28" w:type="dxa"/>
              <w:bottom w:w="28" w:type="dxa"/>
            </w:tcMar>
          </w:tcPr>
          <w:p w14:paraId="71F977A5" w14:textId="5CCF2131" w:rsidR="00EA666F" w:rsidRPr="00AC1CF9" w:rsidRDefault="00A107B1" w:rsidP="00DC5D12">
            <w:pPr>
              <w:jc w:val="both"/>
              <w:rPr>
                <w:rFonts w:ascii="Arial" w:hAnsi="Arial" w:cs="Arial"/>
                <w:sz w:val="22"/>
                <w:szCs w:val="22"/>
              </w:rPr>
            </w:pPr>
            <w:r w:rsidRPr="00AC1CF9">
              <w:rPr>
                <w:rFonts w:ascii="Arial" w:hAnsi="Arial" w:cs="Arial"/>
                <w:color w:val="000000" w:themeColor="text1"/>
                <w:sz w:val="22"/>
                <w:szCs w:val="22"/>
                <w:lang w:val="en-GB"/>
              </w:rPr>
              <w:t xml:space="preserve">The Parties shall enter into a written agreement </w:t>
            </w:r>
            <w:proofErr w:type="gramStart"/>
            <w:r w:rsidRPr="00AC1CF9">
              <w:rPr>
                <w:rFonts w:ascii="Arial" w:hAnsi="Arial" w:cs="Arial"/>
                <w:color w:val="000000" w:themeColor="text1"/>
                <w:sz w:val="22"/>
                <w:szCs w:val="22"/>
                <w:lang w:val="en-GB"/>
              </w:rPr>
              <w:t>in regards to</w:t>
            </w:r>
            <w:proofErr w:type="gramEnd"/>
            <w:r w:rsidRPr="00AC1CF9">
              <w:rPr>
                <w:rFonts w:ascii="Arial" w:hAnsi="Arial" w:cs="Arial"/>
                <w:color w:val="000000" w:themeColor="text1"/>
                <w:sz w:val="22"/>
                <w:szCs w:val="22"/>
                <w:lang w:val="en-GB"/>
              </w:rPr>
              <w:t xml:space="preserve">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AC1CF9">
              <w:rPr>
                <w:rFonts w:ascii="Arial" w:hAnsi="Arial" w:cs="Arial"/>
                <w:color w:val="000000" w:themeColor="text1"/>
                <w:sz w:val="22"/>
                <w:szCs w:val="22"/>
                <w:vertAlign w:val="subscript"/>
                <w:lang w:val="en-GB"/>
              </w:rPr>
              <w:t>D</w:t>
            </w:r>
            <w:r w:rsidRPr="00AC1CF9">
              <w:rPr>
                <w:rFonts w:ascii="Arial" w:hAnsi="Arial" w:cs="Arial"/>
                <w:color w:val="000000" w:themeColor="text1"/>
                <w:sz w:val="22"/>
                <w:szCs w:val="22"/>
                <w:lang w:val="en-GB"/>
              </w:rPr>
              <w:t>, K</w:t>
            </w:r>
            <w:r w:rsidRPr="00AC1CF9">
              <w:rPr>
                <w:rFonts w:ascii="Arial" w:hAnsi="Arial" w:cs="Arial"/>
                <w:color w:val="000000" w:themeColor="text1"/>
                <w:sz w:val="22"/>
                <w:szCs w:val="22"/>
                <w:vertAlign w:val="subscript"/>
                <w:lang w:val="en-GB"/>
              </w:rPr>
              <w:t>M</w:t>
            </w:r>
            <w:r w:rsidRPr="00AC1CF9">
              <w:rPr>
                <w:rFonts w:ascii="Arial" w:hAnsi="Arial" w:cs="Arial"/>
                <w:color w:val="000000" w:themeColor="text1"/>
                <w:sz w:val="22"/>
                <w:szCs w:val="22"/>
                <w:lang w:val="en-GB"/>
              </w:rPr>
              <w:t>), recalculated fixed rates, recalculated Contract price excl. VAT (initial Contract value if changed) and other information relevant for recalculation.</w:t>
            </w:r>
          </w:p>
        </w:tc>
      </w:tr>
      <w:tr w:rsidR="00EA666F" w:rsidRPr="00AC1CF9" w14:paraId="3761DF1C" w14:textId="77777777" w:rsidTr="00DC5D12">
        <w:tc>
          <w:tcPr>
            <w:tcW w:w="846" w:type="dxa"/>
            <w:tcMar>
              <w:top w:w="28" w:type="dxa"/>
              <w:bottom w:w="28" w:type="dxa"/>
            </w:tcMar>
          </w:tcPr>
          <w:p w14:paraId="46D9EF6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6F1BFB23" w:rsidR="00EA666F" w:rsidRPr="00AC1CF9" w:rsidRDefault="00CA0DE2" w:rsidP="00DC5D12">
            <w:pPr>
              <w:rPr>
                <w:rFonts w:ascii="Arial" w:hAnsi="Arial" w:cs="Arial"/>
                <w:sz w:val="22"/>
                <w:szCs w:val="22"/>
                <w:lang w:val="lt-LT"/>
              </w:rPr>
            </w:pPr>
            <w:r w:rsidRPr="00AC1CF9">
              <w:rPr>
                <w:rFonts w:ascii="Arial" w:hAnsi="Arial" w:cs="Arial"/>
                <w:sz w:val="22"/>
                <w:szCs w:val="22"/>
                <w:lang w:val="lt-LT"/>
              </w:rPr>
              <w:t xml:space="preserve">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Pr="00AC1CF9">
              <w:rPr>
                <w:rFonts w:ascii="Arial" w:hAnsi="Arial" w:cs="Arial"/>
                <w:color w:val="000000" w:themeColor="text1"/>
                <w:sz w:val="22"/>
                <w:szCs w:val="22"/>
                <w:lang w:val="lt-LT"/>
              </w:rPr>
              <w:t>Valstybės duomenų agentūros  Oficialiosios statistikos portale</w:t>
            </w:r>
            <w:r w:rsidRPr="00AC1CF9">
              <w:rPr>
                <w:rFonts w:ascii="Arial" w:hAnsi="Arial" w:cs="Arial"/>
                <w:sz w:val="22"/>
                <w:szCs w:val="22"/>
                <w:lang w:val="lt-LT"/>
              </w:rPr>
              <w:t>, kita svarbi informacija (ir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17BA2A02" w:rsidR="00EA666F" w:rsidRPr="00AC1CF9" w:rsidRDefault="00A666F4" w:rsidP="00A666F4">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services not transferred and unpaid with quantities, Index values with links to public sources in the official statistics portal of the Statistics Lithuania State Data Agency, other important information (and information requested by the customer, documentation). In the request, the Party shall not have the right to indicate another Index or to request recalculation according to another Index than that specified in this procedure.</w:t>
            </w:r>
          </w:p>
        </w:tc>
      </w:tr>
      <w:tr w:rsidR="00EA666F" w:rsidRPr="00AC1CF9" w14:paraId="3EA218B8" w14:textId="77777777" w:rsidTr="00DC5D12">
        <w:tc>
          <w:tcPr>
            <w:tcW w:w="846" w:type="dxa"/>
            <w:tcMar>
              <w:top w:w="28" w:type="dxa"/>
              <w:bottom w:w="28" w:type="dxa"/>
            </w:tcMar>
          </w:tcPr>
          <w:p w14:paraId="0205B558"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00AB29B" w14:textId="7DCB32A4" w:rsidR="00EA666F" w:rsidRPr="00AC1CF9" w:rsidRDefault="00DB695C" w:rsidP="00DC5D12">
            <w:pPr>
              <w:jc w:val="both"/>
              <w:rPr>
                <w:rFonts w:ascii="Arial" w:hAnsi="Arial" w:cs="Arial"/>
                <w:sz w:val="22"/>
                <w:szCs w:val="22"/>
                <w:lang w:val="lt-LT"/>
              </w:rPr>
            </w:pPr>
            <w:r w:rsidRPr="00AC1CF9">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6986" w:type="dxa"/>
            <w:tcMar>
              <w:top w:w="28" w:type="dxa"/>
              <w:bottom w:w="28" w:type="dxa"/>
            </w:tcMar>
          </w:tcPr>
          <w:p w14:paraId="2572C2A6" w14:textId="62D8AD13" w:rsidR="00EA666F" w:rsidRPr="00AC1CF9" w:rsidRDefault="001270D9" w:rsidP="00DC5D12">
            <w:pPr>
              <w:jc w:val="both"/>
              <w:rPr>
                <w:rFonts w:ascii="Arial" w:hAnsi="Arial" w:cs="Arial"/>
                <w:sz w:val="22"/>
                <w:szCs w:val="22"/>
              </w:rPr>
            </w:pPr>
            <w:r w:rsidRPr="00AC1CF9">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AC1CF9" w14:paraId="3017F5B3" w14:textId="77777777" w:rsidTr="00DC5D12">
        <w:tc>
          <w:tcPr>
            <w:tcW w:w="846" w:type="dxa"/>
            <w:tcMar>
              <w:top w:w="28" w:type="dxa"/>
              <w:bottom w:w="28" w:type="dxa"/>
            </w:tcMar>
          </w:tcPr>
          <w:p w14:paraId="271C42A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43453565" w:rsidR="00EA666F" w:rsidRPr="00AC1CF9" w:rsidRDefault="00F06926" w:rsidP="00DC5D12">
            <w:pPr>
              <w:jc w:val="both"/>
              <w:rPr>
                <w:rFonts w:ascii="Arial" w:hAnsi="Arial" w:cs="Arial"/>
                <w:sz w:val="22"/>
                <w:szCs w:val="22"/>
                <w:lang w:val="lt-LT"/>
              </w:rPr>
            </w:pPr>
            <w:r w:rsidRPr="00AC1CF9">
              <w:rPr>
                <w:rFonts w:ascii="Arial" w:hAnsi="Arial" w:cs="Arial"/>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11FB9282" w:rsidR="00EA666F" w:rsidRPr="00AC1CF9" w:rsidRDefault="000B0C6C" w:rsidP="00DC5D12">
            <w:pPr>
              <w:jc w:val="both"/>
              <w:rPr>
                <w:rFonts w:ascii="Arial" w:hAnsi="Arial" w:cs="Arial"/>
                <w:sz w:val="22"/>
                <w:szCs w:val="22"/>
              </w:rPr>
            </w:pPr>
            <w:r w:rsidRPr="00AC1CF9">
              <w:rPr>
                <w:rFonts w:ascii="Arial" w:hAnsi="Arial" w:cs="Arial"/>
                <w:color w:val="000000" w:themeColor="text1"/>
                <w:sz w:val="22"/>
                <w:szCs w:val="22"/>
                <w:lang w:val="en-GB"/>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AC1CF9" w:rsidRDefault="00FD579B">
      <w:pPr>
        <w:rPr>
          <w:rFonts w:ascii="Arial" w:hAnsi="Arial" w:cs="Arial"/>
          <w:sz w:val="22"/>
          <w:szCs w:val="22"/>
        </w:rPr>
      </w:pPr>
    </w:p>
    <w:p w14:paraId="01207025" w14:textId="77777777" w:rsidR="00BC3C67" w:rsidRPr="00AC1CF9" w:rsidRDefault="00BC3C67" w:rsidP="00BC3C67">
      <w:pPr>
        <w:jc w:val="center"/>
        <w:rPr>
          <w:rFonts w:ascii="Arial" w:hAnsi="Arial" w:cs="Arial"/>
          <w:sz w:val="22"/>
          <w:szCs w:val="22"/>
        </w:rPr>
      </w:pPr>
      <w:r w:rsidRPr="00AC1CF9">
        <w:rPr>
          <w:rFonts w:ascii="Arial" w:hAnsi="Arial" w:cs="Arial"/>
          <w:sz w:val="22"/>
          <w:szCs w:val="22"/>
          <w:lang w:val="en-GB"/>
        </w:rPr>
        <w:t>_______________________</w:t>
      </w:r>
    </w:p>
    <w:p w14:paraId="354A5EB7" w14:textId="77777777" w:rsidR="00BC3C67" w:rsidRPr="00AC1CF9" w:rsidRDefault="00BC3C67">
      <w:pPr>
        <w:rPr>
          <w:rFonts w:ascii="Arial" w:hAnsi="Arial" w:cs="Arial"/>
          <w:sz w:val="22"/>
          <w:szCs w:val="22"/>
        </w:rPr>
      </w:pPr>
    </w:p>
    <w:sectPr w:rsidR="00BC3C67" w:rsidRPr="00AC1CF9"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D3E03" w14:textId="77777777" w:rsidR="002B3874" w:rsidRDefault="002B3874" w:rsidP="00EA666F">
      <w:pPr>
        <w:spacing w:after="0" w:line="240" w:lineRule="auto"/>
      </w:pPr>
      <w:r>
        <w:separator/>
      </w:r>
    </w:p>
  </w:endnote>
  <w:endnote w:type="continuationSeparator" w:id="0">
    <w:p w14:paraId="6863DFF0" w14:textId="77777777" w:rsidR="002B3874" w:rsidRDefault="002B3874"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96BC3" w14:textId="77777777" w:rsidR="002B3874" w:rsidRDefault="002B3874" w:rsidP="00EA666F">
      <w:pPr>
        <w:spacing w:after="0" w:line="240" w:lineRule="auto"/>
      </w:pPr>
      <w:r>
        <w:separator/>
      </w:r>
    </w:p>
  </w:footnote>
  <w:footnote w:type="continuationSeparator" w:id="0">
    <w:p w14:paraId="5808A2AD" w14:textId="77777777" w:rsidR="002B3874" w:rsidRDefault="002B3874" w:rsidP="00EA666F">
      <w:pPr>
        <w:spacing w:after="0" w:line="240" w:lineRule="auto"/>
      </w:pPr>
      <w:r>
        <w:continuationSeparator/>
      </w:r>
    </w:p>
  </w:footnote>
  <w:footnote w:id="1">
    <w:p w14:paraId="4AEE17B8" w14:textId="77777777" w:rsidR="00AC1CF9" w:rsidRPr="00EB1547" w:rsidRDefault="00AC1CF9" w:rsidP="00AC1CF9">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Pr="0083731C">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2">
    <w:p w14:paraId="68A11213" w14:textId="77777777" w:rsidR="002D77E7" w:rsidRPr="00400235" w:rsidRDefault="002D77E7" w:rsidP="002D77E7">
      <w:pPr>
        <w:pStyle w:val="FootnoteText"/>
        <w:jc w:val="both"/>
        <w:rPr>
          <w:rFonts w:ascii="Arial" w:hAnsi="Arial" w:cs="Arial"/>
          <w:color w:val="000000" w:themeColor="text1"/>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id="0" w:name="_Hlk160476154"/>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example</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beginning</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110.10,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end</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116.10. </w:t>
      </w:r>
      <w:proofErr w:type="spellStart"/>
      <w:r w:rsidRPr="00CF4E6D">
        <w:rPr>
          <w:rFonts w:ascii="Arial" w:hAnsi="Arial" w:cs="Arial"/>
          <w:sz w:val="18"/>
          <w:szCs w:val="18"/>
        </w:rPr>
        <w:t>In</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case</w:t>
      </w:r>
      <w:proofErr w:type="spellEnd"/>
      <w:r w:rsidRPr="00CF4E6D">
        <w:rPr>
          <w:rFonts w:ascii="Arial" w:hAnsi="Arial" w:cs="Arial"/>
          <w:sz w:val="18"/>
          <w:szCs w:val="18"/>
        </w:rPr>
        <w:t xml:space="preserve">,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applying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formulas</w:t>
      </w:r>
      <w:proofErr w:type="spellEnd"/>
      <w:r w:rsidRPr="00CF4E6D">
        <w:rPr>
          <w:rFonts w:ascii="Arial" w:hAnsi="Arial" w:cs="Arial"/>
          <w:sz w:val="18"/>
          <w:szCs w:val="18"/>
        </w:rPr>
        <w:t xml:space="preserve"> K </w:t>
      </w:r>
      <w:proofErr w:type="spellStart"/>
      <w:r w:rsidRPr="00CF4E6D">
        <w:rPr>
          <w:rFonts w:ascii="Arial" w:hAnsi="Arial" w:cs="Arial"/>
          <w:sz w:val="18"/>
          <w:szCs w:val="18"/>
        </w:rPr>
        <w:t>and</w:t>
      </w:r>
      <w:proofErr w:type="spellEnd"/>
      <w:r w:rsidRPr="00CF4E6D">
        <w:rPr>
          <w:rFonts w:ascii="Arial" w:hAnsi="Arial" w:cs="Arial"/>
          <w:sz w:val="18"/>
          <w:szCs w:val="18"/>
        </w:rPr>
        <w:t xml:space="preserve"> KD, </w:t>
      </w:r>
      <w:proofErr w:type="spellStart"/>
      <w:r w:rsidRPr="00CF4E6D">
        <w:rPr>
          <w:rFonts w:ascii="Arial" w:hAnsi="Arial" w:cs="Arial"/>
          <w:sz w:val="18"/>
          <w:szCs w:val="18"/>
        </w:rPr>
        <w:t>we</w:t>
      </w:r>
      <w:proofErr w:type="spellEnd"/>
      <w:r w:rsidRPr="00CF4E6D">
        <w:rPr>
          <w:rFonts w:ascii="Arial" w:hAnsi="Arial" w:cs="Arial"/>
          <w:sz w:val="18"/>
          <w:szCs w:val="18"/>
        </w:rPr>
        <w:t xml:space="preserve"> </w:t>
      </w:r>
      <w:proofErr w:type="spellStart"/>
      <w:r w:rsidRPr="00CF4E6D">
        <w:rPr>
          <w:rFonts w:ascii="Arial" w:hAnsi="Arial" w:cs="Arial"/>
          <w:sz w:val="18"/>
          <w:szCs w:val="18"/>
        </w:rPr>
        <w:t>calculate</w:t>
      </w:r>
      <w:proofErr w:type="spellEnd"/>
      <w:r w:rsidRPr="00CF4E6D">
        <w:rPr>
          <w:rFonts w:ascii="Arial" w:hAnsi="Arial" w:cs="Arial"/>
          <w:sz w:val="18"/>
          <w:szCs w:val="18"/>
        </w:rPr>
        <w:t xml:space="preserve"> </w:t>
      </w:r>
      <w:proofErr w:type="spellStart"/>
      <w:r w:rsidRPr="00CF4E6D">
        <w:rPr>
          <w:rFonts w:ascii="Arial" w:hAnsi="Arial" w:cs="Arial"/>
          <w:sz w:val="18"/>
          <w:szCs w:val="18"/>
        </w:rPr>
        <w:t>that</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w:t>
      </w:r>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first</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1.0545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evaluating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0.05 </w:t>
      </w:r>
      <w:proofErr w:type="spellStart"/>
      <w:r w:rsidRPr="00CF4E6D">
        <w:rPr>
          <w:rFonts w:ascii="Arial" w:hAnsi="Arial" w:cs="Arial"/>
          <w:sz w:val="18"/>
          <w:szCs w:val="18"/>
        </w:rPr>
        <w:t>part</w:t>
      </w:r>
      <w:proofErr w:type="spellEnd"/>
      <w:r w:rsidRPr="00CF4E6D">
        <w:rPr>
          <w:rFonts w:ascii="Arial" w:hAnsi="Arial" w:cs="Arial"/>
          <w:sz w:val="18"/>
          <w:szCs w:val="18"/>
        </w:rPr>
        <w:t xml:space="preserve">) </w:t>
      </w:r>
      <w:proofErr w:type="spellStart"/>
      <w:r w:rsidRPr="00CF4E6D">
        <w:rPr>
          <w:rFonts w:ascii="Arial" w:hAnsi="Arial" w:cs="Arial"/>
          <w:sz w:val="18"/>
          <w:szCs w:val="18"/>
        </w:rPr>
        <w:t>and</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(KD) </w:t>
      </w:r>
      <w:proofErr w:type="spellStart"/>
      <w:r w:rsidRPr="00CF4E6D">
        <w:rPr>
          <w:rFonts w:ascii="Arial" w:hAnsi="Arial" w:cs="Arial"/>
          <w:sz w:val="18"/>
          <w:szCs w:val="18"/>
        </w:rPr>
        <w:t>is</w:t>
      </w:r>
      <w:proofErr w:type="spellEnd"/>
      <w:r w:rsidRPr="00CF4E6D">
        <w:rPr>
          <w:rFonts w:ascii="Arial" w:hAnsi="Arial" w:cs="Arial"/>
          <w:sz w:val="18"/>
          <w:szCs w:val="18"/>
        </w:rPr>
        <w:t xml:space="preserve"> </w:t>
      </w:r>
      <w:proofErr w:type="spellStart"/>
      <w:r w:rsidRPr="00CF4E6D">
        <w:rPr>
          <w:rFonts w:ascii="Arial" w:hAnsi="Arial" w:cs="Arial"/>
          <w:sz w:val="18"/>
          <w:szCs w:val="18"/>
        </w:rPr>
        <w:t>applied</w:t>
      </w:r>
      <w:proofErr w:type="spellEnd"/>
      <w:r w:rsidRPr="00CF4E6D">
        <w:rPr>
          <w:rFonts w:ascii="Arial" w:hAnsi="Arial" w:cs="Arial"/>
          <w:sz w:val="18"/>
          <w:szCs w:val="18"/>
        </w:rPr>
        <w:t xml:space="preserve"> to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Contract</w:t>
      </w:r>
      <w:proofErr w:type="spellEnd"/>
      <w:r w:rsidRPr="00CF4E6D">
        <w:rPr>
          <w:rFonts w:ascii="Arial" w:hAnsi="Arial" w:cs="Arial"/>
          <w:sz w:val="18"/>
          <w:szCs w:val="18"/>
        </w:rPr>
        <w:t xml:space="preserve"> </w:t>
      </w:r>
      <w:proofErr w:type="spellStart"/>
      <w:r w:rsidRPr="00CF4E6D">
        <w:rPr>
          <w:rFonts w:ascii="Arial" w:hAnsi="Arial" w:cs="Arial"/>
          <w:sz w:val="18"/>
          <w:szCs w:val="18"/>
        </w:rPr>
        <w:t>rates</w:t>
      </w:r>
      <w:proofErr w:type="spellEnd"/>
      <w:r w:rsidRPr="00CF4E6D">
        <w:rPr>
          <w:rFonts w:ascii="Arial" w:hAnsi="Arial" w:cs="Arial"/>
          <w:sz w:val="18"/>
          <w:szCs w:val="18"/>
        </w:rPr>
        <w:t xml:space="preserve"> </w:t>
      </w:r>
      <w:proofErr w:type="spellStart"/>
      <w:r w:rsidRPr="00CF4E6D">
        <w:rPr>
          <w:rFonts w:ascii="Arial" w:hAnsi="Arial" w:cs="Arial"/>
          <w:sz w:val="18"/>
          <w:szCs w:val="18"/>
        </w:rPr>
        <w:t>until</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if</w:t>
      </w:r>
      <w:proofErr w:type="spellEnd"/>
      <w:r w:rsidRPr="00CF4E6D">
        <w:rPr>
          <w:rFonts w:ascii="Arial" w:hAnsi="Arial" w:cs="Arial"/>
          <w:sz w:val="18"/>
          <w:szCs w:val="18"/>
        </w:rPr>
        <w:t xml:space="preserve"> </w:t>
      </w:r>
      <w:proofErr w:type="spellStart"/>
      <w:r w:rsidRPr="00CF4E6D">
        <w:rPr>
          <w:rFonts w:ascii="Arial" w:hAnsi="Arial" w:cs="Arial"/>
          <w:sz w:val="18"/>
          <w:szCs w:val="18"/>
        </w:rPr>
        <w:t>any</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second</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value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next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second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interval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inclusive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between</w:t>
      </w:r>
      <w:proofErr w:type="spellEnd"/>
      <w:r w:rsidRPr="00400235">
        <w:rPr>
          <w:rFonts w:ascii="Arial" w:hAnsi="Arial" w:cs="Arial"/>
          <w:color w:val="000000" w:themeColor="text1"/>
          <w:sz w:val="18"/>
          <w:szCs w:val="18"/>
        </w:rPr>
        <w:t xml:space="preserve"> 0.95 – 1.05, </w:t>
      </w:r>
      <w:proofErr w:type="spellStart"/>
      <w:r w:rsidRPr="00400235">
        <w:rPr>
          <w:rFonts w:ascii="Arial" w:hAnsi="Arial" w:cs="Arial"/>
          <w:color w:val="000000" w:themeColor="text1"/>
          <w:sz w:val="18"/>
          <w:szCs w:val="18"/>
        </w:rPr>
        <w:t>then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are </w:t>
      </w:r>
      <w:proofErr w:type="spellStart"/>
      <w:r w:rsidRPr="00400235">
        <w:rPr>
          <w:rFonts w:ascii="Arial" w:hAnsi="Arial" w:cs="Arial"/>
          <w:color w:val="000000" w:themeColor="text1"/>
          <w:sz w:val="18"/>
          <w:szCs w:val="18"/>
        </w:rPr>
        <w:t>recalculated</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Supplier</w:t>
      </w:r>
      <w:proofErr w:type="spellEnd"/>
      <w:r w:rsidRPr="00400235">
        <w:rPr>
          <w:rFonts w:ascii="Arial" w:hAnsi="Arial" w:cs="Arial"/>
          <w:color w:val="000000" w:themeColor="text1"/>
          <w:sz w:val="18"/>
          <w:szCs w:val="18"/>
        </w:rPr>
        <w:t>/</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 (</w:t>
      </w:r>
      <w:proofErr w:type="spellStart"/>
      <w:r w:rsidRPr="00400235">
        <w:rPr>
          <w:rFonts w:ascii="Arial" w:hAnsi="Arial" w:cs="Arial"/>
          <w:color w:val="000000" w:themeColor="text1"/>
          <w:sz w:val="18"/>
          <w:szCs w:val="18"/>
        </w:rPr>
        <w:t>i.e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will</w:t>
      </w:r>
      <w:proofErr w:type="spellEnd"/>
      <w:r w:rsidRPr="00400235">
        <w:rPr>
          <w:rFonts w:ascii="Arial" w:hAnsi="Arial" w:cs="Arial"/>
          <w:color w:val="000000" w:themeColor="text1"/>
          <w:sz w:val="18"/>
          <w:szCs w:val="18"/>
        </w:rPr>
        <w:t xml:space="preserve"> be </w:t>
      </w:r>
      <w:proofErr w:type="spellStart"/>
      <w:r w:rsidRPr="00400235">
        <w:rPr>
          <w:rFonts w:ascii="Arial" w:hAnsi="Arial" w:cs="Arial"/>
          <w:color w:val="000000" w:themeColor="text1"/>
          <w:sz w:val="18"/>
          <w:szCs w:val="18"/>
        </w:rPr>
        <w:t>equal</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w:t>
      </w:r>
    </w:p>
    <w:bookmarkEnd w:id="0"/>
    <w:p w14:paraId="063F51E0" w14:textId="77777777" w:rsidR="002D77E7" w:rsidRDefault="002D77E7" w:rsidP="002D77E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0244A"/>
    <w:rsid w:val="000375E0"/>
    <w:rsid w:val="00085DFC"/>
    <w:rsid w:val="000965B8"/>
    <w:rsid w:val="000B0C6C"/>
    <w:rsid w:val="001270D9"/>
    <w:rsid w:val="00274711"/>
    <w:rsid w:val="002B3874"/>
    <w:rsid w:val="002D77E7"/>
    <w:rsid w:val="00351CB1"/>
    <w:rsid w:val="003A3DDF"/>
    <w:rsid w:val="00474932"/>
    <w:rsid w:val="00514CC2"/>
    <w:rsid w:val="005620CC"/>
    <w:rsid w:val="006978FF"/>
    <w:rsid w:val="00751B76"/>
    <w:rsid w:val="007F3CD2"/>
    <w:rsid w:val="008411CA"/>
    <w:rsid w:val="00914BBA"/>
    <w:rsid w:val="00925040"/>
    <w:rsid w:val="009257B4"/>
    <w:rsid w:val="009B1272"/>
    <w:rsid w:val="009B3CDE"/>
    <w:rsid w:val="00A107B1"/>
    <w:rsid w:val="00A666F4"/>
    <w:rsid w:val="00AC1CF9"/>
    <w:rsid w:val="00B06C38"/>
    <w:rsid w:val="00B77E42"/>
    <w:rsid w:val="00BC3C67"/>
    <w:rsid w:val="00C01B18"/>
    <w:rsid w:val="00C718FB"/>
    <w:rsid w:val="00C7485C"/>
    <w:rsid w:val="00CA0DE2"/>
    <w:rsid w:val="00CA7ADC"/>
    <w:rsid w:val="00CF6394"/>
    <w:rsid w:val="00DB695C"/>
    <w:rsid w:val="00DC5D12"/>
    <w:rsid w:val="00E20EB3"/>
    <w:rsid w:val="00E36473"/>
    <w:rsid w:val="00EA666F"/>
    <w:rsid w:val="00F06926"/>
    <w:rsid w:val="00F743C1"/>
    <w:rsid w:val="00FA66FD"/>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251A1-7A15-45A3-8602-721A1CFD0F9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3.xml><?xml version="1.0" encoding="utf-8"?>
<ds:datastoreItem xmlns:ds="http://schemas.openxmlformats.org/officeDocument/2006/customXml" ds:itemID="{BFA6DF8A-03C1-422C-BE51-28643DFA0314}"/>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8443</Words>
  <Characters>4814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30</cp:revision>
  <dcterms:created xsi:type="dcterms:W3CDTF">2025-11-15T12:46:00Z</dcterms:created>
  <dcterms:modified xsi:type="dcterms:W3CDTF">2026-04-26T19:45:00Z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0x0101009466C74FB19BC844BE4BFBEB5AACEC7E</vt:lpwstr>
  </property>
</Properties>
</file>