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21A24" w14:textId="2FF7D9D8" w:rsidR="00696574" w:rsidRPr="000B5C82" w:rsidRDefault="4B8B1C86" w:rsidP="00696574">
      <w:pPr>
        <w:spacing w:after="0" w:line="240" w:lineRule="auto"/>
        <w:jc w:val="right"/>
        <w:rPr>
          <w:rFonts w:ascii="Times New Roman" w:eastAsia="Calibri" w:hAnsi="Times New Roman" w:cs="Times New Roman"/>
          <w:sz w:val="24"/>
          <w:szCs w:val="24"/>
        </w:rPr>
      </w:pPr>
      <w:r w:rsidRPr="000B5C82">
        <w:rPr>
          <w:rFonts w:ascii="Times New Roman" w:eastAsia="Calibri" w:hAnsi="Times New Roman" w:cs="Times New Roman"/>
          <w:sz w:val="24"/>
          <w:szCs w:val="24"/>
        </w:rPr>
        <w:t>2 priedas „Techninė specifikacija“</w:t>
      </w:r>
    </w:p>
    <w:p w14:paraId="0301C7ED" w14:textId="77777777" w:rsidR="00696574" w:rsidRPr="000B5C82" w:rsidRDefault="00696574" w:rsidP="00696574">
      <w:pPr>
        <w:spacing w:before="100" w:beforeAutospacing="1" w:after="100" w:afterAutospacing="1" w:line="240" w:lineRule="auto"/>
        <w:jc w:val="center"/>
        <w:rPr>
          <w:rFonts w:ascii="Times New Roman" w:hAnsi="Times New Roman" w:cs="Times New Roman"/>
          <w:b/>
          <w:bCs/>
          <w:sz w:val="24"/>
          <w:szCs w:val="24"/>
        </w:rPr>
      </w:pPr>
      <w:r w:rsidRPr="000B5C82">
        <w:rPr>
          <w:rFonts w:ascii="Times New Roman" w:hAnsi="Times New Roman" w:cs="Times New Roman"/>
          <w:b/>
          <w:bCs/>
          <w:sz w:val="24"/>
          <w:szCs w:val="24"/>
        </w:rPr>
        <w:t>TECHNINĖ SPECIFIKACIJA</w:t>
      </w:r>
    </w:p>
    <w:p w14:paraId="413D43B9" w14:textId="5393CE35" w:rsidR="009233D3" w:rsidRPr="000B5C82" w:rsidRDefault="009233D3" w:rsidP="5248798D">
      <w:pPr>
        <w:spacing w:beforeAutospacing="1" w:afterAutospacing="1" w:line="240" w:lineRule="auto"/>
        <w:jc w:val="both"/>
        <w:rPr>
          <w:rFonts w:ascii="Times New Roman" w:hAnsi="Times New Roman" w:cs="Times New Roman"/>
          <w:sz w:val="24"/>
          <w:szCs w:val="24"/>
        </w:rPr>
      </w:pPr>
      <w:r w:rsidRPr="454E6146">
        <w:rPr>
          <w:rFonts w:ascii="Times New Roman" w:hAnsi="Times New Roman" w:cs="Times New Roman"/>
          <w:sz w:val="24"/>
          <w:szCs w:val="24"/>
        </w:rPr>
        <w:t>Biudžetinės įstaigos Lietuvos geologijos tarnybos prie Aplinkos ministerijos (toliau – LGT) laboratorija yra akredituota standarto LST EN ISO/IEC 17025:2018 atitikčiai atlikti gruntų fizikinius ir mechaninius bandymus. LGT šiuo pirkimu siekia įsigyti modernesnę laboratorinę įrangą, kad galėtų plėsti akreditavimo sritį užtikrinant atliekamų bandymų kokybę, todėl įsigij</w:t>
      </w:r>
      <w:r w:rsidR="19B5E6AD" w:rsidRPr="454E6146">
        <w:rPr>
          <w:rFonts w:ascii="Times New Roman" w:hAnsi="Times New Roman" w:cs="Times New Roman"/>
          <w:sz w:val="24"/>
          <w:szCs w:val="24"/>
        </w:rPr>
        <w:t>a</w:t>
      </w:r>
      <w:r w:rsidRPr="454E6146">
        <w:rPr>
          <w:rFonts w:ascii="Times New Roman" w:hAnsi="Times New Roman" w:cs="Times New Roman"/>
          <w:sz w:val="24"/>
          <w:szCs w:val="24"/>
        </w:rPr>
        <w:t xml:space="preserve"> naują laboratorinę įrangą cheminei vandens analizei bei vandens mėginių paėmimui.</w:t>
      </w:r>
    </w:p>
    <w:p w14:paraId="665BE626" w14:textId="77777777" w:rsidR="009233D3" w:rsidRDefault="009233D3" w:rsidP="009233D3">
      <w:pPr>
        <w:spacing w:beforeAutospacing="1" w:afterAutospacing="1" w:line="240" w:lineRule="auto"/>
        <w:jc w:val="both"/>
        <w:rPr>
          <w:rFonts w:ascii="Times New Roman" w:hAnsi="Times New Roman" w:cs="Times New Roman"/>
          <w:sz w:val="24"/>
          <w:szCs w:val="24"/>
        </w:rPr>
      </w:pPr>
      <w:r w:rsidRPr="000B5C82">
        <w:rPr>
          <w:rFonts w:ascii="Times New Roman" w:hAnsi="Times New Roman" w:cs="Times New Roman"/>
          <w:sz w:val="24"/>
          <w:szCs w:val="24"/>
        </w:rPr>
        <w:t>Induktyviai sužadintos plazmos optinės emisijos spektrometras (ICP-OES) su programine įranga – svarbu, kad aparatas nustatytų arseną.</w:t>
      </w:r>
    </w:p>
    <w:p w14:paraId="6B516D21" w14:textId="2ED74A54" w:rsidR="006913FF" w:rsidRPr="000B5C82" w:rsidRDefault="006913FF" w:rsidP="009233D3">
      <w:pPr>
        <w:spacing w:beforeAutospacing="1" w:afterAutospacing="1" w:line="240" w:lineRule="auto"/>
        <w:jc w:val="both"/>
        <w:rPr>
          <w:rFonts w:ascii="Times New Roman" w:hAnsi="Times New Roman" w:cs="Times New Roman"/>
          <w:sz w:val="24"/>
          <w:szCs w:val="24"/>
        </w:rPr>
      </w:pPr>
      <w:r w:rsidRPr="006913FF">
        <w:rPr>
          <w:rFonts w:ascii="Times New Roman" w:hAnsi="Times New Roman" w:cs="Times New Roman"/>
          <w:sz w:val="24"/>
          <w:szCs w:val="24"/>
        </w:rPr>
        <w:t>Tiekėjas lygiavertiškumą turi įrodyti gamintojo techniniais aprašymais, katalogais, deklaracijomis, bandymų protokolais ar kitais tai įrodančiais dokumentais</w:t>
      </w:r>
      <w:r>
        <w:rPr>
          <w:rFonts w:ascii="Times New Roman" w:hAnsi="Times New Roman" w:cs="Times New Roman"/>
          <w:sz w:val="24"/>
          <w:szCs w:val="24"/>
        </w:rPr>
        <w:t>.</w:t>
      </w:r>
    </w:p>
    <w:p w14:paraId="6E993DC2" w14:textId="77777777" w:rsidR="009233D3" w:rsidRPr="000B5C82" w:rsidRDefault="009233D3" w:rsidP="009233D3">
      <w:pPr>
        <w:spacing w:beforeAutospacing="1" w:afterAutospacing="1" w:line="240" w:lineRule="auto"/>
        <w:jc w:val="both"/>
        <w:rPr>
          <w:rFonts w:ascii="Times New Roman" w:hAnsi="Times New Roman" w:cs="Times New Roman"/>
          <w:b/>
          <w:bCs/>
          <w:sz w:val="24"/>
          <w:szCs w:val="24"/>
        </w:rPr>
      </w:pPr>
      <w:r w:rsidRPr="000B5C82">
        <w:rPr>
          <w:rFonts w:ascii="Times New Roman" w:hAnsi="Times New Roman" w:cs="Times New Roman"/>
          <w:b/>
          <w:bCs/>
          <w:sz w:val="24"/>
          <w:szCs w:val="24"/>
        </w:rPr>
        <w:t>Induktyviai sužadintos plazmos optinės emisijos spektrometras (ICP-OES) su programine įranga – arseno nustatymui vandenyje:</w:t>
      </w:r>
    </w:p>
    <w:tbl>
      <w:tblPr>
        <w:tblW w:w="5000" w:type="pct"/>
        <w:tblCellMar>
          <w:left w:w="103" w:type="dxa"/>
        </w:tblCellMar>
        <w:tblLook w:val="04A0" w:firstRow="1" w:lastRow="0" w:firstColumn="1" w:lastColumn="0" w:noHBand="0" w:noVBand="1"/>
      </w:tblPr>
      <w:tblGrid>
        <w:gridCol w:w="579"/>
        <w:gridCol w:w="1899"/>
        <w:gridCol w:w="7150"/>
      </w:tblGrid>
      <w:tr w:rsidR="009233D3" w:rsidRPr="000B5C82" w14:paraId="7E992142" w14:textId="77777777" w:rsidTr="1A712BF5">
        <w:trPr>
          <w:trHeight w:val="1086"/>
        </w:trPr>
        <w:tc>
          <w:tcPr>
            <w:tcW w:w="579" w:type="dxa"/>
            <w:tcBorders>
              <w:top w:val="single" w:sz="4" w:space="0" w:color="00000A"/>
              <w:left w:val="single" w:sz="4" w:space="0" w:color="00000A"/>
              <w:bottom w:val="single" w:sz="4" w:space="0" w:color="00000A"/>
              <w:right w:val="single" w:sz="4" w:space="0" w:color="00000A"/>
            </w:tcBorders>
            <w:vAlign w:val="center"/>
          </w:tcPr>
          <w:p w14:paraId="07E32248" w14:textId="77777777" w:rsidR="009233D3" w:rsidRPr="000B5C82" w:rsidRDefault="009233D3">
            <w:pPr>
              <w:widowControl w:val="0"/>
              <w:rPr>
                <w:rFonts w:ascii="Times New Roman" w:eastAsia="Times New Roman" w:hAnsi="Times New Roman" w:cs="Times New Roman"/>
                <w:b/>
                <w:bCs/>
              </w:rPr>
            </w:pPr>
            <w:r w:rsidRPr="000B5C82">
              <w:rPr>
                <w:rFonts w:ascii="Times New Roman" w:eastAsia="Times New Roman" w:hAnsi="Times New Roman" w:cs="Times New Roman"/>
                <w:b/>
                <w:bCs/>
              </w:rPr>
              <w:t>Eil. Nr.</w:t>
            </w:r>
          </w:p>
        </w:tc>
        <w:tc>
          <w:tcPr>
            <w:tcW w:w="1899" w:type="dxa"/>
            <w:tcBorders>
              <w:top w:val="single" w:sz="4" w:space="0" w:color="00000A"/>
              <w:left w:val="single" w:sz="4" w:space="0" w:color="00000A"/>
              <w:bottom w:val="single" w:sz="4" w:space="0" w:color="00000A"/>
              <w:right w:val="single" w:sz="4" w:space="0" w:color="000001"/>
            </w:tcBorders>
            <w:vAlign w:val="center"/>
          </w:tcPr>
          <w:p w14:paraId="2FA6DFBA" w14:textId="77777777" w:rsidR="009233D3" w:rsidRPr="000B5C82" w:rsidRDefault="009233D3">
            <w:pPr>
              <w:widowControl w:val="0"/>
              <w:jc w:val="center"/>
              <w:rPr>
                <w:rFonts w:ascii="Times New Roman" w:eastAsia="Times New Roman" w:hAnsi="Times New Roman" w:cs="Times New Roman"/>
                <w:b/>
                <w:bCs/>
              </w:rPr>
            </w:pPr>
            <w:r w:rsidRPr="000B5C82">
              <w:rPr>
                <w:rFonts w:ascii="Times New Roman" w:eastAsia="Times New Roman" w:hAnsi="Times New Roman" w:cs="Times New Roman"/>
                <w:b/>
                <w:bCs/>
              </w:rPr>
              <w:t>Techninis parametras</w:t>
            </w:r>
          </w:p>
        </w:tc>
        <w:tc>
          <w:tcPr>
            <w:tcW w:w="7150" w:type="dxa"/>
            <w:tcBorders>
              <w:top w:val="single" w:sz="4" w:space="0" w:color="00000A"/>
              <w:left w:val="single" w:sz="4" w:space="0" w:color="00000A"/>
              <w:bottom w:val="single" w:sz="4" w:space="0" w:color="00000A"/>
              <w:right w:val="single" w:sz="4" w:space="0" w:color="000001"/>
            </w:tcBorders>
            <w:vAlign w:val="center"/>
          </w:tcPr>
          <w:p w14:paraId="2FE1A58F" w14:textId="77777777" w:rsidR="009233D3" w:rsidRPr="000B5C82" w:rsidRDefault="009233D3">
            <w:pPr>
              <w:widowControl w:val="0"/>
              <w:jc w:val="center"/>
              <w:rPr>
                <w:rFonts w:ascii="Times New Roman" w:eastAsia="Times New Roman" w:hAnsi="Times New Roman" w:cs="Times New Roman"/>
                <w:b/>
                <w:bCs/>
              </w:rPr>
            </w:pPr>
            <w:r w:rsidRPr="000B5C82">
              <w:rPr>
                <w:rFonts w:ascii="Times New Roman" w:eastAsia="Times New Roman" w:hAnsi="Times New Roman" w:cs="Times New Roman"/>
                <w:b/>
                <w:bCs/>
              </w:rPr>
              <w:t>Reikalaujami minimalūs techniniai parametrai</w:t>
            </w:r>
          </w:p>
        </w:tc>
      </w:tr>
      <w:tr w:rsidR="009233D3" w:rsidRPr="000B5C82" w14:paraId="6E3CC7BF" w14:textId="77777777" w:rsidTr="1A712BF5">
        <w:trPr>
          <w:trHeight w:val="290"/>
        </w:trPr>
        <w:tc>
          <w:tcPr>
            <w:tcW w:w="579" w:type="dxa"/>
            <w:tcBorders>
              <w:top w:val="single" w:sz="4" w:space="0" w:color="00000A"/>
              <w:left w:val="single" w:sz="4" w:space="0" w:color="00000A"/>
              <w:bottom w:val="single" w:sz="4" w:space="0" w:color="00000A"/>
              <w:right w:val="single" w:sz="4" w:space="0" w:color="00000A"/>
            </w:tcBorders>
            <w:vAlign w:val="center"/>
          </w:tcPr>
          <w:p w14:paraId="539DD7A9" w14:textId="77777777" w:rsidR="009233D3" w:rsidRPr="000B5C82" w:rsidRDefault="009233D3" w:rsidP="009233D3">
            <w:pPr>
              <w:pStyle w:val="ListParagraph"/>
              <w:widowControl w:val="0"/>
              <w:numPr>
                <w:ilvl w:val="0"/>
                <w:numId w:val="5"/>
              </w:numPr>
              <w:suppressAutoHyphens/>
              <w:spacing w:line="276" w:lineRule="auto"/>
              <w:rPr>
                <w:rFonts w:ascii="Times New Roman" w:eastAsia="Times New Roman" w:hAnsi="Times New Roman" w:cs="Times New Roman"/>
              </w:rPr>
            </w:pPr>
          </w:p>
        </w:tc>
        <w:tc>
          <w:tcPr>
            <w:tcW w:w="1899" w:type="dxa"/>
            <w:tcBorders>
              <w:top w:val="single" w:sz="4" w:space="0" w:color="00000A"/>
              <w:left w:val="single" w:sz="4" w:space="0" w:color="00000A"/>
              <w:bottom w:val="single" w:sz="4" w:space="0" w:color="00000A"/>
              <w:right w:val="single" w:sz="4" w:space="0" w:color="00000A"/>
            </w:tcBorders>
            <w:vAlign w:val="center"/>
          </w:tcPr>
          <w:p w14:paraId="696763CE"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Modelis, gamintojas</w:t>
            </w:r>
          </w:p>
        </w:tc>
        <w:tc>
          <w:tcPr>
            <w:tcW w:w="7150" w:type="dxa"/>
            <w:tcBorders>
              <w:top w:val="single" w:sz="4" w:space="0" w:color="00000A"/>
              <w:left w:val="single" w:sz="4" w:space="0" w:color="00000A"/>
              <w:bottom w:val="single" w:sz="4" w:space="0" w:color="00000A"/>
              <w:right w:val="single" w:sz="4" w:space="0" w:color="00000A"/>
            </w:tcBorders>
            <w:vAlign w:val="center"/>
          </w:tcPr>
          <w:p w14:paraId="3E6CC7E1"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Tiekėjas turi nurodyti modelį ir gamintoją</w:t>
            </w:r>
          </w:p>
        </w:tc>
      </w:tr>
      <w:tr w:rsidR="009233D3" w:rsidRPr="000B5C82" w14:paraId="269A0EF2" w14:textId="77777777" w:rsidTr="1A712BF5">
        <w:trPr>
          <w:trHeight w:val="290"/>
        </w:trPr>
        <w:tc>
          <w:tcPr>
            <w:tcW w:w="579" w:type="dxa"/>
            <w:tcBorders>
              <w:top w:val="single" w:sz="4" w:space="0" w:color="00000A"/>
              <w:left w:val="single" w:sz="4" w:space="0" w:color="00000A"/>
              <w:bottom w:val="single" w:sz="4" w:space="0" w:color="00000A"/>
              <w:right w:val="single" w:sz="4" w:space="0" w:color="00000A"/>
            </w:tcBorders>
            <w:vAlign w:val="center"/>
          </w:tcPr>
          <w:p w14:paraId="2CC7CF64" w14:textId="77777777" w:rsidR="009233D3" w:rsidRPr="000B5C82" w:rsidRDefault="009233D3" w:rsidP="009233D3">
            <w:pPr>
              <w:pStyle w:val="ListParagraph"/>
              <w:widowControl w:val="0"/>
              <w:numPr>
                <w:ilvl w:val="0"/>
                <w:numId w:val="5"/>
              </w:numPr>
              <w:suppressAutoHyphens/>
              <w:spacing w:line="276" w:lineRule="auto"/>
              <w:rPr>
                <w:rFonts w:ascii="Times New Roman" w:eastAsia="Times New Roman" w:hAnsi="Times New Roman" w:cs="Times New Roman"/>
              </w:rPr>
            </w:pPr>
          </w:p>
        </w:tc>
        <w:tc>
          <w:tcPr>
            <w:tcW w:w="1899" w:type="dxa"/>
            <w:tcBorders>
              <w:top w:val="single" w:sz="4" w:space="0" w:color="00000A"/>
              <w:left w:val="single" w:sz="4" w:space="0" w:color="00000A"/>
              <w:bottom w:val="single" w:sz="4" w:space="0" w:color="00000A"/>
              <w:right w:val="single" w:sz="4" w:space="0" w:color="00000A"/>
            </w:tcBorders>
            <w:vAlign w:val="center"/>
          </w:tcPr>
          <w:p w14:paraId="086C037A"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Paskirtis</w:t>
            </w:r>
          </w:p>
        </w:tc>
        <w:tc>
          <w:tcPr>
            <w:tcW w:w="7150" w:type="dxa"/>
            <w:tcBorders>
              <w:top w:val="single" w:sz="4" w:space="0" w:color="00000A"/>
              <w:left w:val="single" w:sz="4" w:space="0" w:color="00000A"/>
              <w:bottom w:val="single" w:sz="4" w:space="0" w:color="00000A"/>
              <w:right w:val="single" w:sz="4" w:space="0" w:color="00000A"/>
            </w:tcBorders>
            <w:vAlign w:val="center"/>
          </w:tcPr>
          <w:p w14:paraId="32CE121F"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Įranga, skirta kokybiniam ir kiekybiniam elementų nustatymui įvairiose geologinės kilmės matricose: vanduo.</w:t>
            </w:r>
          </w:p>
        </w:tc>
      </w:tr>
      <w:tr w:rsidR="009233D3" w:rsidRPr="000B5C82" w14:paraId="4303B194" w14:textId="77777777" w:rsidTr="1A712BF5">
        <w:trPr>
          <w:trHeight w:val="290"/>
        </w:trPr>
        <w:tc>
          <w:tcPr>
            <w:tcW w:w="579" w:type="dxa"/>
            <w:tcBorders>
              <w:top w:val="single" w:sz="4" w:space="0" w:color="00000A"/>
              <w:left w:val="single" w:sz="4" w:space="0" w:color="00000A"/>
              <w:bottom w:val="single" w:sz="4" w:space="0" w:color="00000A"/>
              <w:right w:val="single" w:sz="4" w:space="0" w:color="00000A"/>
            </w:tcBorders>
            <w:vAlign w:val="center"/>
          </w:tcPr>
          <w:p w14:paraId="7F3C3207" w14:textId="77777777" w:rsidR="009233D3" w:rsidRPr="000B5C82" w:rsidRDefault="009233D3" w:rsidP="009233D3">
            <w:pPr>
              <w:pStyle w:val="ListParagraph"/>
              <w:widowControl w:val="0"/>
              <w:numPr>
                <w:ilvl w:val="0"/>
                <w:numId w:val="5"/>
              </w:numPr>
              <w:suppressAutoHyphens/>
              <w:spacing w:line="276" w:lineRule="auto"/>
              <w:rPr>
                <w:rFonts w:ascii="Times New Roman" w:eastAsia="Times New Roman" w:hAnsi="Times New Roman" w:cs="Times New Roman"/>
              </w:rPr>
            </w:pPr>
          </w:p>
        </w:tc>
        <w:tc>
          <w:tcPr>
            <w:tcW w:w="1899" w:type="dxa"/>
            <w:tcBorders>
              <w:top w:val="single" w:sz="4" w:space="0" w:color="00000A"/>
              <w:left w:val="single" w:sz="4" w:space="0" w:color="00000A"/>
              <w:bottom w:val="single" w:sz="4" w:space="0" w:color="00000A"/>
              <w:right w:val="single" w:sz="4" w:space="0" w:color="00000A"/>
            </w:tcBorders>
            <w:vAlign w:val="center"/>
          </w:tcPr>
          <w:p w14:paraId="435827C2"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Įrangos tipas</w:t>
            </w:r>
          </w:p>
        </w:tc>
        <w:tc>
          <w:tcPr>
            <w:tcW w:w="7150" w:type="dxa"/>
            <w:tcBorders>
              <w:top w:val="single" w:sz="4" w:space="0" w:color="00000A"/>
              <w:left w:val="single" w:sz="4" w:space="0" w:color="00000A"/>
              <w:bottom w:val="single" w:sz="4" w:space="0" w:color="00000A"/>
              <w:right w:val="single" w:sz="4" w:space="0" w:color="00000A"/>
            </w:tcBorders>
            <w:vAlign w:val="center"/>
          </w:tcPr>
          <w:p w14:paraId="27FA2900"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Turi būti siūlomas induktyviai sužadintos plazmos optinės emisijos spektrometras (ICP-OES) – vientisas kompleksinis matavimo prietaisas, leidžiantis atlikti visų elementų visų bangos ilgių analizę įvairiose matricose vienos injekcijos metu. Spektrometras turi turėti galimybę vieno matavimo metu analizuoti ašiniu (angl. axial) arba radialiniu (angl. radial), arba mišriu (angl. dual-view) režimu mažoms ir didelėms koncentracijoms nustatyti, nepriklausomai nuo bangos ilgio.</w:t>
            </w:r>
          </w:p>
        </w:tc>
      </w:tr>
      <w:tr w:rsidR="009233D3" w:rsidRPr="000B5C82" w14:paraId="3156B4EA" w14:textId="77777777" w:rsidTr="1A712BF5">
        <w:trPr>
          <w:trHeight w:val="1300"/>
        </w:trPr>
        <w:tc>
          <w:tcPr>
            <w:tcW w:w="579" w:type="dxa"/>
            <w:tcBorders>
              <w:top w:val="single" w:sz="4" w:space="0" w:color="00000A"/>
              <w:left w:val="single" w:sz="4" w:space="0" w:color="00000A"/>
              <w:bottom w:val="single" w:sz="4" w:space="0" w:color="00000A"/>
              <w:right w:val="single" w:sz="4" w:space="0" w:color="00000A"/>
            </w:tcBorders>
            <w:vAlign w:val="center"/>
          </w:tcPr>
          <w:p w14:paraId="7FC046AA" w14:textId="77777777" w:rsidR="009233D3" w:rsidRPr="000B5C82" w:rsidRDefault="009233D3" w:rsidP="009233D3">
            <w:pPr>
              <w:pStyle w:val="ListParagraph"/>
              <w:widowControl w:val="0"/>
              <w:numPr>
                <w:ilvl w:val="0"/>
                <w:numId w:val="5"/>
              </w:numPr>
              <w:suppressAutoHyphens/>
              <w:spacing w:line="276" w:lineRule="auto"/>
              <w:rPr>
                <w:rFonts w:ascii="Times New Roman" w:eastAsia="Times New Roman" w:hAnsi="Times New Roman" w:cs="Times New Roman"/>
              </w:rPr>
            </w:pPr>
          </w:p>
        </w:tc>
        <w:tc>
          <w:tcPr>
            <w:tcW w:w="1899" w:type="dxa"/>
            <w:tcBorders>
              <w:top w:val="single" w:sz="4" w:space="0" w:color="00000A"/>
              <w:left w:val="single" w:sz="4" w:space="0" w:color="00000A"/>
              <w:bottom w:val="single" w:sz="4" w:space="0" w:color="00000A"/>
              <w:right w:val="single" w:sz="4" w:space="0" w:color="00000A"/>
            </w:tcBorders>
            <w:vAlign w:val="center"/>
          </w:tcPr>
          <w:p w14:paraId="0E63E80A" w14:textId="77777777" w:rsidR="009233D3" w:rsidRPr="00E36706" w:rsidRDefault="009233D3">
            <w:pPr>
              <w:widowControl w:val="0"/>
              <w:rPr>
                <w:rFonts w:ascii="Times New Roman" w:eastAsia="Times New Roman" w:hAnsi="Times New Roman" w:cs="Times New Roman"/>
              </w:rPr>
            </w:pPr>
            <w:r w:rsidRPr="00E36706">
              <w:rPr>
                <w:rFonts w:ascii="Times New Roman" w:eastAsia="Times New Roman" w:hAnsi="Times New Roman" w:cs="Times New Roman"/>
              </w:rPr>
              <w:t>Įrangos komplektavimas</w:t>
            </w:r>
          </w:p>
        </w:tc>
        <w:tc>
          <w:tcPr>
            <w:tcW w:w="7150" w:type="dxa"/>
            <w:tcBorders>
              <w:top w:val="single" w:sz="4" w:space="0" w:color="00000A"/>
              <w:left w:val="single" w:sz="4" w:space="0" w:color="00000A"/>
              <w:bottom w:val="single" w:sz="4" w:space="0" w:color="00000A"/>
              <w:right w:val="single" w:sz="4" w:space="0" w:color="00000A"/>
            </w:tcBorders>
            <w:vAlign w:val="center"/>
          </w:tcPr>
          <w:p w14:paraId="29C979E9" w14:textId="0B4F445D" w:rsidR="009233D3" w:rsidRPr="00E36706" w:rsidRDefault="41868C62">
            <w:pPr>
              <w:widowControl w:val="0"/>
              <w:jc w:val="both"/>
              <w:rPr>
                <w:rFonts w:ascii="Times New Roman" w:eastAsia="Times New Roman" w:hAnsi="Times New Roman" w:cs="Times New Roman"/>
              </w:rPr>
            </w:pPr>
            <w:r w:rsidRPr="1A712BF5">
              <w:rPr>
                <w:rFonts w:ascii="Times New Roman" w:eastAsia="Times New Roman" w:hAnsi="Times New Roman" w:cs="Times New Roman"/>
              </w:rPr>
              <w:t xml:space="preserve">Spektrometras turi būti komplektuojamas kartu su recirkuliuojamu vandens aušintuvu (jei reikalingas aušinimas vandeniu), automatiniu skysto mėginio įvedimo moduliu, paralelinio bei koncentrinio tipo purkštukais, kompiuteriu ir programine įranga, argono dujų tiekimo linija su jos </w:t>
            </w:r>
            <w:r w:rsidR="7151827E" w:rsidRPr="1A712BF5">
              <w:rPr>
                <w:rFonts w:ascii="Times New Roman" w:eastAsia="Times New Roman" w:hAnsi="Times New Roman" w:cs="Times New Roman"/>
              </w:rPr>
              <w:t>pajungim</w:t>
            </w:r>
            <w:r w:rsidRPr="1A712BF5">
              <w:rPr>
                <w:rFonts w:ascii="Times New Roman" w:eastAsia="Times New Roman" w:hAnsi="Times New Roman" w:cs="Times New Roman"/>
              </w:rPr>
              <w:t xml:space="preserve">u Pirkėjo patalpose. </w:t>
            </w:r>
          </w:p>
        </w:tc>
      </w:tr>
      <w:tr w:rsidR="009233D3" w:rsidRPr="000B5C82" w14:paraId="08C6CBAA" w14:textId="77777777" w:rsidTr="1A712BF5">
        <w:trPr>
          <w:trHeight w:val="1025"/>
        </w:trPr>
        <w:tc>
          <w:tcPr>
            <w:tcW w:w="579" w:type="dxa"/>
            <w:tcBorders>
              <w:top w:val="single" w:sz="4" w:space="0" w:color="00000A"/>
              <w:left w:val="single" w:sz="4" w:space="0" w:color="00000A"/>
              <w:bottom w:val="single" w:sz="4" w:space="0" w:color="00000A"/>
              <w:right w:val="single" w:sz="4" w:space="0" w:color="00000A"/>
            </w:tcBorders>
            <w:vAlign w:val="center"/>
          </w:tcPr>
          <w:p w14:paraId="6667439B" w14:textId="77777777" w:rsidR="009233D3" w:rsidRPr="000B5C82" w:rsidRDefault="009233D3" w:rsidP="009233D3">
            <w:pPr>
              <w:pStyle w:val="ListParagraph"/>
              <w:widowControl w:val="0"/>
              <w:numPr>
                <w:ilvl w:val="0"/>
                <w:numId w:val="5"/>
              </w:numPr>
              <w:suppressAutoHyphens/>
              <w:spacing w:line="276" w:lineRule="auto"/>
              <w:rPr>
                <w:rFonts w:ascii="Times New Roman" w:eastAsia="Times New Roman" w:hAnsi="Times New Roman" w:cs="Times New Roman"/>
              </w:rPr>
            </w:pPr>
          </w:p>
        </w:tc>
        <w:tc>
          <w:tcPr>
            <w:tcW w:w="1899" w:type="dxa"/>
            <w:vMerge w:val="restart"/>
            <w:tcBorders>
              <w:top w:val="single" w:sz="4" w:space="0" w:color="00000A"/>
              <w:left w:val="single" w:sz="4" w:space="0" w:color="00000A"/>
              <w:right w:val="single" w:sz="4" w:space="0" w:color="00000A"/>
            </w:tcBorders>
            <w:vAlign w:val="center"/>
          </w:tcPr>
          <w:p w14:paraId="22997FE8" w14:textId="77777777" w:rsidR="009233D3" w:rsidRPr="00E36706" w:rsidRDefault="009233D3">
            <w:pPr>
              <w:widowControl w:val="0"/>
              <w:rPr>
                <w:rFonts w:ascii="Times New Roman" w:eastAsia="Times New Roman" w:hAnsi="Times New Roman" w:cs="Times New Roman"/>
              </w:rPr>
            </w:pPr>
            <w:r w:rsidRPr="00E36706">
              <w:rPr>
                <w:rFonts w:ascii="Times New Roman" w:eastAsia="Times New Roman" w:hAnsi="Times New Roman" w:cs="Times New Roman"/>
              </w:rPr>
              <w:t>Automatizavimas. Visa įrangos sistema turi automatiškai atlikti:</w:t>
            </w:r>
          </w:p>
          <w:p w14:paraId="75CC9EA6"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45EF4F6C" w14:textId="77777777" w:rsidR="009233D3" w:rsidRPr="00E36706" w:rsidRDefault="009233D3">
            <w:pPr>
              <w:widowControl w:val="0"/>
              <w:jc w:val="both"/>
              <w:rPr>
                <w:rFonts w:ascii="Times New Roman" w:hAnsi="Times New Roman" w:cs="Times New Roman"/>
              </w:rPr>
            </w:pPr>
            <w:r w:rsidRPr="00E36706">
              <w:rPr>
                <w:rFonts w:ascii="Times New Roman" w:eastAsia="Times New Roman" w:hAnsi="Times New Roman" w:cs="Times New Roman"/>
              </w:rPr>
              <w:t>Tiesioginę įvairių skystų mineralizatų, tirpalų ir ekstraktų automatinę injekciją.</w:t>
            </w:r>
          </w:p>
        </w:tc>
      </w:tr>
      <w:tr w:rsidR="009233D3" w:rsidRPr="000B5C82" w14:paraId="76CE7BF5" w14:textId="77777777" w:rsidTr="1A712BF5">
        <w:trPr>
          <w:trHeight w:val="480"/>
        </w:trPr>
        <w:tc>
          <w:tcPr>
            <w:tcW w:w="579" w:type="dxa"/>
            <w:tcBorders>
              <w:top w:val="single" w:sz="4" w:space="0" w:color="00000A"/>
              <w:left w:val="single" w:sz="4" w:space="0" w:color="00000A"/>
              <w:bottom w:val="single" w:sz="4" w:space="0" w:color="00000A"/>
              <w:right w:val="single" w:sz="4" w:space="0" w:color="00000A"/>
            </w:tcBorders>
            <w:vAlign w:val="center"/>
          </w:tcPr>
          <w:p w14:paraId="4D7FDBAD"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rPr>
            </w:pPr>
          </w:p>
        </w:tc>
        <w:tc>
          <w:tcPr>
            <w:tcW w:w="1899" w:type="dxa"/>
            <w:vMerge/>
            <w:vAlign w:val="center"/>
          </w:tcPr>
          <w:p w14:paraId="3D1B480D"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5AA7EA25"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 xml:space="preserve">Pilnai automatinį matavimą su ne mažiau nei 60 mėginių užkrovimu vienoje sekoje. Privalomas integruotas sprendimas, kad mėginių talpos analizės metu būtų apsaugotos/uždengtos nuo galimos išorinės taršos/dulkių patekimo. </w:t>
            </w:r>
          </w:p>
        </w:tc>
      </w:tr>
      <w:tr w:rsidR="009233D3" w:rsidRPr="000B5C82" w14:paraId="79599E1A" w14:textId="77777777" w:rsidTr="1A712BF5">
        <w:trPr>
          <w:trHeight w:val="804"/>
        </w:trPr>
        <w:tc>
          <w:tcPr>
            <w:tcW w:w="579" w:type="dxa"/>
            <w:tcBorders>
              <w:top w:val="single" w:sz="4" w:space="0" w:color="00000A"/>
              <w:left w:val="single" w:sz="4" w:space="0" w:color="00000A"/>
              <w:bottom w:val="single" w:sz="4" w:space="0" w:color="00000A"/>
              <w:right w:val="single" w:sz="4" w:space="0" w:color="00000A"/>
            </w:tcBorders>
            <w:vAlign w:val="center"/>
          </w:tcPr>
          <w:p w14:paraId="6A766322"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rPr>
            </w:pPr>
          </w:p>
        </w:tc>
        <w:tc>
          <w:tcPr>
            <w:tcW w:w="1899" w:type="dxa"/>
            <w:vMerge/>
            <w:vAlign w:val="center"/>
          </w:tcPr>
          <w:p w14:paraId="5AC5F660"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7789B7B5"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 xml:space="preserve">Automatinį mėginio įvedimo modulio siurbimo zondo išorinį bei vidinį prasiplovimą ne mažiau nei dviem atskirais skirtingais tirpalais. Automatinį praplovimo tirpalų keitimą po kiekvieno plovimo abiejuose praplovimo </w:t>
            </w:r>
            <w:r w:rsidRPr="00E36706">
              <w:rPr>
                <w:rFonts w:ascii="Times New Roman" w:eastAsia="Times New Roman" w:hAnsi="Times New Roman" w:cs="Times New Roman"/>
              </w:rPr>
              <w:lastRenderedPageBreak/>
              <w:t xml:space="preserve">portuose. </w:t>
            </w:r>
          </w:p>
        </w:tc>
      </w:tr>
      <w:tr w:rsidR="009233D3" w:rsidRPr="000B5C82" w14:paraId="18ED532F" w14:textId="77777777" w:rsidTr="1A712BF5">
        <w:trPr>
          <w:trHeight w:val="132"/>
        </w:trPr>
        <w:tc>
          <w:tcPr>
            <w:tcW w:w="579" w:type="dxa"/>
            <w:tcBorders>
              <w:top w:val="single" w:sz="4" w:space="0" w:color="00000A"/>
              <w:left w:val="single" w:sz="4" w:space="0" w:color="00000A"/>
              <w:bottom w:val="single" w:sz="4" w:space="0" w:color="00000A"/>
              <w:right w:val="single" w:sz="4" w:space="0" w:color="00000A"/>
            </w:tcBorders>
            <w:vAlign w:val="center"/>
          </w:tcPr>
          <w:p w14:paraId="7E133551"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lang w:val="it-IT"/>
              </w:rPr>
            </w:pPr>
          </w:p>
        </w:tc>
        <w:tc>
          <w:tcPr>
            <w:tcW w:w="1899" w:type="dxa"/>
            <w:vMerge/>
            <w:vAlign w:val="center"/>
          </w:tcPr>
          <w:p w14:paraId="41F15797"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62BA1CBC"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 xml:space="preserve">Automatinį matavimo režimo (radialinis/ašinis) parinkimą bei automatiškai keisti radialinio matavimo poziciją degle.   </w:t>
            </w:r>
            <w:r w:rsidRPr="00E36706">
              <w:rPr>
                <w:rFonts w:ascii="Times New Roman" w:eastAsia="Times New Roman" w:hAnsi="Times New Roman" w:cs="Times New Roman"/>
              </w:rPr>
              <w:br/>
              <w:t>Taip pat gebėti automatiškai programuojamai matuoti abiem režimais (angl. dual-view) to pačio analitinio matavimo metu.</w:t>
            </w:r>
          </w:p>
        </w:tc>
      </w:tr>
      <w:tr w:rsidR="009233D3" w:rsidRPr="000B5C82" w14:paraId="721953FF" w14:textId="77777777" w:rsidTr="1A712BF5">
        <w:trPr>
          <w:trHeight w:val="440"/>
        </w:trPr>
        <w:tc>
          <w:tcPr>
            <w:tcW w:w="579" w:type="dxa"/>
            <w:tcBorders>
              <w:top w:val="single" w:sz="4" w:space="0" w:color="00000A"/>
              <w:left w:val="single" w:sz="4" w:space="0" w:color="00000A"/>
              <w:bottom w:val="single" w:sz="4" w:space="0" w:color="00000A"/>
              <w:right w:val="single" w:sz="4" w:space="0" w:color="00000A"/>
            </w:tcBorders>
            <w:vAlign w:val="center"/>
          </w:tcPr>
          <w:p w14:paraId="639CE15A"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rPr>
            </w:pPr>
          </w:p>
        </w:tc>
        <w:tc>
          <w:tcPr>
            <w:tcW w:w="1899" w:type="dxa"/>
            <w:vMerge/>
            <w:vAlign w:val="center"/>
          </w:tcPr>
          <w:p w14:paraId="147E2B24"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4749B7B4" w14:textId="77777777" w:rsidR="009233D3" w:rsidRPr="00E36706" w:rsidRDefault="009233D3">
            <w:pPr>
              <w:widowControl w:val="0"/>
              <w:jc w:val="both"/>
              <w:rPr>
                <w:rFonts w:ascii="Times New Roman" w:hAnsi="Times New Roman" w:cs="Times New Roman"/>
              </w:rPr>
            </w:pPr>
            <w:r w:rsidRPr="00E36706">
              <w:rPr>
                <w:rFonts w:ascii="Times New Roman" w:eastAsia="Times New Roman" w:hAnsi="Times New Roman" w:cs="Times New Roman"/>
              </w:rPr>
              <w:t xml:space="preserve">Automatinį dujų srautų ir mėginio padavimo greičio programavimą ir reguliavimą. Instrumentas automatiškai turi sekti dujų slėgius ir srautus, aušinimo skysčio tekėjimą, detektoriaus bei visos optinės sistemos temperatūrą. Sistema automatiškai užgesina plazmą esant nenormalumams pačioje plazmoje, dujų srautuose ar slėgiuose.  </w:t>
            </w:r>
          </w:p>
        </w:tc>
      </w:tr>
      <w:tr w:rsidR="009233D3" w:rsidRPr="000B5C82" w14:paraId="4EFE1B2B" w14:textId="77777777" w:rsidTr="1A712BF5">
        <w:trPr>
          <w:trHeight w:val="890"/>
        </w:trPr>
        <w:tc>
          <w:tcPr>
            <w:tcW w:w="579" w:type="dxa"/>
            <w:tcBorders>
              <w:top w:val="single" w:sz="4" w:space="0" w:color="00000A"/>
              <w:left w:val="single" w:sz="4" w:space="0" w:color="00000A"/>
              <w:bottom w:val="single" w:sz="4" w:space="0" w:color="00000A"/>
              <w:right w:val="single" w:sz="4" w:space="0" w:color="00000A"/>
            </w:tcBorders>
            <w:vAlign w:val="center"/>
          </w:tcPr>
          <w:p w14:paraId="50B85526"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rPr>
            </w:pPr>
          </w:p>
        </w:tc>
        <w:tc>
          <w:tcPr>
            <w:tcW w:w="1899" w:type="dxa"/>
            <w:vMerge/>
            <w:vAlign w:val="center"/>
          </w:tcPr>
          <w:p w14:paraId="4AA761DB"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1261DA3D"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Automatinį plazmos uždegimą ir išjungimą, valdomą ir kontroliuojamą kompiuteriu. Esant nepakankamam šilumos nutraukimui nuo plazmos, plazma turi būti gesinama automatiškai.</w:t>
            </w:r>
          </w:p>
        </w:tc>
      </w:tr>
      <w:tr w:rsidR="009233D3" w:rsidRPr="000B5C82" w14:paraId="307F9E1E" w14:textId="77777777" w:rsidTr="1A712BF5">
        <w:trPr>
          <w:trHeight w:val="620"/>
        </w:trPr>
        <w:tc>
          <w:tcPr>
            <w:tcW w:w="579" w:type="dxa"/>
            <w:tcBorders>
              <w:top w:val="single" w:sz="4" w:space="0" w:color="00000A"/>
              <w:left w:val="single" w:sz="4" w:space="0" w:color="00000A"/>
              <w:bottom w:val="single" w:sz="4" w:space="0" w:color="00000A"/>
              <w:right w:val="single" w:sz="4" w:space="0" w:color="00000A"/>
            </w:tcBorders>
            <w:vAlign w:val="center"/>
          </w:tcPr>
          <w:p w14:paraId="056525A1"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rPr>
            </w:pPr>
          </w:p>
        </w:tc>
        <w:tc>
          <w:tcPr>
            <w:tcW w:w="1899" w:type="dxa"/>
            <w:vMerge/>
            <w:vAlign w:val="center"/>
          </w:tcPr>
          <w:p w14:paraId="14613F46"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71C5133A"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Automatinį pasirinkto vidinio standarto padavimą į sistemą kartu su mėginio srautu.</w:t>
            </w:r>
          </w:p>
        </w:tc>
      </w:tr>
      <w:tr w:rsidR="009233D3" w:rsidRPr="000B5C82" w14:paraId="79AC71BB" w14:textId="77777777" w:rsidTr="1A712BF5">
        <w:trPr>
          <w:trHeight w:val="564"/>
        </w:trPr>
        <w:tc>
          <w:tcPr>
            <w:tcW w:w="579" w:type="dxa"/>
            <w:tcBorders>
              <w:top w:val="single" w:sz="4" w:space="0" w:color="00000A"/>
              <w:left w:val="single" w:sz="4" w:space="0" w:color="00000A"/>
              <w:bottom w:val="single" w:sz="4" w:space="0" w:color="00000A"/>
              <w:right w:val="single" w:sz="4" w:space="0" w:color="00000A"/>
            </w:tcBorders>
            <w:vAlign w:val="center"/>
          </w:tcPr>
          <w:p w14:paraId="2AE1BD17" w14:textId="77777777" w:rsidR="009233D3" w:rsidRPr="000B5C82" w:rsidRDefault="009233D3" w:rsidP="009233D3">
            <w:pPr>
              <w:pStyle w:val="ListParagraph"/>
              <w:widowControl w:val="0"/>
              <w:numPr>
                <w:ilvl w:val="0"/>
                <w:numId w:val="5"/>
              </w:numPr>
              <w:suppressAutoHyphens/>
              <w:spacing w:line="276" w:lineRule="auto"/>
              <w:rPr>
                <w:rFonts w:ascii="Times New Roman" w:eastAsia="Times New Roman" w:hAnsi="Times New Roman" w:cs="Times New Roman"/>
                <w:lang w:val="it-IT"/>
              </w:rPr>
            </w:pPr>
          </w:p>
        </w:tc>
        <w:tc>
          <w:tcPr>
            <w:tcW w:w="1899" w:type="dxa"/>
            <w:vMerge w:val="restart"/>
            <w:tcBorders>
              <w:top w:val="single" w:sz="4" w:space="0" w:color="00000A"/>
              <w:left w:val="single" w:sz="4" w:space="0" w:color="00000A"/>
              <w:right w:val="single" w:sz="4" w:space="0" w:color="00000A"/>
            </w:tcBorders>
            <w:vAlign w:val="center"/>
          </w:tcPr>
          <w:p w14:paraId="311FED2E" w14:textId="77777777" w:rsidR="009233D3" w:rsidRPr="00E36706" w:rsidRDefault="009233D3">
            <w:pPr>
              <w:widowControl w:val="0"/>
              <w:rPr>
                <w:rFonts w:ascii="Times New Roman" w:eastAsia="Times New Roman" w:hAnsi="Times New Roman" w:cs="Times New Roman"/>
              </w:rPr>
            </w:pPr>
            <w:r w:rsidRPr="00E36706">
              <w:rPr>
                <w:rFonts w:ascii="Times New Roman" w:eastAsia="Times New Roman" w:hAnsi="Times New Roman" w:cs="Times New Roman"/>
              </w:rPr>
              <w:t>Spektrometro (įrangos sistemos) techniniai funkciniai ir efektyvumo parametrai</w:t>
            </w:r>
          </w:p>
          <w:p w14:paraId="30DABEAD" w14:textId="77777777" w:rsidR="009233D3" w:rsidRPr="00E36706" w:rsidRDefault="009233D3">
            <w:pPr>
              <w:widowControl w:val="0"/>
              <w:rPr>
                <w:rFonts w:ascii="Times New Roman" w:eastAsia="Times New Roman" w:hAnsi="Times New Roman" w:cs="Times New Roman"/>
              </w:rPr>
            </w:pPr>
            <w:r w:rsidRPr="00E36706">
              <w:rPr>
                <w:rFonts w:ascii="Times New Roman" w:eastAsia="Times New Roman" w:hAnsi="Times New Roman" w:cs="Times New Roman"/>
              </w:rPr>
              <w:t> </w:t>
            </w:r>
          </w:p>
          <w:p w14:paraId="52D1B8D4" w14:textId="77777777" w:rsidR="009233D3" w:rsidRPr="00E36706" w:rsidRDefault="009233D3">
            <w:pPr>
              <w:widowControl w:val="0"/>
              <w:rPr>
                <w:rFonts w:ascii="Times New Roman" w:eastAsia="Times New Roman" w:hAnsi="Times New Roman" w:cs="Times New Roman"/>
              </w:rPr>
            </w:pPr>
            <w:r w:rsidRPr="00E36706">
              <w:rPr>
                <w:rFonts w:ascii="Times New Roman" w:eastAsia="Times New Roman" w:hAnsi="Times New Roman" w:cs="Times New Roman"/>
              </w:rPr>
              <w:t> </w:t>
            </w:r>
          </w:p>
          <w:p w14:paraId="52AC8FE1" w14:textId="77777777" w:rsidR="009233D3" w:rsidRPr="00E36706" w:rsidRDefault="009233D3">
            <w:pPr>
              <w:widowControl w:val="0"/>
              <w:rPr>
                <w:rFonts w:ascii="Times New Roman" w:eastAsia="Times New Roman" w:hAnsi="Times New Roman" w:cs="Times New Roman"/>
              </w:rPr>
            </w:pPr>
            <w:r w:rsidRPr="00E36706">
              <w:rPr>
                <w:rFonts w:ascii="Times New Roman" w:eastAsia="Times New Roman" w:hAnsi="Times New Roman" w:cs="Times New Roman"/>
              </w:rPr>
              <w:t> </w:t>
            </w:r>
          </w:p>
          <w:p w14:paraId="41189609" w14:textId="77777777" w:rsidR="009233D3" w:rsidRPr="00E36706" w:rsidRDefault="009233D3">
            <w:pPr>
              <w:widowControl w:val="0"/>
              <w:rPr>
                <w:rFonts w:ascii="Times New Roman" w:eastAsia="Times New Roman" w:hAnsi="Times New Roman" w:cs="Times New Roman"/>
              </w:rPr>
            </w:pPr>
            <w:r w:rsidRPr="00E36706">
              <w:rPr>
                <w:rFonts w:ascii="Times New Roman" w:eastAsia="Times New Roman" w:hAnsi="Times New Roman" w:cs="Times New Roman"/>
              </w:rPr>
              <w:t> </w:t>
            </w:r>
          </w:p>
          <w:p w14:paraId="6740B54D" w14:textId="77777777" w:rsidR="009233D3" w:rsidRPr="00E36706" w:rsidRDefault="009233D3">
            <w:pPr>
              <w:widowControl w:val="0"/>
              <w:rPr>
                <w:rFonts w:ascii="Times New Roman" w:eastAsia="Times New Roman" w:hAnsi="Times New Roman" w:cs="Times New Roman"/>
              </w:rPr>
            </w:pPr>
            <w:r w:rsidRPr="00E36706">
              <w:rPr>
                <w:rFonts w:ascii="Times New Roman" w:eastAsia="Times New Roman" w:hAnsi="Times New Roman" w:cs="Times New Roman"/>
              </w:rPr>
              <w:t> </w:t>
            </w:r>
          </w:p>
        </w:tc>
        <w:tc>
          <w:tcPr>
            <w:tcW w:w="7150" w:type="dxa"/>
            <w:tcBorders>
              <w:top w:val="single" w:sz="4" w:space="0" w:color="00000A"/>
              <w:left w:val="single" w:sz="4" w:space="0" w:color="00000A"/>
              <w:bottom w:val="single" w:sz="4" w:space="0" w:color="00000A"/>
              <w:right w:val="single" w:sz="4" w:space="0" w:color="00000A"/>
            </w:tcBorders>
            <w:vAlign w:val="center"/>
          </w:tcPr>
          <w:p w14:paraId="3878499A"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 xml:space="preserve">Prietaisas turi būti sukomplektuotas su Echelle tipo gardele arba lygiaverte. </w:t>
            </w:r>
          </w:p>
        </w:tc>
      </w:tr>
      <w:tr w:rsidR="009233D3" w:rsidRPr="000B5C82" w14:paraId="11211CA2" w14:textId="77777777" w:rsidTr="1A712BF5">
        <w:trPr>
          <w:trHeight w:val="890"/>
        </w:trPr>
        <w:tc>
          <w:tcPr>
            <w:tcW w:w="579" w:type="dxa"/>
            <w:tcBorders>
              <w:left w:val="single" w:sz="4" w:space="0" w:color="00000A"/>
              <w:bottom w:val="single" w:sz="4" w:space="0" w:color="00000A"/>
              <w:right w:val="single" w:sz="4" w:space="0" w:color="00000A"/>
            </w:tcBorders>
            <w:vAlign w:val="center"/>
          </w:tcPr>
          <w:p w14:paraId="67941C80"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lang w:val="it-IT"/>
              </w:rPr>
            </w:pPr>
          </w:p>
        </w:tc>
        <w:tc>
          <w:tcPr>
            <w:tcW w:w="1899" w:type="dxa"/>
            <w:vMerge/>
            <w:vAlign w:val="center"/>
          </w:tcPr>
          <w:p w14:paraId="38164739" w14:textId="77777777" w:rsidR="009233D3" w:rsidRPr="00E36706" w:rsidRDefault="009233D3">
            <w:pPr>
              <w:widowControl w:val="0"/>
              <w:rPr>
                <w:rFonts w:ascii="Times New Roman" w:eastAsia="Times New Roman" w:hAnsi="Times New Roman" w:cs="Times New Roman"/>
              </w:rPr>
            </w:pPr>
          </w:p>
        </w:tc>
        <w:tc>
          <w:tcPr>
            <w:tcW w:w="7150" w:type="dxa"/>
            <w:tcBorders>
              <w:left w:val="single" w:sz="4" w:space="0" w:color="00000A"/>
              <w:bottom w:val="single" w:sz="4" w:space="0" w:color="00000A"/>
              <w:right w:val="single" w:sz="4" w:space="0" w:color="00000A"/>
            </w:tcBorders>
            <w:vAlign w:val="center"/>
          </w:tcPr>
          <w:p w14:paraId="49B71EB0"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Detektorius – kieto kūno, sąveikoje su kitais sistemos optiniais elementais turi užtikrinti rezoliuciją, kurios reikšmė ne didesnė nei 0,008 nm (skiriamoji geba prie 200 nm.)</w:t>
            </w:r>
          </w:p>
        </w:tc>
      </w:tr>
      <w:tr w:rsidR="009233D3" w:rsidRPr="000B5C82" w14:paraId="5E24FBAA" w14:textId="77777777" w:rsidTr="1A712BF5">
        <w:trPr>
          <w:trHeight w:val="500"/>
        </w:trPr>
        <w:tc>
          <w:tcPr>
            <w:tcW w:w="579" w:type="dxa"/>
            <w:tcBorders>
              <w:top w:val="single" w:sz="4" w:space="0" w:color="00000A"/>
              <w:left w:val="single" w:sz="4" w:space="0" w:color="00000A"/>
              <w:bottom w:val="single" w:sz="4" w:space="0" w:color="00000A"/>
              <w:right w:val="single" w:sz="4" w:space="0" w:color="00000A"/>
            </w:tcBorders>
            <w:vAlign w:val="center"/>
          </w:tcPr>
          <w:p w14:paraId="3E542C66"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rPr>
            </w:pPr>
          </w:p>
        </w:tc>
        <w:tc>
          <w:tcPr>
            <w:tcW w:w="1899" w:type="dxa"/>
            <w:vMerge/>
            <w:vAlign w:val="center"/>
          </w:tcPr>
          <w:p w14:paraId="3E380BB6"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072629F9"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Kad būtų išvengta aplinkos pokyčių įtakos matavimo rezultatams, optinė sistema visą laiką turi būti aktyviai termostatuojama, tuo būdu išlaikant tikslius ir atsikartojančius bangos ilgius, nenaudojant resursą turinčių korekcijos šaltinių ar papildomų reagentų/standartų.</w:t>
            </w:r>
          </w:p>
        </w:tc>
      </w:tr>
      <w:tr w:rsidR="009233D3" w:rsidRPr="000B5C82" w14:paraId="4CA0F511" w14:textId="77777777" w:rsidTr="1A712BF5">
        <w:trPr>
          <w:trHeight w:val="250"/>
        </w:trPr>
        <w:tc>
          <w:tcPr>
            <w:tcW w:w="579" w:type="dxa"/>
            <w:tcBorders>
              <w:top w:val="single" w:sz="4" w:space="0" w:color="00000A"/>
              <w:left w:val="single" w:sz="4" w:space="0" w:color="00000A"/>
              <w:bottom w:val="single" w:sz="4" w:space="0" w:color="00000A"/>
              <w:right w:val="single" w:sz="4" w:space="0" w:color="00000A"/>
            </w:tcBorders>
            <w:vAlign w:val="center"/>
          </w:tcPr>
          <w:p w14:paraId="4BD78A2A"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rPr>
            </w:pPr>
          </w:p>
        </w:tc>
        <w:tc>
          <w:tcPr>
            <w:tcW w:w="1899" w:type="dxa"/>
            <w:vMerge/>
            <w:vAlign w:val="center"/>
          </w:tcPr>
          <w:p w14:paraId="26DC4C32"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6C63D2F5" w14:textId="77777777" w:rsidR="009233D3" w:rsidRPr="00E36706" w:rsidRDefault="009233D3">
            <w:pPr>
              <w:widowControl w:val="0"/>
              <w:jc w:val="both"/>
              <w:rPr>
                <w:rFonts w:ascii="Times New Roman" w:hAnsi="Times New Roman" w:cs="Times New Roman"/>
              </w:rPr>
            </w:pPr>
            <w:r w:rsidRPr="00E36706">
              <w:rPr>
                <w:rFonts w:ascii="Times New Roman" w:eastAsia="Times New Roman" w:hAnsi="Times New Roman" w:cs="Times New Roman"/>
              </w:rPr>
              <w:t xml:space="preserve">Turi būti sukomplektuota su kieto kūno laisvai veikiančiu 40 arba 27 MHz dažniu RF generatoriumi generuojančiu plazmą. Generatoriaus galios viršutinė riba ne mažesnė kaip 1500 W dirbant ir ašiniame, ir radialiniame režimuose. </w:t>
            </w:r>
          </w:p>
        </w:tc>
      </w:tr>
      <w:tr w:rsidR="009233D3" w:rsidRPr="000B5C82" w14:paraId="01E6A466" w14:textId="77777777" w:rsidTr="1A712BF5">
        <w:trPr>
          <w:trHeight w:val="250"/>
        </w:trPr>
        <w:tc>
          <w:tcPr>
            <w:tcW w:w="579" w:type="dxa"/>
            <w:tcBorders>
              <w:top w:val="single" w:sz="4" w:space="0" w:color="00000A"/>
              <w:left w:val="single" w:sz="4" w:space="0" w:color="00000A"/>
              <w:bottom w:val="single" w:sz="4" w:space="0" w:color="00000A"/>
              <w:right w:val="single" w:sz="4" w:space="0" w:color="00000A"/>
            </w:tcBorders>
            <w:vAlign w:val="center"/>
          </w:tcPr>
          <w:p w14:paraId="55E674F3"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rPr>
            </w:pPr>
          </w:p>
        </w:tc>
        <w:tc>
          <w:tcPr>
            <w:tcW w:w="1899" w:type="dxa"/>
            <w:vMerge/>
            <w:vAlign w:val="center"/>
          </w:tcPr>
          <w:p w14:paraId="05217E13"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70EE52AD"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Optinė sistema turi būti izoliuota nuo aplinkos oro ir užtikrinti darbą UV diapazone (&lt;190 nm), naudojant vakuumą, inertinių dujų prapūtimą arba lygiavertę technologiją.</w:t>
            </w:r>
          </w:p>
        </w:tc>
      </w:tr>
      <w:tr w:rsidR="009233D3" w:rsidRPr="000B5C82" w14:paraId="390F3D1F" w14:textId="77777777" w:rsidTr="1A712BF5">
        <w:trPr>
          <w:trHeight w:val="250"/>
        </w:trPr>
        <w:tc>
          <w:tcPr>
            <w:tcW w:w="579" w:type="dxa"/>
            <w:tcBorders>
              <w:top w:val="single" w:sz="4" w:space="0" w:color="00000A"/>
              <w:left w:val="single" w:sz="4" w:space="0" w:color="00000A"/>
              <w:bottom w:val="single" w:sz="4" w:space="0" w:color="00000A"/>
              <w:right w:val="single" w:sz="4" w:space="0" w:color="00000A"/>
            </w:tcBorders>
            <w:vAlign w:val="center"/>
          </w:tcPr>
          <w:p w14:paraId="083D7FC0"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rPr>
            </w:pPr>
          </w:p>
        </w:tc>
        <w:tc>
          <w:tcPr>
            <w:tcW w:w="1899" w:type="dxa"/>
            <w:vMerge/>
            <w:vAlign w:val="center"/>
          </w:tcPr>
          <w:p w14:paraId="3A5AA00D"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41BADF24"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 xml:space="preserve">Pilnam kasdieniam sistemos darbui, įtraukiant ir tinkamą UV diapazone (&lt;190 nm) nustatomų elementų analizę, privalo pakakti vienų, ne didesnio nei 99.99% švarumo argono dujų (sistema privalo nereikalauti jokių kitų papildomų dujų), ir bendras visų dujų sunaudojimas darbui standartinėje komplektacijoje ne daugiau nei 15 L/min. (įskaitant mišrų matavimą ašinis ir radialinis vienos analizės metu).  </w:t>
            </w:r>
          </w:p>
        </w:tc>
      </w:tr>
      <w:tr w:rsidR="009233D3" w:rsidRPr="000B5C82" w14:paraId="6BF8D4EF" w14:textId="77777777" w:rsidTr="1A712BF5">
        <w:trPr>
          <w:trHeight w:val="250"/>
        </w:trPr>
        <w:tc>
          <w:tcPr>
            <w:tcW w:w="579" w:type="dxa"/>
            <w:tcBorders>
              <w:top w:val="single" w:sz="4" w:space="0" w:color="00000A"/>
              <w:left w:val="single" w:sz="4" w:space="0" w:color="00000A"/>
              <w:bottom w:val="single" w:sz="4" w:space="0" w:color="00000A"/>
              <w:right w:val="single" w:sz="4" w:space="0" w:color="00000A"/>
            </w:tcBorders>
            <w:vAlign w:val="center"/>
          </w:tcPr>
          <w:p w14:paraId="18A8AE53"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rPr>
            </w:pPr>
          </w:p>
        </w:tc>
        <w:tc>
          <w:tcPr>
            <w:tcW w:w="1899" w:type="dxa"/>
            <w:vMerge/>
            <w:vAlign w:val="center"/>
          </w:tcPr>
          <w:p w14:paraId="1A345463"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64961036"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Taršos akumuliacijos mažinimui bei mažos pernašos tarp matavimų  užtikrinimui, plazmos deglas turi būti įmontuotas vertikaliai ir lengvai išmontuojamas.</w:t>
            </w:r>
          </w:p>
        </w:tc>
      </w:tr>
      <w:tr w:rsidR="009233D3" w:rsidRPr="000B5C82" w14:paraId="5547E1F0" w14:textId="77777777" w:rsidTr="1A712BF5">
        <w:trPr>
          <w:trHeight w:val="500"/>
        </w:trPr>
        <w:tc>
          <w:tcPr>
            <w:tcW w:w="579" w:type="dxa"/>
            <w:tcBorders>
              <w:top w:val="single" w:sz="4" w:space="0" w:color="00000A"/>
              <w:left w:val="single" w:sz="4" w:space="0" w:color="00000A"/>
              <w:bottom w:val="single" w:sz="4" w:space="0" w:color="00000A"/>
              <w:right w:val="single" w:sz="4" w:space="0" w:color="00000A"/>
            </w:tcBorders>
            <w:vAlign w:val="center"/>
          </w:tcPr>
          <w:p w14:paraId="440DD58D"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rPr>
            </w:pPr>
          </w:p>
        </w:tc>
        <w:tc>
          <w:tcPr>
            <w:tcW w:w="1899" w:type="dxa"/>
            <w:vMerge/>
            <w:vAlign w:val="bottom"/>
          </w:tcPr>
          <w:p w14:paraId="61C65E75"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12229F59" w14:textId="531B2344" w:rsidR="009233D3" w:rsidRPr="00E36706" w:rsidRDefault="41868C62">
            <w:pPr>
              <w:widowControl w:val="0"/>
              <w:jc w:val="both"/>
              <w:rPr>
                <w:rFonts w:ascii="Times New Roman" w:eastAsia="Times New Roman" w:hAnsi="Times New Roman" w:cs="Times New Roman"/>
              </w:rPr>
            </w:pPr>
            <w:r w:rsidRPr="1A712BF5">
              <w:rPr>
                <w:rFonts w:ascii="Times New Roman" w:eastAsia="Times New Roman" w:hAnsi="Times New Roman" w:cs="Times New Roman"/>
              </w:rPr>
              <w:t xml:space="preserve">Sistema privalo registruoti visus bangos ilgius diapazone  167-780 nm diapazone vienu metu. </w:t>
            </w:r>
          </w:p>
        </w:tc>
      </w:tr>
      <w:tr w:rsidR="009233D3" w:rsidRPr="000B5C82" w14:paraId="59E70AC0" w14:textId="77777777" w:rsidTr="1A712BF5">
        <w:trPr>
          <w:trHeight w:val="615"/>
        </w:trPr>
        <w:tc>
          <w:tcPr>
            <w:tcW w:w="579" w:type="dxa"/>
            <w:tcBorders>
              <w:top w:val="single" w:sz="4" w:space="0" w:color="00000A"/>
              <w:left w:val="single" w:sz="4" w:space="0" w:color="00000A"/>
              <w:bottom w:val="single" w:sz="4" w:space="0" w:color="00000A"/>
              <w:right w:val="single" w:sz="4" w:space="0" w:color="00000A"/>
            </w:tcBorders>
            <w:vAlign w:val="center"/>
          </w:tcPr>
          <w:p w14:paraId="41B38E67"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rPr>
            </w:pPr>
          </w:p>
        </w:tc>
        <w:tc>
          <w:tcPr>
            <w:tcW w:w="1899" w:type="dxa"/>
            <w:vMerge/>
            <w:vAlign w:val="bottom"/>
          </w:tcPr>
          <w:p w14:paraId="206AD392"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3D434CD3" w14:textId="77777777" w:rsidR="009233D3" w:rsidRPr="00E36706" w:rsidRDefault="009233D3">
            <w:pPr>
              <w:widowControl w:val="0"/>
              <w:jc w:val="both"/>
              <w:rPr>
                <w:rFonts w:ascii="Times New Roman" w:hAnsi="Times New Roman" w:cs="Times New Roman"/>
              </w:rPr>
            </w:pPr>
            <w:r w:rsidRPr="00E36706">
              <w:rPr>
                <w:rFonts w:ascii="Times New Roman" w:eastAsia="Times New Roman" w:hAnsi="Times New Roman" w:cs="Times New Roman"/>
              </w:rPr>
              <w:t>Prietaiso paruošimas matavimams nuo „šalto“ deglo ne ilgesnis kaip 15 min., išjungimas – galimas iš karto baigus darbą.</w:t>
            </w:r>
          </w:p>
        </w:tc>
      </w:tr>
      <w:tr w:rsidR="009233D3" w:rsidRPr="000B5C82" w14:paraId="404D5D99" w14:textId="77777777" w:rsidTr="1A712BF5">
        <w:trPr>
          <w:trHeight w:val="470"/>
        </w:trPr>
        <w:tc>
          <w:tcPr>
            <w:tcW w:w="579" w:type="dxa"/>
            <w:tcBorders>
              <w:top w:val="single" w:sz="4" w:space="0" w:color="00000A"/>
              <w:left w:val="single" w:sz="4" w:space="0" w:color="00000A"/>
              <w:bottom w:val="single" w:sz="4" w:space="0" w:color="00000A"/>
              <w:right w:val="single" w:sz="4" w:space="0" w:color="00000A"/>
            </w:tcBorders>
            <w:vAlign w:val="center"/>
          </w:tcPr>
          <w:p w14:paraId="0F944843"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rPr>
            </w:pPr>
          </w:p>
        </w:tc>
        <w:tc>
          <w:tcPr>
            <w:tcW w:w="1899" w:type="dxa"/>
            <w:vMerge/>
            <w:vAlign w:val="bottom"/>
          </w:tcPr>
          <w:p w14:paraId="46A4E404"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3ECC57B4"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Visi dujų srautai turi būti programuojami, purkštuko dujos valdomos tiksliais masių srauto kontroleriais (angl. mass-flow controller).</w:t>
            </w:r>
          </w:p>
        </w:tc>
      </w:tr>
      <w:tr w:rsidR="009233D3" w:rsidRPr="000B5C82" w14:paraId="744D25D1" w14:textId="77777777" w:rsidTr="1A712BF5">
        <w:trPr>
          <w:trHeight w:val="540"/>
        </w:trPr>
        <w:tc>
          <w:tcPr>
            <w:tcW w:w="579" w:type="dxa"/>
            <w:tcBorders>
              <w:top w:val="single" w:sz="4" w:space="0" w:color="00000A"/>
              <w:left w:val="single" w:sz="4" w:space="0" w:color="00000A"/>
              <w:bottom w:val="single" w:sz="4" w:space="0" w:color="00000A"/>
              <w:right w:val="single" w:sz="4" w:space="0" w:color="00000A"/>
            </w:tcBorders>
            <w:vAlign w:val="center"/>
          </w:tcPr>
          <w:p w14:paraId="730C7BD0" w14:textId="77777777" w:rsidR="009233D3" w:rsidRPr="000B5C82" w:rsidRDefault="009233D3" w:rsidP="009233D3">
            <w:pPr>
              <w:pStyle w:val="ListParagraph"/>
              <w:widowControl w:val="0"/>
              <w:numPr>
                <w:ilvl w:val="1"/>
                <w:numId w:val="5"/>
              </w:numPr>
              <w:suppressAutoHyphens/>
              <w:spacing w:line="276" w:lineRule="auto"/>
              <w:ind w:hanging="724"/>
              <w:rPr>
                <w:rFonts w:ascii="Times New Roman" w:eastAsia="Times New Roman" w:hAnsi="Times New Roman" w:cs="Times New Roman"/>
              </w:rPr>
            </w:pPr>
          </w:p>
        </w:tc>
        <w:tc>
          <w:tcPr>
            <w:tcW w:w="1899" w:type="dxa"/>
            <w:vMerge/>
            <w:vAlign w:val="bottom"/>
          </w:tcPr>
          <w:p w14:paraId="40F6D479"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5841EDD0"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 xml:space="preserve">Sukomplektuota su deglu, koncentriniu purkštuku, purškimo kamera, atliekų šalinimo sistema. </w:t>
            </w:r>
          </w:p>
        </w:tc>
      </w:tr>
      <w:tr w:rsidR="009233D3" w:rsidRPr="000B5C82" w14:paraId="415F4536" w14:textId="77777777" w:rsidTr="1A712BF5">
        <w:trPr>
          <w:trHeight w:val="548"/>
        </w:trPr>
        <w:tc>
          <w:tcPr>
            <w:tcW w:w="579" w:type="dxa"/>
            <w:tcBorders>
              <w:top w:val="single" w:sz="4" w:space="0" w:color="00000A"/>
              <w:left w:val="single" w:sz="4" w:space="0" w:color="00000A"/>
              <w:bottom w:val="single" w:sz="4" w:space="0" w:color="00000A"/>
              <w:right w:val="single" w:sz="4" w:space="0" w:color="00000A"/>
            </w:tcBorders>
            <w:vAlign w:val="center"/>
          </w:tcPr>
          <w:p w14:paraId="4EB0BA49" w14:textId="77777777" w:rsidR="009233D3" w:rsidRPr="000B5C82" w:rsidRDefault="009233D3" w:rsidP="009233D3">
            <w:pPr>
              <w:pStyle w:val="ListParagraph"/>
              <w:widowControl w:val="0"/>
              <w:numPr>
                <w:ilvl w:val="1"/>
                <w:numId w:val="5"/>
              </w:numPr>
              <w:suppressAutoHyphens/>
              <w:spacing w:line="276" w:lineRule="auto"/>
              <w:ind w:hanging="724"/>
              <w:rPr>
                <w:rFonts w:ascii="Times New Roman" w:eastAsia="Times New Roman" w:hAnsi="Times New Roman" w:cs="Times New Roman"/>
              </w:rPr>
            </w:pPr>
          </w:p>
        </w:tc>
        <w:tc>
          <w:tcPr>
            <w:tcW w:w="1899" w:type="dxa"/>
            <w:vMerge/>
            <w:vAlign w:val="bottom"/>
          </w:tcPr>
          <w:p w14:paraId="6CE769FE"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04DA2F8F"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 xml:space="preserve">Papildomas paralelinio srauto purkštukas jautrumo pagerinimui kai kuriems elementams. </w:t>
            </w:r>
          </w:p>
        </w:tc>
      </w:tr>
      <w:tr w:rsidR="009233D3" w:rsidRPr="000B5C82" w14:paraId="16054937" w14:textId="77777777" w:rsidTr="1A712BF5">
        <w:trPr>
          <w:trHeight w:val="789"/>
        </w:trPr>
        <w:tc>
          <w:tcPr>
            <w:tcW w:w="579" w:type="dxa"/>
            <w:tcBorders>
              <w:top w:val="single" w:sz="4" w:space="0" w:color="00000A"/>
              <w:left w:val="single" w:sz="4" w:space="0" w:color="00000A"/>
              <w:bottom w:val="single" w:sz="4" w:space="0" w:color="00000A"/>
              <w:right w:val="single" w:sz="4" w:space="0" w:color="00000A"/>
            </w:tcBorders>
            <w:vAlign w:val="center"/>
          </w:tcPr>
          <w:p w14:paraId="7EEEEE4C" w14:textId="77777777" w:rsidR="009233D3" w:rsidRPr="000B5C82" w:rsidRDefault="009233D3" w:rsidP="009233D3">
            <w:pPr>
              <w:pStyle w:val="ListParagraph"/>
              <w:widowControl w:val="0"/>
              <w:numPr>
                <w:ilvl w:val="1"/>
                <w:numId w:val="5"/>
              </w:numPr>
              <w:suppressAutoHyphens/>
              <w:spacing w:line="276" w:lineRule="auto"/>
              <w:ind w:hanging="724"/>
              <w:rPr>
                <w:rFonts w:ascii="Times New Roman" w:eastAsia="Times New Roman" w:hAnsi="Times New Roman" w:cs="Times New Roman"/>
              </w:rPr>
            </w:pPr>
          </w:p>
        </w:tc>
        <w:tc>
          <w:tcPr>
            <w:tcW w:w="1899" w:type="dxa"/>
            <w:vMerge/>
            <w:vAlign w:val="center"/>
          </w:tcPr>
          <w:p w14:paraId="2F38D6F7"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bottom"/>
          </w:tcPr>
          <w:p w14:paraId="329B973A"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Sistema turi būti sukomplektuota su integruotu, ne mažiau keturių kanalų, keičiamo greičio ir pagrindine programine įranga kontroliuojamu peristaltiniu siurbliu.</w:t>
            </w:r>
          </w:p>
        </w:tc>
      </w:tr>
      <w:tr w:rsidR="009233D3" w:rsidRPr="000B5C82" w14:paraId="65BB0A98" w14:textId="77777777" w:rsidTr="1A712BF5">
        <w:trPr>
          <w:trHeight w:val="789"/>
        </w:trPr>
        <w:tc>
          <w:tcPr>
            <w:tcW w:w="579" w:type="dxa"/>
            <w:tcBorders>
              <w:top w:val="single" w:sz="4" w:space="0" w:color="00000A"/>
              <w:left w:val="single" w:sz="4" w:space="0" w:color="00000A"/>
              <w:bottom w:val="single" w:sz="4" w:space="0" w:color="00000A"/>
              <w:right w:val="single" w:sz="4" w:space="0" w:color="00000A"/>
            </w:tcBorders>
            <w:vAlign w:val="center"/>
          </w:tcPr>
          <w:p w14:paraId="63D67ED9" w14:textId="77777777" w:rsidR="009233D3" w:rsidRPr="000B5C82" w:rsidRDefault="009233D3" w:rsidP="009233D3">
            <w:pPr>
              <w:pStyle w:val="ListParagraph"/>
              <w:widowControl w:val="0"/>
              <w:numPr>
                <w:ilvl w:val="1"/>
                <w:numId w:val="5"/>
              </w:numPr>
              <w:suppressAutoHyphens/>
              <w:spacing w:line="276" w:lineRule="auto"/>
              <w:ind w:hanging="724"/>
              <w:rPr>
                <w:rFonts w:ascii="Times New Roman" w:eastAsia="Times New Roman" w:hAnsi="Times New Roman" w:cs="Times New Roman"/>
              </w:rPr>
            </w:pPr>
          </w:p>
        </w:tc>
        <w:tc>
          <w:tcPr>
            <w:tcW w:w="1899" w:type="dxa"/>
            <w:vMerge/>
            <w:vAlign w:val="center"/>
          </w:tcPr>
          <w:p w14:paraId="36CD29B1"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bottom"/>
          </w:tcPr>
          <w:p w14:paraId="77C5437D"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Privalomi visi reikalingi darbui priedai automatinei pasirinkto vidinio standarto padavimo į sistemą kartu su mėginio srautu funkcijai.</w:t>
            </w:r>
          </w:p>
        </w:tc>
      </w:tr>
      <w:tr w:rsidR="009233D3" w:rsidRPr="000B5C82" w14:paraId="0771A765" w14:textId="77777777" w:rsidTr="1A712BF5">
        <w:trPr>
          <w:trHeight w:val="789"/>
        </w:trPr>
        <w:tc>
          <w:tcPr>
            <w:tcW w:w="579" w:type="dxa"/>
            <w:tcBorders>
              <w:top w:val="single" w:sz="4" w:space="0" w:color="00000A"/>
              <w:left w:val="single" w:sz="4" w:space="0" w:color="00000A"/>
              <w:bottom w:val="single" w:sz="4" w:space="0" w:color="00000A"/>
              <w:right w:val="single" w:sz="4" w:space="0" w:color="00000A"/>
            </w:tcBorders>
            <w:vAlign w:val="center"/>
          </w:tcPr>
          <w:p w14:paraId="5392508B" w14:textId="77777777" w:rsidR="009233D3" w:rsidRPr="000B5C82" w:rsidRDefault="009233D3" w:rsidP="009233D3">
            <w:pPr>
              <w:pStyle w:val="ListParagraph"/>
              <w:widowControl w:val="0"/>
              <w:numPr>
                <w:ilvl w:val="1"/>
                <w:numId w:val="5"/>
              </w:numPr>
              <w:suppressAutoHyphens/>
              <w:spacing w:line="276" w:lineRule="auto"/>
              <w:ind w:hanging="724"/>
              <w:rPr>
                <w:rFonts w:ascii="Times New Roman" w:eastAsia="Times New Roman" w:hAnsi="Times New Roman" w:cs="Times New Roman"/>
                <w:lang w:val="it-IT"/>
              </w:rPr>
            </w:pPr>
          </w:p>
        </w:tc>
        <w:tc>
          <w:tcPr>
            <w:tcW w:w="1899" w:type="dxa"/>
            <w:vMerge/>
            <w:vAlign w:val="center"/>
          </w:tcPr>
          <w:p w14:paraId="2F28D0D8"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bottom"/>
          </w:tcPr>
          <w:p w14:paraId="4BE0BAF8" w14:textId="77777777" w:rsidR="009233D3" w:rsidRPr="00E36706" w:rsidRDefault="009233D3">
            <w:pPr>
              <w:widowControl w:val="0"/>
              <w:bidi/>
              <w:jc w:val="right"/>
              <w:rPr>
                <w:rFonts w:ascii="Times New Roman" w:eastAsia="Times New Roman" w:hAnsi="Times New Roman" w:cs="Times New Roman"/>
              </w:rPr>
            </w:pPr>
            <w:r w:rsidRPr="00E36706">
              <w:rPr>
                <w:rFonts w:ascii="Times New Roman" w:eastAsia="Times New Roman" w:hAnsi="Times New Roman" w:cs="Times New Roman"/>
              </w:rPr>
              <w:t xml:space="preserve">Privalomas hidridinių garų generavimo priedas  su automatiniu rūgšties pridėjimu, leidžiantis didesniu jautrumu analizuoti Hg, Se, Bi, As, Sn ir kt.  Privalo veikti pilnai automatiškai, valdomas programinės įrangos, kartu naudojant ir automatinį mėginių injektavimo modulį. Komplektuojama kartu su reagentų buteliais ir ne mažiau nei  4 komplektais reikalingų peristaltinių žarnelių. </w:t>
            </w:r>
          </w:p>
        </w:tc>
      </w:tr>
      <w:tr w:rsidR="009233D3" w:rsidRPr="000B5C82" w14:paraId="18502A73" w14:textId="77777777" w:rsidTr="1A712BF5">
        <w:trPr>
          <w:trHeight w:val="351"/>
        </w:trPr>
        <w:tc>
          <w:tcPr>
            <w:tcW w:w="579" w:type="dxa"/>
            <w:tcBorders>
              <w:top w:val="single" w:sz="4" w:space="0" w:color="00000A"/>
              <w:left w:val="single" w:sz="4" w:space="0" w:color="00000A"/>
              <w:bottom w:val="single" w:sz="4" w:space="0" w:color="00000A"/>
              <w:right w:val="single" w:sz="4" w:space="0" w:color="00000A"/>
            </w:tcBorders>
            <w:vAlign w:val="center"/>
          </w:tcPr>
          <w:p w14:paraId="2E2F855D" w14:textId="77777777" w:rsidR="009233D3" w:rsidRPr="000B5C82" w:rsidRDefault="009233D3" w:rsidP="009233D3">
            <w:pPr>
              <w:pStyle w:val="ListParagraph"/>
              <w:widowControl w:val="0"/>
              <w:numPr>
                <w:ilvl w:val="0"/>
                <w:numId w:val="5"/>
              </w:numPr>
              <w:suppressAutoHyphens/>
              <w:spacing w:line="276" w:lineRule="auto"/>
              <w:rPr>
                <w:rFonts w:ascii="Times New Roman" w:eastAsia="Times New Roman" w:hAnsi="Times New Roman" w:cs="Times New Roman"/>
              </w:rPr>
            </w:pPr>
          </w:p>
        </w:tc>
        <w:tc>
          <w:tcPr>
            <w:tcW w:w="1899" w:type="dxa"/>
            <w:vMerge w:val="restart"/>
            <w:tcBorders>
              <w:top w:val="single" w:sz="4" w:space="0" w:color="00000A"/>
              <w:left w:val="single" w:sz="4" w:space="0" w:color="00000A"/>
              <w:right w:val="single" w:sz="4" w:space="0" w:color="00000A"/>
            </w:tcBorders>
            <w:vAlign w:val="center"/>
          </w:tcPr>
          <w:p w14:paraId="701C190C" w14:textId="77777777" w:rsidR="009233D3" w:rsidRPr="00E36706" w:rsidRDefault="009233D3">
            <w:pPr>
              <w:widowControl w:val="0"/>
              <w:rPr>
                <w:rFonts w:ascii="Times New Roman" w:eastAsia="Times New Roman" w:hAnsi="Times New Roman" w:cs="Times New Roman"/>
              </w:rPr>
            </w:pPr>
            <w:r w:rsidRPr="00E36706">
              <w:rPr>
                <w:rFonts w:ascii="Times New Roman" w:eastAsia="Times New Roman" w:hAnsi="Times New Roman" w:cs="Times New Roman"/>
              </w:rPr>
              <w:t>Kompiuteris su programine įranga</w:t>
            </w:r>
          </w:p>
          <w:p w14:paraId="00F9E084" w14:textId="77777777" w:rsidR="009233D3" w:rsidRPr="00E36706" w:rsidRDefault="009233D3">
            <w:pPr>
              <w:widowControl w:val="0"/>
              <w:rPr>
                <w:rFonts w:ascii="Times New Roman" w:eastAsia="Times New Roman" w:hAnsi="Times New Roman" w:cs="Times New Roman"/>
              </w:rPr>
            </w:pPr>
            <w:r w:rsidRPr="00E36706">
              <w:rPr>
                <w:rFonts w:ascii="Times New Roman" w:eastAsia="Times New Roman" w:hAnsi="Times New Roman" w:cs="Times New Roman"/>
              </w:rPr>
              <w:t> </w:t>
            </w:r>
          </w:p>
          <w:p w14:paraId="0D26E4E0" w14:textId="77777777" w:rsidR="009233D3" w:rsidRPr="00E36706" w:rsidRDefault="009233D3">
            <w:pPr>
              <w:widowControl w:val="0"/>
              <w:rPr>
                <w:rFonts w:ascii="Times New Roman" w:eastAsia="Times New Roman" w:hAnsi="Times New Roman" w:cs="Times New Roman"/>
              </w:rPr>
            </w:pPr>
            <w:r w:rsidRPr="00E36706">
              <w:rPr>
                <w:rFonts w:ascii="Times New Roman" w:eastAsia="Times New Roman" w:hAnsi="Times New Roman" w:cs="Times New Roman"/>
              </w:rPr>
              <w:t> </w:t>
            </w:r>
          </w:p>
          <w:p w14:paraId="28270C57" w14:textId="77777777" w:rsidR="009233D3" w:rsidRPr="00E36706" w:rsidRDefault="009233D3">
            <w:pPr>
              <w:widowControl w:val="0"/>
              <w:rPr>
                <w:rFonts w:ascii="Times New Roman" w:eastAsia="Times New Roman" w:hAnsi="Times New Roman" w:cs="Times New Roman"/>
              </w:rPr>
            </w:pPr>
            <w:r w:rsidRPr="00E36706">
              <w:rPr>
                <w:rFonts w:ascii="Times New Roman" w:eastAsia="Times New Roman" w:hAnsi="Times New Roman" w:cs="Times New Roman"/>
              </w:rPr>
              <w:t> </w:t>
            </w:r>
          </w:p>
        </w:tc>
        <w:tc>
          <w:tcPr>
            <w:tcW w:w="7150" w:type="dxa"/>
            <w:tcBorders>
              <w:top w:val="single" w:sz="4" w:space="0" w:color="00000A"/>
              <w:left w:val="single" w:sz="4" w:space="0" w:color="00000A"/>
              <w:bottom w:val="single" w:sz="4" w:space="0" w:color="00000A"/>
              <w:right w:val="single" w:sz="4" w:space="0" w:color="00000A"/>
            </w:tcBorders>
            <w:vAlign w:val="center"/>
          </w:tcPr>
          <w:p w14:paraId="7D1135F6" w14:textId="15B7CC55" w:rsidR="009233D3" w:rsidRPr="00E36706" w:rsidRDefault="278319A3">
            <w:pPr>
              <w:widowControl w:val="0"/>
              <w:jc w:val="both"/>
              <w:rPr>
                <w:rFonts w:ascii="Times New Roman" w:eastAsia="Times New Roman" w:hAnsi="Times New Roman" w:cs="Times New Roman"/>
              </w:rPr>
            </w:pPr>
            <w:r w:rsidRPr="1A712BF5">
              <w:rPr>
                <w:rFonts w:ascii="Times New Roman" w:eastAsia="Times New Roman" w:hAnsi="Times New Roman" w:cs="Times New Roman"/>
              </w:rPr>
              <w:t>Naujas k</w:t>
            </w:r>
            <w:r w:rsidR="41868C62" w:rsidRPr="1A712BF5">
              <w:rPr>
                <w:rFonts w:ascii="Times New Roman" w:eastAsia="Times New Roman" w:hAnsi="Times New Roman" w:cs="Times New Roman"/>
              </w:rPr>
              <w:t xml:space="preserve">ompiuteris su ne mažesniu nei </w:t>
            </w:r>
            <w:r w:rsidR="41868C62" w:rsidRPr="1A712BF5">
              <w:rPr>
                <w:rFonts w:ascii="Times New Roman" w:eastAsia="Times New Roman" w:hAnsi="Times New Roman" w:cs="Times New Roman"/>
                <w:lang w:val="fr-FR"/>
              </w:rPr>
              <w:t>2</w:t>
            </w:r>
            <w:r w:rsidR="41868C62" w:rsidRPr="1A712BF5">
              <w:rPr>
                <w:rFonts w:ascii="Times New Roman" w:eastAsia="Times New Roman" w:hAnsi="Times New Roman" w:cs="Times New Roman"/>
              </w:rPr>
              <w:t>7 colių monitoriumi ir programine įranga</w:t>
            </w:r>
            <w:r w:rsidR="53DD0B42" w:rsidRPr="1A712BF5">
              <w:rPr>
                <w:rFonts w:ascii="Times New Roman" w:eastAsia="Times New Roman" w:hAnsi="Times New Roman" w:cs="Times New Roman"/>
              </w:rPr>
              <w:t xml:space="preserve"> </w:t>
            </w:r>
          </w:p>
        </w:tc>
      </w:tr>
      <w:tr w:rsidR="009233D3" w:rsidRPr="000B5C82" w14:paraId="5D8581FB" w14:textId="77777777" w:rsidTr="1A712BF5">
        <w:trPr>
          <w:trHeight w:val="551"/>
        </w:trPr>
        <w:tc>
          <w:tcPr>
            <w:tcW w:w="579" w:type="dxa"/>
            <w:tcBorders>
              <w:top w:val="single" w:sz="4" w:space="0" w:color="00000A"/>
              <w:left w:val="single" w:sz="4" w:space="0" w:color="00000A"/>
              <w:bottom w:val="single" w:sz="4" w:space="0" w:color="00000A"/>
              <w:right w:val="single" w:sz="4" w:space="0" w:color="00000A"/>
            </w:tcBorders>
            <w:vAlign w:val="center"/>
          </w:tcPr>
          <w:p w14:paraId="56793440"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lang w:val="it-IT"/>
              </w:rPr>
            </w:pPr>
          </w:p>
        </w:tc>
        <w:tc>
          <w:tcPr>
            <w:tcW w:w="1899" w:type="dxa"/>
            <w:vMerge/>
            <w:vAlign w:val="center"/>
          </w:tcPr>
          <w:p w14:paraId="02D6571E"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73D8C188" w14:textId="39D73DE2" w:rsidR="009233D3" w:rsidRPr="00E36706" w:rsidRDefault="5EB845D3" w:rsidP="00795250">
            <w:pPr>
              <w:tabs>
                <w:tab w:val="left" w:pos="993"/>
              </w:tabs>
              <w:spacing w:line="240" w:lineRule="auto"/>
              <w:jc w:val="both"/>
              <w:rPr>
                <w:lang w:val="en-US"/>
              </w:rPr>
            </w:pPr>
            <w:r w:rsidRPr="00E36706">
              <w:rPr>
                <w:rFonts w:ascii="Times New Roman" w:hAnsi="Times New Roman" w:cs="Times New Roman"/>
              </w:rPr>
              <w:t xml:space="preserve">Kompiuteris turi atitikti </w:t>
            </w:r>
            <w:r w:rsidR="64F5F4A3" w:rsidRPr="00E36706">
              <w:rPr>
                <w:rFonts w:ascii="Times New Roman" w:hAnsi="Times New Roman" w:cs="Times New Roman"/>
              </w:rPr>
              <w:t xml:space="preserve">vieną iš dviejų </w:t>
            </w:r>
            <w:r w:rsidRPr="00E36706">
              <w:rPr>
                <w:rFonts w:ascii="Times New Roman" w:hAnsi="Times New Roman" w:cs="Times New Roman"/>
              </w:rPr>
              <w:t>aukščiausio energinio efektyvumo klas</w:t>
            </w:r>
            <w:r w:rsidR="4EC5C4F9" w:rsidRPr="00E36706">
              <w:rPr>
                <w:rFonts w:ascii="Times New Roman" w:hAnsi="Times New Roman" w:cs="Times New Roman"/>
              </w:rPr>
              <w:t>ių</w:t>
            </w:r>
            <w:r w:rsidRPr="00E36706">
              <w:rPr>
                <w:rFonts w:ascii="Times New Roman" w:hAnsi="Times New Roman" w:cs="Times New Roman"/>
              </w:rPr>
              <w:t xml:space="preserve"> (prieinam</w:t>
            </w:r>
            <w:r w:rsidR="58F82233" w:rsidRPr="00E36706">
              <w:rPr>
                <w:rFonts w:ascii="Times New Roman" w:hAnsi="Times New Roman" w:cs="Times New Roman"/>
              </w:rPr>
              <w:t>ų</w:t>
            </w:r>
            <w:r w:rsidRPr="00E36706">
              <w:rPr>
                <w:rFonts w:ascii="Times New Roman" w:hAnsi="Times New Roman" w:cs="Times New Roman"/>
              </w:rPr>
              <w:t xml:space="preserve"> Lietuvos Respublikos rinkoje), nustatyt</w:t>
            </w:r>
            <w:r w:rsidR="1672A512" w:rsidRPr="00E36706">
              <w:rPr>
                <w:rFonts w:ascii="Times New Roman" w:hAnsi="Times New Roman" w:cs="Times New Roman"/>
              </w:rPr>
              <w:t>ų</w:t>
            </w:r>
            <w:r w:rsidRPr="00E36706">
              <w:rPr>
                <w:rFonts w:ascii="Times New Roman" w:hAnsi="Times New Roman" w:cs="Times New Roman"/>
              </w:rPr>
              <w:t xml:space="preserve">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795250" w:rsidRPr="00E36706">
              <w:rPr>
                <w:rStyle w:val="FootnoteReference"/>
                <w:rFonts w:ascii="Times New Roman" w:hAnsi="Times New Roman" w:cs="Times New Roman"/>
                <w:lang w:val="en-US"/>
              </w:rPr>
              <w:footnoteReference w:id="1"/>
            </w:r>
            <w:r w:rsidRPr="00E36706">
              <w:rPr>
                <w:rFonts w:ascii="Times New Roman" w:hAnsi="Times New Roman" w:cs="Times New Roman"/>
                <w:lang w:val="en-US"/>
              </w:rPr>
              <w:t xml:space="preserve">. </w:t>
            </w:r>
            <w:r w:rsidRPr="00E36706">
              <w:rPr>
                <w:rFonts w:ascii="Times New Roman" w:eastAsia="Times New Roman" w:hAnsi="Times New Roman" w:cs="Times New Roman"/>
              </w:rPr>
              <w:t>Kartu su pasiūlymu turi būti pateikta gaminio (-ių) atitikties deklaracija (-os), patvirtinanti (-čios), kad kompiuteris (-ės) atitinka Europos Komisijos reglamente dėl gaminių ekologinio projektavimo nurodytus reikalavimus, arba gamintojo techniniai dokumentai, arba kiti lygiaverčiai įrodymai.</w:t>
            </w:r>
          </w:p>
        </w:tc>
      </w:tr>
      <w:tr w:rsidR="00A9724F" w:rsidRPr="000B5C82" w14:paraId="334EC2D2" w14:textId="77777777" w:rsidTr="1A712BF5">
        <w:trPr>
          <w:trHeight w:val="551"/>
        </w:trPr>
        <w:tc>
          <w:tcPr>
            <w:tcW w:w="579" w:type="dxa"/>
            <w:tcBorders>
              <w:top w:val="single" w:sz="4" w:space="0" w:color="00000A"/>
              <w:left w:val="single" w:sz="4" w:space="0" w:color="00000A"/>
              <w:bottom w:val="single" w:sz="4" w:space="0" w:color="00000A"/>
              <w:right w:val="single" w:sz="4" w:space="0" w:color="00000A"/>
            </w:tcBorders>
            <w:vAlign w:val="center"/>
          </w:tcPr>
          <w:p w14:paraId="607D268B" w14:textId="77777777" w:rsidR="00A9724F" w:rsidRPr="000B5C82" w:rsidRDefault="00A9724F" w:rsidP="009233D3">
            <w:pPr>
              <w:pStyle w:val="ListParagraph"/>
              <w:widowControl w:val="0"/>
              <w:numPr>
                <w:ilvl w:val="1"/>
                <w:numId w:val="5"/>
              </w:numPr>
              <w:suppressAutoHyphens/>
              <w:spacing w:line="276" w:lineRule="auto"/>
              <w:ind w:hanging="792"/>
              <w:rPr>
                <w:rFonts w:ascii="Times New Roman" w:eastAsia="Times New Roman" w:hAnsi="Times New Roman" w:cs="Times New Roman"/>
                <w:lang w:val="it-IT"/>
              </w:rPr>
            </w:pPr>
          </w:p>
        </w:tc>
        <w:tc>
          <w:tcPr>
            <w:tcW w:w="1899" w:type="dxa"/>
            <w:vMerge/>
            <w:vAlign w:val="center"/>
          </w:tcPr>
          <w:p w14:paraId="3C3C8028" w14:textId="77777777" w:rsidR="00A9724F" w:rsidRPr="00E36706" w:rsidRDefault="00A9724F">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780D5A51" w14:textId="7FFF5CA7" w:rsidR="00A9724F" w:rsidRPr="00E36706" w:rsidRDefault="7A5F4635" w:rsidP="00906F32">
            <w:pPr>
              <w:tabs>
                <w:tab w:val="left" w:pos="993"/>
              </w:tabs>
              <w:spacing w:line="240" w:lineRule="auto"/>
              <w:jc w:val="both"/>
              <w:rPr>
                <w:rFonts w:ascii="Times New Roman" w:eastAsia="Times New Roman" w:hAnsi="Times New Roman" w:cs="Times New Roman"/>
              </w:rPr>
            </w:pPr>
            <w:r w:rsidRPr="00E36706">
              <w:rPr>
                <w:rFonts w:ascii="Times New Roman" w:hAnsi="Times New Roman" w:cs="Times New Roman"/>
              </w:rPr>
              <w:t>Siūlant nešiojamą kompiuterį ir prie jo priderintą monitorių, nešiojamo kompiuteri</w:t>
            </w:r>
            <w:r w:rsidR="371A786C" w:rsidRPr="00E36706">
              <w:rPr>
                <w:rFonts w:ascii="Times New Roman" w:hAnsi="Times New Roman" w:cs="Times New Roman"/>
              </w:rPr>
              <w:t>o</w:t>
            </w:r>
            <w:r w:rsidRPr="00E36706">
              <w:rPr>
                <w:rFonts w:ascii="Times New Roman" w:hAnsi="Times New Roman" w:cs="Times New Roman"/>
              </w:rPr>
              <w:t xml:space="preserve"> </w:t>
            </w:r>
            <w:r w:rsidR="0CAA9D70" w:rsidRPr="00E36706">
              <w:rPr>
                <w:rFonts w:ascii="Times New Roman" w:hAnsi="Times New Roman" w:cs="Times New Roman"/>
              </w:rPr>
              <w:t xml:space="preserve">baterijos </w:t>
            </w:r>
            <w:r w:rsidRPr="00E36706">
              <w:rPr>
                <w:rFonts w:ascii="Times New Roman" w:hAnsi="Times New Roman" w:cs="Times New Roman"/>
              </w:rPr>
              <w:t>būklė po 300 ciklų turi būti ≥ 80 proc. Bandymai turi būti atlikti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00906F32" w:rsidRPr="00E36706">
              <w:rPr>
                <w:rStyle w:val="FootnoteReference"/>
                <w:rFonts w:ascii="Times New Roman" w:hAnsi="Times New Roman" w:cs="Times New Roman"/>
              </w:rPr>
              <w:footnoteReference w:id="2"/>
            </w:r>
            <w:r w:rsidRPr="00E36706">
              <w:rPr>
                <w:rFonts w:ascii="Times New Roman" w:hAnsi="Times New Roman" w:cs="Times New Roman"/>
              </w:rPr>
              <w:t xml:space="preserve">. </w:t>
            </w:r>
          </w:p>
        </w:tc>
      </w:tr>
      <w:tr w:rsidR="00A9724F" w:rsidRPr="000B5C82" w14:paraId="76F23ED5" w14:textId="77777777" w:rsidTr="1A712BF5">
        <w:trPr>
          <w:trHeight w:val="551"/>
        </w:trPr>
        <w:tc>
          <w:tcPr>
            <w:tcW w:w="579" w:type="dxa"/>
            <w:tcBorders>
              <w:top w:val="single" w:sz="4" w:space="0" w:color="00000A"/>
              <w:left w:val="single" w:sz="4" w:space="0" w:color="00000A"/>
              <w:bottom w:val="single" w:sz="4" w:space="0" w:color="00000A"/>
              <w:right w:val="single" w:sz="4" w:space="0" w:color="00000A"/>
            </w:tcBorders>
            <w:vAlign w:val="center"/>
          </w:tcPr>
          <w:p w14:paraId="72FDDB26" w14:textId="77777777" w:rsidR="00A9724F" w:rsidRPr="000B5C82" w:rsidRDefault="00A9724F" w:rsidP="009233D3">
            <w:pPr>
              <w:pStyle w:val="ListParagraph"/>
              <w:widowControl w:val="0"/>
              <w:numPr>
                <w:ilvl w:val="1"/>
                <w:numId w:val="5"/>
              </w:numPr>
              <w:suppressAutoHyphens/>
              <w:spacing w:line="276" w:lineRule="auto"/>
              <w:ind w:hanging="792"/>
              <w:rPr>
                <w:rFonts w:ascii="Times New Roman" w:eastAsia="Times New Roman" w:hAnsi="Times New Roman" w:cs="Times New Roman"/>
                <w:lang w:val="it-IT"/>
              </w:rPr>
            </w:pPr>
          </w:p>
        </w:tc>
        <w:tc>
          <w:tcPr>
            <w:tcW w:w="1899" w:type="dxa"/>
            <w:vMerge/>
            <w:vAlign w:val="center"/>
          </w:tcPr>
          <w:p w14:paraId="0FCD3EB0" w14:textId="77777777" w:rsidR="00A9724F" w:rsidRPr="00E36706" w:rsidRDefault="00A9724F">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4FEA9F68" w14:textId="7E8EB3F2" w:rsidR="00A9724F" w:rsidRPr="00E36706" w:rsidRDefault="7C0C44E9" w:rsidP="1A712BF5">
            <w:pPr>
              <w:tabs>
                <w:tab w:val="left" w:pos="993"/>
              </w:tabs>
              <w:spacing w:line="240" w:lineRule="auto"/>
              <w:jc w:val="both"/>
              <w:rPr>
                <w:rFonts w:ascii="Times New Roman" w:eastAsia="Times New Roman" w:hAnsi="Times New Roman" w:cs="Times New Roman"/>
              </w:rPr>
            </w:pPr>
            <w:r w:rsidRPr="1A712BF5">
              <w:rPr>
                <w:rFonts w:ascii="Times New Roman" w:eastAsia="Times New Roman" w:hAnsi="Times New Roman" w:cs="Times New Roman"/>
              </w:rPr>
              <w:t>Kompiuteris turi turėti bent vieną standartinį USB C™ tipo lizdą (prievadą), skirtą keistis duomenimis ir pasižymintį atgaliniu suderinamumu su USB 2.0, atsižvelgiant į IEC 62680-1-3:2018 arba lygiavertį standartą.</w:t>
            </w:r>
          </w:p>
        </w:tc>
      </w:tr>
      <w:tr w:rsidR="00A9724F" w:rsidRPr="000B5C82" w14:paraId="4C3E9E2A" w14:textId="77777777" w:rsidTr="1A712BF5">
        <w:trPr>
          <w:trHeight w:val="551"/>
        </w:trPr>
        <w:tc>
          <w:tcPr>
            <w:tcW w:w="579" w:type="dxa"/>
            <w:tcBorders>
              <w:top w:val="single" w:sz="4" w:space="0" w:color="00000A"/>
              <w:left w:val="single" w:sz="4" w:space="0" w:color="00000A"/>
              <w:bottom w:val="single" w:sz="4" w:space="0" w:color="00000A"/>
              <w:right w:val="single" w:sz="4" w:space="0" w:color="00000A"/>
            </w:tcBorders>
            <w:vAlign w:val="center"/>
          </w:tcPr>
          <w:p w14:paraId="7208F883" w14:textId="77777777" w:rsidR="00A9724F" w:rsidRPr="000B5C82" w:rsidRDefault="00A9724F" w:rsidP="009233D3">
            <w:pPr>
              <w:pStyle w:val="ListParagraph"/>
              <w:widowControl w:val="0"/>
              <w:numPr>
                <w:ilvl w:val="1"/>
                <w:numId w:val="5"/>
              </w:numPr>
              <w:suppressAutoHyphens/>
              <w:spacing w:line="276" w:lineRule="auto"/>
              <w:ind w:hanging="792"/>
              <w:rPr>
                <w:rFonts w:ascii="Times New Roman" w:eastAsia="Times New Roman" w:hAnsi="Times New Roman" w:cs="Times New Roman"/>
                <w:lang w:val="it-IT"/>
              </w:rPr>
            </w:pPr>
          </w:p>
        </w:tc>
        <w:tc>
          <w:tcPr>
            <w:tcW w:w="1899" w:type="dxa"/>
            <w:vMerge/>
            <w:vAlign w:val="center"/>
          </w:tcPr>
          <w:p w14:paraId="5D32BB24" w14:textId="77777777" w:rsidR="00A9724F" w:rsidRPr="00E36706" w:rsidRDefault="00A9724F">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7E423029" w14:textId="568E959F" w:rsidR="00A9724F" w:rsidRPr="00E36706" w:rsidRDefault="00A9724F">
            <w:pPr>
              <w:widowControl w:val="0"/>
              <w:jc w:val="both"/>
              <w:rPr>
                <w:rFonts w:ascii="Times New Roman" w:eastAsia="Times New Roman" w:hAnsi="Times New Roman" w:cs="Times New Roman"/>
              </w:rPr>
            </w:pPr>
            <w:r w:rsidRPr="00E36706">
              <w:rPr>
                <w:rFonts w:ascii="Times New Roman" w:eastAsia="Times New Roman" w:hAnsi="Times New Roman" w:cs="Times New Roman"/>
              </w:rPr>
              <w:t>Automatiškai valdyti visą sistemą, leisti organizuoti automatinį nepertraukiamą visų mazgų programinį valdymą, tenkinantį anksčiau nurodytus techninius reikalavimus, duomenų surinkimą, apdorojimą, saugojimą ir spausdinimą.</w:t>
            </w:r>
          </w:p>
        </w:tc>
      </w:tr>
      <w:tr w:rsidR="009233D3" w:rsidRPr="000B5C82" w14:paraId="58719BDE" w14:textId="77777777" w:rsidTr="1A712BF5">
        <w:trPr>
          <w:trHeight w:val="460"/>
        </w:trPr>
        <w:tc>
          <w:tcPr>
            <w:tcW w:w="579" w:type="dxa"/>
            <w:tcBorders>
              <w:top w:val="single" w:sz="4" w:space="0" w:color="00000A"/>
              <w:left w:val="single" w:sz="4" w:space="0" w:color="00000A"/>
              <w:bottom w:val="single" w:sz="4" w:space="0" w:color="00000A"/>
              <w:right w:val="single" w:sz="4" w:space="0" w:color="00000A"/>
            </w:tcBorders>
            <w:vAlign w:val="center"/>
          </w:tcPr>
          <w:p w14:paraId="65D8699A" w14:textId="77777777" w:rsidR="009233D3" w:rsidRPr="000B5C82" w:rsidRDefault="009233D3" w:rsidP="009233D3">
            <w:pPr>
              <w:pStyle w:val="ListParagraph"/>
              <w:widowControl w:val="0"/>
              <w:numPr>
                <w:ilvl w:val="1"/>
                <w:numId w:val="5"/>
              </w:numPr>
              <w:suppressAutoHyphens/>
              <w:spacing w:line="276" w:lineRule="auto"/>
              <w:ind w:hanging="724"/>
              <w:rPr>
                <w:rFonts w:ascii="Times New Roman" w:eastAsia="Times New Roman" w:hAnsi="Times New Roman" w:cs="Times New Roman"/>
              </w:rPr>
            </w:pPr>
          </w:p>
        </w:tc>
        <w:tc>
          <w:tcPr>
            <w:tcW w:w="1899" w:type="dxa"/>
            <w:vMerge/>
            <w:vAlign w:val="center"/>
          </w:tcPr>
          <w:p w14:paraId="3A58169B"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60681418" w14:textId="2C2CB1B5"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 xml:space="preserve">Programinė prietaiso įranga turi veikti </w:t>
            </w:r>
            <w:r w:rsidR="00C72CD2" w:rsidRPr="00E36706">
              <w:rPr>
                <w:rFonts w:ascii="Times New Roman" w:eastAsia="Times New Roman" w:hAnsi="Times New Roman" w:cs="Times New Roman"/>
              </w:rPr>
              <w:t xml:space="preserve">Microsoft Windows 11 </w:t>
            </w:r>
            <w:r w:rsidRPr="00E36706">
              <w:rPr>
                <w:rFonts w:ascii="Times New Roman" w:eastAsia="Times New Roman" w:hAnsi="Times New Roman" w:cs="Times New Roman"/>
              </w:rPr>
              <w:t xml:space="preserve">aplinkoje arba lygiavertėje. Turi atvaizduoti analizuojamų elementų emisines smailes. </w:t>
            </w:r>
          </w:p>
          <w:p w14:paraId="13D7CA1E"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 xml:space="preserve">Programinė įranga privalo turėti surinktų kiekybinių rezultatų diagnostines </w:t>
            </w:r>
            <w:r w:rsidRPr="00E36706">
              <w:rPr>
                <w:rFonts w:ascii="Times New Roman" w:eastAsia="Times New Roman" w:hAnsi="Times New Roman" w:cs="Times New Roman"/>
              </w:rPr>
              <w:lastRenderedPageBreak/>
              <w:t xml:space="preserve">funkcijas sumažinant klaidingų kiekybinių rezultatų galimybę, kai įvertinamas ir pasiūlomas sprendimas kaip eliminuoti multi-elementinių spektrų interferencijas. Privaloma ir interelementinės korekcijas funkcija (IEC), kai parametrai parenkami automatiškai.   </w:t>
            </w:r>
          </w:p>
        </w:tc>
      </w:tr>
      <w:tr w:rsidR="009233D3" w:rsidRPr="000B5C82" w14:paraId="5A9531F9" w14:textId="77777777" w:rsidTr="1A712BF5">
        <w:trPr>
          <w:trHeight w:val="460"/>
        </w:trPr>
        <w:tc>
          <w:tcPr>
            <w:tcW w:w="579" w:type="dxa"/>
            <w:tcBorders>
              <w:top w:val="single" w:sz="4" w:space="0" w:color="00000A"/>
              <w:left w:val="single" w:sz="4" w:space="0" w:color="00000A"/>
              <w:bottom w:val="single" w:sz="4" w:space="0" w:color="00000A"/>
              <w:right w:val="single" w:sz="4" w:space="0" w:color="00000A"/>
            </w:tcBorders>
            <w:vAlign w:val="center"/>
          </w:tcPr>
          <w:p w14:paraId="19756B9E" w14:textId="77777777" w:rsidR="009233D3" w:rsidRPr="000B5C82" w:rsidRDefault="009233D3" w:rsidP="009233D3">
            <w:pPr>
              <w:pStyle w:val="ListParagraph"/>
              <w:widowControl w:val="0"/>
              <w:numPr>
                <w:ilvl w:val="1"/>
                <w:numId w:val="5"/>
              </w:numPr>
              <w:suppressAutoHyphens/>
              <w:spacing w:line="276" w:lineRule="auto"/>
              <w:ind w:hanging="724"/>
              <w:rPr>
                <w:rFonts w:ascii="Times New Roman" w:eastAsia="Times New Roman" w:hAnsi="Times New Roman" w:cs="Times New Roman"/>
              </w:rPr>
            </w:pPr>
          </w:p>
        </w:tc>
        <w:tc>
          <w:tcPr>
            <w:tcW w:w="1899" w:type="dxa"/>
            <w:vMerge/>
            <w:vAlign w:val="center"/>
          </w:tcPr>
          <w:p w14:paraId="48AE4951"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613F75C0"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 xml:space="preserve">Privaloma automatinė pusiau kiekybinės analizės funkcija, kai neturint kalibracinių kreivių, paskaičiuojamos visų galimų sistema nustatyti elementų apytikslės koncentracijos (koncentracijų rėžiai). </w:t>
            </w:r>
          </w:p>
        </w:tc>
      </w:tr>
      <w:tr w:rsidR="009233D3" w:rsidRPr="000B5C82" w14:paraId="1C53D896" w14:textId="77777777" w:rsidTr="1A712BF5">
        <w:trPr>
          <w:trHeight w:val="460"/>
        </w:trPr>
        <w:tc>
          <w:tcPr>
            <w:tcW w:w="579" w:type="dxa"/>
            <w:tcBorders>
              <w:top w:val="single" w:sz="4" w:space="0" w:color="00000A"/>
              <w:left w:val="single" w:sz="4" w:space="0" w:color="00000A"/>
              <w:bottom w:val="single" w:sz="4" w:space="0" w:color="00000A"/>
              <w:right w:val="single" w:sz="4" w:space="0" w:color="00000A"/>
            </w:tcBorders>
            <w:vAlign w:val="center"/>
          </w:tcPr>
          <w:p w14:paraId="28AAF487" w14:textId="77777777" w:rsidR="009233D3" w:rsidRPr="000B5C82" w:rsidRDefault="009233D3" w:rsidP="009233D3">
            <w:pPr>
              <w:pStyle w:val="ListParagraph"/>
              <w:widowControl w:val="0"/>
              <w:numPr>
                <w:ilvl w:val="1"/>
                <w:numId w:val="5"/>
              </w:numPr>
              <w:suppressAutoHyphens/>
              <w:spacing w:line="276" w:lineRule="auto"/>
              <w:ind w:hanging="724"/>
              <w:rPr>
                <w:rFonts w:ascii="Times New Roman" w:eastAsia="Times New Roman" w:hAnsi="Times New Roman" w:cs="Times New Roman"/>
              </w:rPr>
            </w:pPr>
          </w:p>
        </w:tc>
        <w:tc>
          <w:tcPr>
            <w:tcW w:w="1899" w:type="dxa"/>
            <w:vMerge/>
            <w:vAlign w:val="center"/>
          </w:tcPr>
          <w:p w14:paraId="41739511"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0A2A8598"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Programinė įranga turi turėti funkcionalumą, leidžiantį vieno mėginio analizės pagrindu kurti ir/arba optimizuoti kiekybinio nustatymo metodą. Sistema turi sudaryti galimybę automatiškai arba naudotojo iniciatyva parinkti tinkamus bangos ilgius, kalibravimo parametrus bei instrumentines matavimo sąlygas, atsižvelgiant į galimas matricos interferencijas.</w:t>
            </w:r>
          </w:p>
        </w:tc>
      </w:tr>
      <w:tr w:rsidR="009233D3" w:rsidRPr="000B5C82" w14:paraId="6B02EC7C" w14:textId="77777777" w:rsidTr="1A712BF5">
        <w:trPr>
          <w:trHeight w:val="1240"/>
        </w:trPr>
        <w:tc>
          <w:tcPr>
            <w:tcW w:w="579" w:type="dxa"/>
            <w:tcBorders>
              <w:top w:val="single" w:sz="4" w:space="0" w:color="00000A"/>
              <w:left w:val="single" w:sz="4" w:space="0" w:color="00000A"/>
              <w:bottom w:val="single" w:sz="4" w:space="0" w:color="00000A"/>
              <w:right w:val="single" w:sz="4" w:space="0" w:color="00000A"/>
            </w:tcBorders>
            <w:vAlign w:val="center"/>
          </w:tcPr>
          <w:p w14:paraId="57A8A717"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rPr>
            </w:pPr>
          </w:p>
        </w:tc>
        <w:tc>
          <w:tcPr>
            <w:tcW w:w="1899" w:type="dxa"/>
            <w:vMerge/>
            <w:vAlign w:val="center"/>
          </w:tcPr>
          <w:p w14:paraId="7C1F0AD3"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4DEF28F4"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 xml:space="preserve">Visi tyrimo metu gauti duomenys turi būti išsaugojami ir leidžiama vėliau atlikti automatinio perskaičiavimo veiksmus, įskaitant ir spektro smailių skaičiavimo korekcijas, standartų verčių pokyčius, ar papildomų elementų ar alternatyvių jų bangos ilgių pridėjimus ir skaičiavimus. </w:t>
            </w:r>
          </w:p>
        </w:tc>
      </w:tr>
      <w:tr w:rsidR="009233D3" w:rsidRPr="000B5C82" w14:paraId="0C754862" w14:textId="77777777" w:rsidTr="1A712BF5">
        <w:trPr>
          <w:trHeight w:val="770"/>
        </w:trPr>
        <w:tc>
          <w:tcPr>
            <w:tcW w:w="579" w:type="dxa"/>
            <w:tcBorders>
              <w:top w:val="single" w:sz="4" w:space="0" w:color="00000A"/>
              <w:left w:val="single" w:sz="4" w:space="0" w:color="00000A"/>
              <w:bottom w:val="single" w:sz="4" w:space="0" w:color="00000A"/>
              <w:right w:val="single" w:sz="4" w:space="0" w:color="00000A"/>
            </w:tcBorders>
            <w:vAlign w:val="center"/>
          </w:tcPr>
          <w:p w14:paraId="6A3734B3"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rPr>
            </w:pPr>
          </w:p>
        </w:tc>
        <w:tc>
          <w:tcPr>
            <w:tcW w:w="1899" w:type="dxa"/>
            <w:vMerge/>
            <w:vAlign w:val="center"/>
          </w:tcPr>
          <w:p w14:paraId="62EDA758"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5239BF86"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 xml:space="preserve">Programinė įranga turi turėti visų matuojamų elementų ICP-OES prietaisu bangos ilgių biblioteką, kai pasirinkus norimą elementą, pasiūlomi galimi naudoti emisijos bangos ilgiai. Programinė įranga turi leisti registruoti ir papildomus bangos ilgius visame galimame sistemos bangos ilgių diapazone, nesančius programos bibliotekoje.  </w:t>
            </w:r>
          </w:p>
        </w:tc>
      </w:tr>
      <w:tr w:rsidR="009233D3" w:rsidRPr="000B5C82" w14:paraId="4261BC43" w14:textId="77777777" w:rsidTr="1A712BF5">
        <w:trPr>
          <w:trHeight w:val="770"/>
        </w:trPr>
        <w:tc>
          <w:tcPr>
            <w:tcW w:w="579" w:type="dxa"/>
            <w:tcBorders>
              <w:top w:val="single" w:sz="4" w:space="0" w:color="00000A"/>
              <w:left w:val="single" w:sz="4" w:space="0" w:color="00000A"/>
              <w:bottom w:val="single" w:sz="4" w:space="0" w:color="00000A"/>
              <w:right w:val="single" w:sz="4" w:space="0" w:color="00000A"/>
            </w:tcBorders>
            <w:vAlign w:val="center"/>
          </w:tcPr>
          <w:p w14:paraId="0A667CC5"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rPr>
            </w:pPr>
          </w:p>
        </w:tc>
        <w:tc>
          <w:tcPr>
            <w:tcW w:w="1899" w:type="dxa"/>
            <w:vMerge/>
            <w:vAlign w:val="center"/>
          </w:tcPr>
          <w:p w14:paraId="18CD48A4"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16688277"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 xml:space="preserve">Privaloma automatinė optimalių bangos ilgių kiekybiniams skaičiavimas parinkimo funkcija, atsižvelgianti į mėginyje esančių kitų elementų interferencijas. </w:t>
            </w:r>
          </w:p>
        </w:tc>
      </w:tr>
      <w:tr w:rsidR="009233D3" w:rsidRPr="000B5C82" w14:paraId="1692BDBD" w14:textId="77777777" w:rsidTr="1A712BF5">
        <w:trPr>
          <w:trHeight w:val="770"/>
        </w:trPr>
        <w:tc>
          <w:tcPr>
            <w:tcW w:w="579" w:type="dxa"/>
            <w:tcBorders>
              <w:top w:val="single" w:sz="4" w:space="0" w:color="00000A"/>
              <w:left w:val="single" w:sz="4" w:space="0" w:color="00000A"/>
              <w:bottom w:val="single" w:sz="4" w:space="0" w:color="00000A"/>
              <w:right w:val="single" w:sz="4" w:space="0" w:color="00000A"/>
            </w:tcBorders>
            <w:vAlign w:val="center"/>
          </w:tcPr>
          <w:p w14:paraId="3A80368C" w14:textId="77777777" w:rsidR="009233D3" w:rsidRPr="000B5C82" w:rsidRDefault="009233D3" w:rsidP="009233D3">
            <w:pPr>
              <w:pStyle w:val="ListParagraph"/>
              <w:widowControl w:val="0"/>
              <w:numPr>
                <w:ilvl w:val="1"/>
                <w:numId w:val="5"/>
              </w:numPr>
              <w:suppressAutoHyphens/>
              <w:spacing w:line="276" w:lineRule="auto"/>
              <w:ind w:hanging="792"/>
              <w:rPr>
                <w:rFonts w:ascii="Times New Roman" w:eastAsia="Times New Roman" w:hAnsi="Times New Roman" w:cs="Times New Roman"/>
              </w:rPr>
            </w:pPr>
          </w:p>
        </w:tc>
        <w:tc>
          <w:tcPr>
            <w:tcW w:w="1899" w:type="dxa"/>
            <w:vMerge/>
            <w:vAlign w:val="center"/>
          </w:tcPr>
          <w:p w14:paraId="63B97B63" w14:textId="77777777" w:rsidR="009233D3" w:rsidRPr="00E36706" w:rsidRDefault="009233D3">
            <w:pPr>
              <w:widowControl w:val="0"/>
              <w:rPr>
                <w:rFonts w:ascii="Times New Roman" w:eastAsia="Times New Roman" w:hAnsi="Times New Roman" w:cs="Times New Roman"/>
              </w:rPr>
            </w:pPr>
          </w:p>
        </w:tc>
        <w:tc>
          <w:tcPr>
            <w:tcW w:w="7150" w:type="dxa"/>
            <w:tcBorders>
              <w:top w:val="single" w:sz="4" w:space="0" w:color="00000A"/>
              <w:left w:val="single" w:sz="4" w:space="0" w:color="00000A"/>
              <w:bottom w:val="single" w:sz="4" w:space="0" w:color="00000A"/>
              <w:right w:val="single" w:sz="4" w:space="0" w:color="00000A"/>
            </w:tcBorders>
            <w:vAlign w:val="center"/>
          </w:tcPr>
          <w:p w14:paraId="5DBF7FB2"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 xml:space="preserve">Optimaliam mėginio užsiurbimo laiko nustatymui, privaloma funkcija, leidžianti realiu laiku stebėti ne mažiau nei trijų skirtingų bangos ilgių intensyvumo laike kreives. </w:t>
            </w:r>
          </w:p>
        </w:tc>
      </w:tr>
      <w:tr w:rsidR="009233D3" w:rsidRPr="000B5C82" w14:paraId="2E0B19A9" w14:textId="77777777" w:rsidTr="1A712BF5">
        <w:trPr>
          <w:trHeight w:val="770"/>
        </w:trPr>
        <w:tc>
          <w:tcPr>
            <w:tcW w:w="579" w:type="dxa"/>
            <w:tcBorders>
              <w:top w:val="single" w:sz="4" w:space="0" w:color="00000A"/>
              <w:left w:val="single" w:sz="4" w:space="0" w:color="00000A"/>
              <w:bottom w:val="single" w:sz="4" w:space="0" w:color="00000A"/>
              <w:right w:val="single" w:sz="4" w:space="0" w:color="00000A"/>
            </w:tcBorders>
            <w:vAlign w:val="center"/>
          </w:tcPr>
          <w:p w14:paraId="1685A89F" w14:textId="77777777" w:rsidR="009233D3" w:rsidRPr="000B5C82" w:rsidRDefault="009233D3" w:rsidP="009233D3">
            <w:pPr>
              <w:pStyle w:val="ListParagraph"/>
              <w:widowControl w:val="0"/>
              <w:numPr>
                <w:ilvl w:val="0"/>
                <w:numId w:val="5"/>
              </w:numPr>
              <w:suppressAutoHyphens/>
              <w:spacing w:line="276" w:lineRule="auto"/>
              <w:rPr>
                <w:rFonts w:ascii="Times New Roman" w:eastAsia="Times New Roman" w:hAnsi="Times New Roman" w:cs="Times New Roman"/>
              </w:rPr>
            </w:pPr>
          </w:p>
        </w:tc>
        <w:tc>
          <w:tcPr>
            <w:tcW w:w="1899" w:type="dxa"/>
            <w:tcBorders>
              <w:top w:val="single" w:sz="4" w:space="0" w:color="00000A"/>
              <w:left w:val="single" w:sz="4" w:space="0" w:color="00000A"/>
              <w:bottom w:val="single" w:sz="4" w:space="0" w:color="00000A"/>
              <w:right w:val="single" w:sz="4" w:space="0" w:color="00000A"/>
            </w:tcBorders>
            <w:vAlign w:val="center"/>
          </w:tcPr>
          <w:p w14:paraId="20A28EA4" w14:textId="77777777" w:rsidR="009233D3" w:rsidRPr="00E36706" w:rsidRDefault="009233D3">
            <w:pPr>
              <w:widowControl w:val="0"/>
              <w:rPr>
                <w:rFonts w:ascii="Times New Roman" w:eastAsia="Times New Roman" w:hAnsi="Times New Roman" w:cs="Times New Roman"/>
              </w:rPr>
            </w:pPr>
            <w:r w:rsidRPr="00E36706">
              <w:rPr>
                <w:rFonts w:ascii="Times New Roman" w:eastAsia="Times New Roman" w:hAnsi="Times New Roman" w:cs="Times New Roman"/>
              </w:rPr>
              <w:t>Spektrometro įrangos įrengimas</w:t>
            </w:r>
          </w:p>
        </w:tc>
        <w:tc>
          <w:tcPr>
            <w:tcW w:w="7150" w:type="dxa"/>
            <w:tcBorders>
              <w:top w:val="single" w:sz="4" w:space="0" w:color="00000A"/>
              <w:left w:val="single" w:sz="4" w:space="0" w:color="00000A"/>
              <w:bottom w:val="single" w:sz="4" w:space="0" w:color="00000A"/>
              <w:right w:val="single" w:sz="4" w:space="0" w:color="00000A"/>
            </w:tcBorders>
            <w:vAlign w:val="center"/>
          </w:tcPr>
          <w:p w14:paraId="22E1C693" w14:textId="0D97E3BB" w:rsidR="42F52AF2" w:rsidRDefault="42F52AF2" w:rsidP="1A712BF5">
            <w:pPr>
              <w:widowControl w:val="0"/>
              <w:spacing w:line="276" w:lineRule="auto"/>
              <w:jc w:val="both"/>
              <w:rPr>
                <w:rFonts w:ascii="Times New Roman" w:eastAsia="Times New Roman" w:hAnsi="Times New Roman" w:cs="Times New Roman"/>
              </w:rPr>
            </w:pPr>
            <w:r w:rsidRPr="1A712BF5">
              <w:rPr>
                <w:rFonts w:ascii="Times New Roman" w:eastAsia="Times New Roman" w:hAnsi="Times New Roman" w:cs="Times New Roman"/>
              </w:rPr>
              <w:t>Sistemai privalo užtekti vienos fazės elektros tiekimo, pajungimas atliekamas tiekėjo.</w:t>
            </w:r>
          </w:p>
          <w:p w14:paraId="2A66AA1E" w14:textId="4405C2E4" w:rsidR="42F52AF2" w:rsidRDefault="42F52AF2" w:rsidP="1A712BF5">
            <w:pPr>
              <w:spacing w:before="240" w:after="240"/>
              <w:jc w:val="both"/>
              <w:rPr>
                <w:rFonts w:ascii="Times New Roman" w:eastAsia="Times New Roman" w:hAnsi="Times New Roman" w:cs="Times New Roman"/>
              </w:rPr>
            </w:pPr>
            <w:r w:rsidRPr="1A712BF5">
              <w:rPr>
                <w:rFonts w:ascii="Times New Roman" w:eastAsia="Times New Roman" w:hAnsi="Times New Roman" w:cs="Times New Roman"/>
              </w:rPr>
              <w:t xml:space="preserve">Tiekėjas pajungia prietaisą prie esamo ventiliacijos ortakio patalpoje karšto oro ventiliaciniam ištraukimui, kurio srautas neturi viršyti 2,5 m3/min. </w:t>
            </w:r>
          </w:p>
          <w:p w14:paraId="5FB1A496" w14:textId="060EA8B0" w:rsidR="42F52AF2" w:rsidRDefault="42F52AF2" w:rsidP="1A712BF5">
            <w:pPr>
              <w:spacing w:before="240" w:after="240"/>
              <w:jc w:val="both"/>
              <w:rPr>
                <w:rFonts w:ascii="Times New Roman" w:eastAsia="Times New Roman" w:hAnsi="Times New Roman" w:cs="Times New Roman"/>
              </w:rPr>
            </w:pPr>
            <w:r w:rsidRPr="1A712BF5">
              <w:rPr>
                <w:rFonts w:ascii="Times New Roman" w:eastAsia="Times New Roman" w:hAnsi="Times New Roman" w:cs="Times New Roman"/>
              </w:rPr>
              <w:t>Tiekėjas privalo tinkamai pagal reikalavimus pajungti prietaisą prie argono balionų, kur privalo būti išpildyti reikalavimai:</w:t>
            </w:r>
          </w:p>
          <w:p w14:paraId="522B89F1" w14:textId="3A338A6A" w:rsidR="42F52AF2" w:rsidRDefault="42F52AF2" w:rsidP="1A712BF5">
            <w:pPr>
              <w:pStyle w:val="ListParagraph"/>
              <w:numPr>
                <w:ilvl w:val="0"/>
                <w:numId w:val="4"/>
              </w:numPr>
              <w:spacing w:before="240" w:after="240"/>
              <w:ind w:left="0" w:firstLine="0"/>
              <w:jc w:val="both"/>
              <w:rPr>
                <w:rFonts w:ascii="Times New Roman" w:eastAsia="Times New Roman" w:hAnsi="Times New Roman" w:cs="Times New Roman"/>
              </w:rPr>
            </w:pPr>
            <w:r w:rsidRPr="1A712BF5">
              <w:rPr>
                <w:rFonts w:ascii="Times New Roman" w:eastAsia="Times New Roman" w:hAnsi="Times New Roman" w:cs="Times New Roman"/>
              </w:rPr>
              <w:t>Perju</w:t>
            </w:r>
            <w:r w:rsidR="0FE190B4" w:rsidRPr="1A712BF5">
              <w:rPr>
                <w:rFonts w:ascii="Times New Roman" w:eastAsia="Times New Roman" w:hAnsi="Times New Roman" w:cs="Times New Roman"/>
              </w:rPr>
              <w:t>ngimas</w:t>
            </w:r>
            <w:r w:rsidRPr="1A712BF5">
              <w:rPr>
                <w:rFonts w:ascii="Times New Roman" w:eastAsia="Times New Roman" w:hAnsi="Times New Roman" w:cs="Times New Roman"/>
              </w:rPr>
              <w:t xml:space="preserve"> tarp dviejų balionų su redukavimo sistema su manometru bei slėgio reguliavimu. Privalomi srauto uždarymo kraneliai ir balionų linijų prapūtimo kranai. </w:t>
            </w:r>
          </w:p>
          <w:p w14:paraId="1D589A14" w14:textId="291B84F0" w:rsidR="42F52AF2" w:rsidRDefault="42F52AF2" w:rsidP="1A712BF5">
            <w:pPr>
              <w:pStyle w:val="ListParagraph"/>
              <w:numPr>
                <w:ilvl w:val="0"/>
                <w:numId w:val="4"/>
              </w:numPr>
              <w:spacing w:before="240" w:after="240"/>
              <w:ind w:left="0" w:firstLine="0"/>
              <w:jc w:val="both"/>
              <w:rPr>
                <w:rFonts w:ascii="Times New Roman" w:eastAsia="Times New Roman" w:hAnsi="Times New Roman" w:cs="Times New Roman"/>
              </w:rPr>
            </w:pPr>
            <w:r w:rsidRPr="1A712BF5">
              <w:rPr>
                <w:rFonts w:ascii="Times New Roman" w:eastAsia="Times New Roman" w:hAnsi="Times New Roman" w:cs="Times New Roman"/>
              </w:rPr>
              <w:t>Privalomas galinio taško ant sienos funk</w:t>
            </w:r>
            <w:r w:rsidR="7F848B13" w:rsidRPr="1A712BF5">
              <w:rPr>
                <w:rFonts w:ascii="Times New Roman" w:eastAsia="Times New Roman" w:hAnsi="Times New Roman" w:cs="Times New Roman"/>
              </w:rPr>
              <w:t>c</w:t>
            </w:r>
            <w:r w:rsidRPr="1A712BF5">
              <w:rPr>
                <w:rFonts w:ascii="Times New Roman" w:eastAsia="Times New Roman" w:hAnsi="Times New Roman" w:cs="Times New Roman"/>
              </w:rPr>
              <w:t xml:space="preserve">ionalumas su slėgio reguliavimu ir srauto uždarymo kraneliu. </w:t>
            </w:r>
          </w:p>
          <w:p w14:paraId="6FDBFD34" w14:textId="3161FFB7" w:rsidR="42F52AF2" w:rsidRDefault="42F52AF2" w:rsidP="1A712BF5">
            <w:pPr>
              <w:pStyle w:val="ListParagraph"/>
              <w:numPr>
                <w:ilvl w:val="0"/>
                <w:numId w:val="4"/>
              </w:numPr>
              <w:spacing w:before="240" w:after="240"/>
              <w:ind w:left="0" w:firstLine="0"/>
              <w:jc w:val="both"/>
              <w:rPr>
                <w:rFonts w:ascii="Times New Roman" w:eastAsia="Times New Roman" w:hAnsi="Times New Roman" w:cs="Times New Roman"/>
              </w:rPr>
            </w:pPr>
            <w:r w:rsidRPr="1A712BF5">
              <w:rPr>
                <w:rFonts w:ascii="Times New Roman" w:eastAsia="Times New Roman" w:hAnsi="Times New Roman" w:cs="Times New Roman"/>
              </w:rPr>
              <w:t>Plieninė dujų linija ne trumpesnė nei 20 m, reikalinga pasiekti spektrometrą nuo dujų balionų slėgio reduktorių, suderinama su naudojamais srautais.</w:t>
            </w:r>
          </w:p>
          <w:p w14:paraId="1E1F93F8" w14:textId="40AD8645" w:rsidR="009233D3" w:rsidRPr="00E36706" w:rsidRDefault="41868C62">
            <w:pPr>
              <w:widowControl w:val="0"/>
              <w:jc w:val="both"/>
              <w:rPr>
                <w:rFonts w:ascii="Times New Roman" w:eastAsia="Times New Roman" w:hAnsi="Times New Roman" w:cs="Times New Roman"/>
              </w:rPr>
            </w:pPr>
            <w:r w:rsidRPr="1A712BF5">
              <w:rPr>
                <w:rFonts w:ascii="Times New Roman" w:eastAsia="Times New Roman" w:hAnsi="Times New Roman" w:cs="Times New Roman"/>
              </w:rPr>
              <w:t>Kartu su spektrometro įrangos komplektu pateikiamas tam tinkamas stalas su ratukais ir stabdžiais</w:t>
            </w:r>
            <w:r w:rsidR="0A5DC00B" w:rsidRPr="1A712BF5">
              <w:rPr>
                <w:rFonts w:ascii="Times New Roman" w:eastAsia="Times New Roman" w:hAnsi="Times New Roman" w:cs="Times New Roman"/>
              </w:rPr>
              <w:t>.</w:t>
            </w:r>
          </w:p>
          <w:p w14:paraId="3C7C5907" w14:textId="215557BA" w:rsidR="009233D3" w:rsidRPr="00E36706" w:rsidRDefault="41868C62" w:rsidP="1A712BF5">
            <w:pPr>
              <w:widowControl w:val="0"/>
              <w:jc w:val="both"/>
              <w:rPr>
                <w:rFonts w:ascii="Times New Roman" w:eastAsia="Times New Roman" w:hAnsi="Times New Roman" w:cs="Times New Roman"/>
              </w:rPr>
            </w:pPr>
            <w:r w:rsidRPr="1A712BF5">
              <w:rPr>
                <w:rFonts w:ascii="Times New Roman" w:eastAsia="Times New Roman" w:hAnsi="Times New Roman" w:cs="Times New Roman"/>
              </w:rPr>
              <w:t xml:space="preserve">Pateikiamas </w:t>
            </w:r>
            <w:r w:rsidR="0379BA32" w:rsidRPr="1A712BF5">
              <w:rPr>
                <w:rFonts w:ascii="Times New Roman" w:eastAsia="Times New Roman" w:hAnsi="Times New Roman" w:cs="Times New Roman"/>
              </w:rPr>
              <w:t xml:space="preserve">automatinio mėginių įvedimo indelių </w:t>
            </w:r>
            <w:r w:rsidR="0DD98750" w:rsidRPr="1A712BF5">
              <w:rPr>
                <w:rFonts w:ascii="Times New Roman" w:eastAsia="Times New Roman" w:hAnsi="Times New Roman" w:cs="Times New Roman"/>
              </w:rPr>
              <w:t xml:space="preserve">pirminis kiekis pradiniam </w:t>
            </w:r>
            <w:r w:rsidR="0DD98750" w:rsidRPr="1A712BF5">
              <w:rPr>
                <w:rFonts w:ascii="Times New Roman" w:eastAsia="Times New Roman" w:hAnsi="Times New Roman" w:cs="Times New Roman"/>
              </w:rPr>
              <w:lastRenderedPageBreak/>
              <w:t>įrangos paleidimui, demonstracijai ir apmokymams.</w:t>
            </w:r>
            <w:r w:rsidRPr="1A712BF5">
              <w:rPr>
                <w:rFonts w:ascii="Times New Roman" w:eastAsia="Times New Roman" w:hAnsi="Times New Roman" w:cs="Times New Roman"/>
              </w:rPr>
              <w:t xml:space="preserve"> </w:t>
            </w:r>
          </w:p>
          <w:p w14:paraId="09702369" w14:textId="77777777" w:rsidR="009233D3" w:rsidRPr="00E36706" w:rsidRDefault="41868C62">
            <w:pPr>
              <w:widowControl w:val="0"/>
              <w:jc w:val="both"/>
              <w:rPr>
                <w:rFonts w:ascii="Times New Roman" w:eastAsia="Times New Roman" w:hAnsi="Times New Roman" w:cs="Times New Roman"/>
              </w:rPr>
            </w:pPr>
            <w:r w:rsidRPr="1A712BF5">
              <w:rPr>
                <w:rFonts w:ascii="Times New Roman" w:eastAsia="Times New Roman" w:hAnsi="Times New Roman" w:cs="Times New Roman"/>
              </w:rPr>
              <w:t>Visa įranga turi būti sukomplektuota su visais priedais ir dalimis instaliacijai, patikrai pagal gamintojo protokolą ir pilnavertiškam darbui.</w:t>
            </w:r>
          </w:p>
        </w:tc>
      </w:tr>
      <w:tr w:rsidR="009233D3" w:rsidRPr="000B5C82" w14:paraId="44A744AC" w14:textId="77777777" w:rsidTr="1A712BF5">
        <w:trPr>
          <w:trHeight w:val="770"/>
        </w:trPr>
        <w:tc>
          <w:tcPr>
            <w:tcW w:w="579" w:type="dxa"/>
            <w:tcBorders>
              <w:top w:val="single" w:sz="4" w:space="0" w:color="00000A"/>
              <w:left w:val="single" w:sz="4" w:space="0" w:color="00000A"/>
              <w:bottom w:val="single" w:sz="4" w:space="0" w:color="00000A"/>
              <w:right w:val="single" w:sz="4" w:space="0" w:color="00000A"/>
            </w:tcBorders>
            <w:vAlign w:val="center"/>
          </w:tcPr>
          <w:p w14:paraId="7AE429CE" w14:textId="77777777" w:rsidR="009233D3" w:rsidRPr="000B5C82" w:rsidRDefault="009233D3" w:rsidP="009233D3">
            <w:pPr>
              <w:pStyle w:val="ListParagraph"/>
              <w:widowControl w:val="0"/>
              <w:numPr>
                <w:ilvl w:val="0"/>
                <w:numId w:val="5"/>
              </w:numPr>
              <w:suppressAutoHyphens/>
              <w:spacing w:line="276" w:lineRule="auto"/>
              <w:rPr>
                <w:rFonts w:ascii="Times New Roman" w:eastAsia="Times New Roman" w:hAnsi="Times New Roman" w:cs="Times New Roman"/>
              </w:rPr>
            </w:pPr>
          </w:p>
        </w:tc>
        <w:tc>
          <w:tcPr>
            <w:tcW w:w="1899" w:type="dxa"/>
            <w:tcBorders>
              <w:top w:val="single" w:sz="4" w:space="0" w:color="00000A"/>
              <w:left w:val="single" w:sz="4" w:space="0" w:color="00000A"/>
              <w:bottom w:val="single" w:sz="4" w:space="0" w:color="00000A"/>
              <w:right w:val="single" w:sz="4" w:space="0" w:color="00000A"/>
            </w:tcBorders>
          </w:tcPr>
          <w:p w14:paraId="1E24B3A2" w14:textId="77777777" w:rsidR="009233D3" w:rsidRPr="00E36706" w:rsidRDefault="009233D3">
            <w:pPr>
              <w:widowControl w:val="0"/>
              <w:rPr>
                <w:rFonts w:ascii="Times New Roman" w:eastAsia="Times New Roman" w:hAnsi="Times New Roman" w:cs="Times New Roman"/>
              </w:rPr>
            </w:pPr>
            <w:r w:rsidRPr="00E36706">
              <w:rPr>
                <w:rFonts w:ascii="Times New Roman" w:eastAsia="Times New Roman" w:hAnsi="Times New Roman" w:cs="Times New Roman"/>
              </w:rPr>
              <w:t>Įrangos žymėjimas CE ženklu</w:t>
            </w:r>
          </w:p>
        </w:tc>
        <w:tc>
          <w:tcPr>
            <w:tcW w:w="7150" w:type="dxa"/>
            <w:tcBorders>
              <w:top w:val="single" w:sz="4" w:space="0" w:color="00000A"/>
              <w:left w:val="single" w:sz="4" w:space="0" w:color="00000A"/>
              <w:bottom w:val="single" w:sz="4" w:space="0" w:color="00000A"/>
              <w:right w:val="single" w:sz="4" w:space="0" w:color="00000A"/>
            </w:tcBorders>
          </w:tcPr>
          <w:p w14:paraId="010C01A2"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Kartu su pasiūlymu būtina pateikti įrangos žymėjimą CE ženklu liudijančio ir galiojančio dokumento (CE sertifikato arba EB atitikties deklaracijos) kopiją</w:t>
            </w:r>
          </w:p>
        </w:tc>
      </w:tr>
      <w:tr w:rsidR="009233D3" w:rsidRPr="000B5C82" w14:paraId="64B4A098" w14:textId="77777777" w:rsidTr="1A712BF5">
        <w:trPr>
          <w:trHeight w:val="1430"/>
        </w:trPr>
        <w:tc>
          <w:tcPr>
            <w:tcW w:w="579" w:type="dxa"/>
            <w:tcBorders>
              <w:top w:val="single" w:sz="4" w:space="0" w:color="00000A"/>
              <w:left w:val="single" w:sz="4" w:space="0" w:color="00000A"/>
              <w:bottom w:val="single" w:sz="4" w:space="0" w:color="00000A"/>
              <w:right w:val="single" w:sz="4" w:space="0" w:color="00000A"/>
            </w:tcBorders>
            <w:vAlign w:val="center"/>
          </w:tcPr>
          <w:p w14:paraId="60024364" w14:textId="77777777" w:rsidR="009233D3" w:rsidRPr="000B5C82" w:rsidRDefault="009233D3" w:rsidP="009233D3">
            <w:pPr>
              <w:pStyle w:val="ListParagraph"/>
              <w:widowControl w:val="0"/>
              <w:numPr>
                <w:ilvl w:val="0"/>
                <w:numId w:val="5"/>
              </w:numPr>
              <w:suppressAutoHyphens/>
              <w:spacing w:line="276" w:lineRule="auto"/>
              <w:rPr>
                <w:rFonts w:ascii="Times New Roman" w:eastAsia="Times New Roman" w:hAnsi="Times New Roman" w:cs="Times New Roman"/>
              </w:rPr>
            </w:pPr>
          </w:p>
        </w:tc>
        <w:tc>
          <w:tcPr>
            <w:tcW w:w="1899" w:type="dxa"/>
            <w:tcBorders>
              <w:top w:val="single" w:sz="4" w:space="0" w:color="00000A"/>
              <w:left w:val="single" w:sz="4" w:space="0" w:color="00000A"/>
              <w:bottom w:val="single" w:sz="4" w:space="0" w:color="00000A"/>
              <w:right w:val="single" w:sz="4" w:space="0" w:color="00000A"/>
            </w:tcBorders>
            <w:vAlign w:val="center"/>
          </w:tcPr>
          <w:p w14:paraId="51E02E84" w14:textId="77777777" w:rsidR="009233D3" w:rsidRPr="00E36706" w:rsidRDefault="009233D3">
            <w:pPr>
              <w:widowControl w:val="0"/>
              <w:rPr>
                <w:rFonts w:ascii="Times New Roman" w:eastAsia="Times New Roman" w:hAnsi="Times New Roman" w:cs="Times New Roman"/>
              </w:rPr>
            </w:pPr>
            <w:r w:rsidRPr="00E36706">
              <w:rPr>
                <w:rFonts w:ascii="Times New Roman" w:eastAsia="Times New Roman" w:hAnsi="Times New Roman" w:cs="Times New Roman"/>
              </w:rPr>
              <w:t>Instaliavimas ir apmokymas</w:t>
            </w:r>
          </w:p>
        </w:tc>
        <w:tc>
          <w:tcPr>
            <w:tcW w:w="7150" w:type="dxa"/>
            <w:tcBorders>
              <w:top w:val="single" w:sz="4" w:space="0" w:color="00000A"/>
              <w:left w:val="single" w:sz="4" w:space="0" w:color="00000A"/>
              <w:bottom w:val="single" w:sz="4" w:space="0" w:color="00000A"/>
              <w:right w:val="single" w:sz="4" w:space="0" w:color="00000A"/>
            </w:tcBorders>
            <w:vAlign w:val="center"/>
          </w:tcPr>
          <w:p w14:paraId="206559F8" w14:textId="77777777" w:rsidR="009233D3" w:rsidRPr="00E36706" w:rsidRDefault="009233D3">
            <w:pPr>
              <w:widowControl w:val="0"/>
              <w:jc w:val="both"/>
              <w:rPr>
                <w:rFonts w:ascii="Times New Roman" w:hAnsi="Times New Roman" w:cs="Times New Roman"/>
              </w:rPr>
            </w:pPr>
            <w:r w:rsidRPr="00E36706">
              <w:rPr>
                <w:rFonts w:ascii="Times New Roman" w:hAnsi="Times New Roman" w:cs="Times New Roman"/>
              </w:rPr>
              <w:t>Prekė turi būti pastatyta, sumontuota, instaliuota darbo vietoje, detaliai patikrintas jos funkcionalumas iki rezultato gavimo.</w:t>
            </w:r>
          </w:p>
          <w:p w14:paraId="6B3934AA" w14:textId="77777777" w:rsidR="009233D3" w:rsidRPr="00E36706" w:rsidRDefault="009233D3">
            <w:pPr>
              <w:widowControl w:val="0"/>
              <w:jc w:val="both"/>
              <w:rPr>
                <w:rFonts w:ascii="Times New Roman" w:hAnsi="Times New Roman" w:cs="Times New Roman"/>
              </w:rPr>
            </w:pPr>
            <w:r w:rsidRPr="00E36706">
              <w:rPr>
                <w:rFonts w:ascii="Times New Roman" w:hAnsi="Times New Roman" w:cs="Times New Roman"/>
              </w:rPr>
              <w:t xml:space="preserve">Instaliavimą ir mokymus turi atlikti gamintojo apmokytas ir sertifikuotas serviso inžinierius, kuris esant poreikiui turės pateikti tai patvirtinančius dokumentus.  </w:t>
            </w:r>
          </w:p>
          <w:p w14:paraId="0CA65918" w14:textId="77777777" w:rsidR="009233D3" w:rsidRPr="00E36706" w:rsidRDefault="009233D3">
            <w:pPr>
              <w:widowControl w:val="0"/>
              <w:jc w:val="both"/>
              <w:rPr>
                <w:rFonts w:ascii="Times New Roman" w:eastAsia="Times New Roman" w:hAnsi="Times New Roman" w:cs="Times New Roman"/>
              </w:rPr>
            </w:pPr>
            <w:r w:rsidRPr="00E36706">
              <w:rPr>
                <w:rFonts w:ascii="Times New Roman" w:hAnsi="Times New Roman" w:cs="Times New Roman"/>
              </w:rPr>
              <w:t>Būtina apmokyti lietuvių kalba vieną Pirkėjo darbuotoją dirbti su Preke darbo vietoje ir pateikti tai patvirtinančius dokumentus.</w:t>
            </w:r>
          </w:p>
        </w:tc>
      </w:tr>
      <w:tr w:rsidR="009233D3" w:rsidRPr="000B5C82" w14:paraId="3F790D31" w14:textId="77777777" w:rsidTr="1A712BF5">
        <w:trPr>
          <w:trHeight w:val="428"/>
        </w:trPr>
        <w:tc>
          <w:tcPr>
            <w:tcW w:w="579" w:type="dxa"/>
            <w:tcBorders>
              <w:top w:val="single" w:sz="4" w:space="0" w:color="00000A"/>
              <w:left w:val="single" w:sz="4" w:space="0" w:color="00000A"/>
              <w:bottom w:val="single" w:sz="4" w:space="0" w:color="00000A"/>
              <w:right w:val="single" w:sz="4" w:space="0" w:color="00000A"/>
            </w:tcBorders>
            <w:vAlign w:val="center"/>
          </w:tcPr>
          <w:p w14:paraId="0081CDE0" w14:textId="77777777" w:rsidR="009233D3" w:rsidRPr="000B5C82" w:rsidRDefault="009233D3" w:rsidP="009233D3">
            <w:pPr>
              <w:pStyle w:val="ListParagraph"/>
              <w:widowControl w:val="0"/>
              <w:numPr>
                <w:ilvl w:val="0"/>
                <w:numId w:val="5"/>
              </w:numPr>
              <w:suppressAutoHyphens/>
              <w:spacing w:line="276" w:lineRule="auto"/>
              <w:rPr>
                <w:rFonts w:ascii="Times New Roman" w:eastAsia="Times New Roman" w:hAnsi="Times New Roman" w:cs="Times New Roman"/>
              </w:rPr>
            </w:pPr>
          </w:p>
        </w:tc>
        <w:tc>
          <w:tcPr>
            <w:tcW w:w="1899" w:type="dxa"/>
            <w:tcBorders>
              <w:top w:val="single" w:sz="4" w:space="0" w:color="00000A"/>
              <w:left w:val="single" w:sz="4" w:space="0" w:color="00000A"/>
              <w:bottom w:val="single" w:sz="4" w:space="0" w:color="00000A"/>
              <w:right w:val="single" w:sz="4" w:space="0" w:color="00000A"/>
            </w:tcBorders>
            <w:vAlign w:val="center"/>
          </w:tcPr>
          <w:p w14:paraId="0EC3B802" w14:textId="77777777" w:rsidR="009233D3" w:rsidRPr="00E36706" w:rsidRDefault="009233D3">
            <w:pPr>
              <w:widowControl w:val="0"/>
              <w:rPr>
                <w:rFonts w:ascii="Times New Roman" w:eastAsia="Times New Roman" w:hAnsi="Times New Roman" w:cs="Times New Roman"/>
              </w:rPr>
            </w:pPr>
            <w:r w:rsidRPr="00E36706">
              <w:rPr>
                <w:rFonts w:ascii="Times New Roman" w:eastAsia="Times New Roman" w:hAnsi="Times New Roman" w:cs="Times New Roman"/>
              </w:rPr>
              <w:t>Garantija, aptarnavimas.</w:t>
            </w:r>
          </w:p>
        </w:tc>
        <w:tc>
          <w:tcPr>
            <w:tcW w:w="7150" w:type="dxa"/>
            <w:tcBorders>
              <w:top w:val="single" w:sz="4" w:space="0" w:color="00000A"/>
              <w:left w:val="single" w:sz="4" w:space="0" w:color="00000A"/>
              <w:bottom w:val="single" w:sz="4" w:space="0" w:color="00000A"/>
              <w:right w:val="single" w:sz="4" w:space="0" w:color="00000A"/>
            </w:tcBorders>
            <w:vAlign w:val="center"/>
          </w:tcPr>
          <w:p w14:paraId="0576EFF6"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 xml:space="preserve">Įrangai turi būti suteikiama ne mažiau kaip 12 mėnesių garantija. </w:t>
            </w:r>
          </w:p>
          <w:p w14:paraId="3EE05711" w14:textId="77777777" w:rsidR="009233D3" w:rsidRPr="00E36706" w:rsidRDefault="009233D3">
            <w:pPr>
              <w:widowControl w:val="0"/>
              <w:jc w:val="both"/>
              <w:rPr>
                <w:rFonts w:ascii="Times New Roman" w:eastAsia="Times New Roman" w:hAnsi="Times New Roman" w:cs="Times New Roman"/>
              </w:rPr>
            </w:pPr>
            <w:r w:rsidRPr="00E36706">
              <w:rPr>
                <w:rFonts w:ascii="Times New Roman" w:eastAsia="Times New Roman" w:hAnsi="Times New Roman" w:cs="Times New Roman"/>
              </w:rPr>
              <w:t>Serviso reakcijos laikas ne daugiau kaip 8 Pirkėjo darbo valandos, išsprendimo laikas ne daugiau kaip 24 Pirkėjo darbo valandos, išskyrus atvejus, jeigu Tiekėjas raštu pateikia pagrįstus argumentus, kad reikalingas ilgesnis laikas ir Pirkėjas raštu su tuo sutinka.</w:t>
            </w:r>
          </w:p>
        </w:tc>
      </w:tr>
    </w:tbl>
    <w:p w14:paraId="21FBE313" w14:textId="77777777" w:rsidR="009233D3" w:rsidRPr="000B5C82" w:rsidRDefault="009233D3" w:rsidP="009233D3"/>
    <w:p w14:paraId="01B61481" w14:textId="77777777" w:rsidR="009233D3" w:rsidRPr="000B5C82" w:rsidRDefault="009233D3" w:rsidP="00696574">
      <w:pPr>
        <w:spacing w:before="100" w:beforeAutospacing="1" w:after="100" w:afterAutospacing="1" w:line="240" w:lineRule="auto"/>
        <w:jc w:val="center"/>
        <w:rPr>
          <w:rFonts w:ascii="Times New Roman" w:hAnsi="Times New Roman" w:cs="Times New Roman"/>
          <w:b/>
          <w:bCs/>
          <w:sz w:val="24"/>
          <w:szCs w:val="24"/>
        </w:rPr>
      </w:pPr>
    </w:p>
    <w:sectPr w:rsidR="009233D3" w:rsidRPr="000B5C82" w:rsidSect="002B4DD5">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50941" w14:textId="77777777" w:rsidR="00CE66EF" w:rsidRDefault="00CE66EF" w:rsidP="006A4529">
      <w:pPr>
        <w:spacing w:after="0" w:line="240" w:lineRule="auto"/>
      </w:pPr>
      <w:r>
        <w:separator/>
      </w:r>
    </w:p>
  </w:endnote>
  <w:endnote w:type="continuationSeparator" w:id="0">
    <w:p w14:paraId="50BFEFFE" w14:textId="77777777" w:rsidR="00CE66EF" w:rsidRDefault="00CE66EF" w:rsidP="006A4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74E62" w14:textId="77777777" w:rsidR="00CE66EF" w:rsidRDefault="00CE66EF" w:rsidP="006A4529">
      <w:pPr>
        <w:spacing w:after="0" w:line="240" w:lineRule="auto"/>
      </w:pPr>
      <w:r>
        <w:separator/>
      </w:r>
    </w:p>
  </w:footnote>
  <w:footnote w:type="continuationSeparator" w:id="0">
    <w:p w14:paraId="39332729" w14:textId="77777777" w:rsidR="00CE66EF" w:rsidRDefault="00CE66EF" w:rsidP="006A4529">
      <w:pPr>
        <w:spacing w:after="0" w:line="240" w:lineRule="auto"/>
      </w:pPr>
      <w:r>
        <w:continuationSeparator/>
      </w:r>
    </w:p>
  </w:footnote>
  <w:footnote w:id="1">
    <w:p w14:paraId="2858EE8D" w14:textId="77777777" w:rsidR="00795250" w:rsidRPr="003D4C71" w:rsidRDefault="00795250" w:rsidP="00795250">
      <w:pPr>
        <w:pStyle w:val="FootnoteText"/>
      </w:pPr>
      <w:r w:rsidRPr="00957F35">
        <w:rPr>
          <w:rStyle w:val="FootnoteReference"/>
        </w:rPr>
        <w:footnoteRef/>
      </w:r>
      <w:r w:rsidRPr="00957F35">
        <w:t xml:space="preserve"> (žr. 1 išnašą)</w:t>
      </w:r>
    </w:p>
  </w:footnote>
  <w:footnote w:id="2">
    <w:p w14:paraId="0A38B4EA" w14:textId="77777777" w:rsidR="00906F32" w:rsidRPr="00957F35" w:rsidRDefault="00906F32" w:rsidP="00906F32">
      <w:pPr>
        <w:pStyle w:val="FootnoteText"/>
      </w:pPr>
      <w:r w:rsidRPr="00957F35">
        <w:rPr>
          <w:rStyle w:val="FootnoteReference"/>
        </w:rPr>
        <w:footnoteRef/>
      </w:r>
      <w:r w:rsidRPr="00957F35">
        <w:t xml:space="preserve"> (žr. </w:t>
      </w:r>
      <w:r w:rsidRPr="00957F35">
        <w:t>1 išnašą)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66957"/>
    <w:multiLevelType w:val="hybridMultilevel"/>
    <w:tmpl w:val="01AEC3F6"/>
    <w:lvl w:ilvl="0" w:tplc="3232326E">
      <w:start w:val="1"/>
      <w:numFmt w:val="bullet"/>
      <w:lvlText w:val=""/>
      <w:lvlJc w:val="left"/>
      <w:pPr>
        <w:ind w:left="1080" w:hanging="360"/>
      </w:pPr>
      <w:rPr>
        <w:rFonts w:ascii="Symbol" w:hAnsi="Symbol"/>
      </w:rPr>
    </w:lvl>
    <w:lvl w:ilvl="1" w:tplc="F140E950">
      <w:start w:val="1"/>
      <w:numFmt w:val="bullet"/>
      <w:lvlText w:val=""/>
      <w:lvlJc w:val="left"/>
      <w:pPr>
        <w:ind w:left="1080" w:hanging="360"/>
      </w:pPr>
      <w:rPr>
        <w:rFonts w:ascii="Symbol" w:hAnsi="Symbol"/>
      </w:rPr>
    </w:lvl>
    <w:lvl w:ilvl="2" w:tplc="4B0C7488">
      <w:start w:val="1"/>
      <w:numFmt w:val="bullet"/>
      <w:lvlText w:val=""/>
      <w:lvlJc w:val="left"/>
      <w:pPr>
        <w:ind w:left="1080" w:hanging="360"/>
      </w:pPr>
      <w:rPr>
        <w:rFonts w:ascii="Symbol" w:hAnsi="Symbol"/>
      </w:rPr>
    </w:lvl>
    <w:lvl w:ilvl="3" w:tplc="17CEA608">
      <w:start w:val="1"/>
      <w:numFmt w:val="bullet"/>
      <w:lvlText w:val=""/>
      <w:lvlJc w:val="left"/>
      <w:pPr>
        <w:ind w:left="1080" w:hanging="360"/>
      </w:pPr>
      <w:rPr>
        <w:rFonts w:ascii="Symbol" w:hAnsi="Symbol"/>
      </w:rPr>
    </w:lvl>
    <w:lvl w:ilvl="4" w:tplc="0C56A756">
      <w:start w:val="1"/>
      <w:numFmt w:val="bullet"/>
      <w:lvlText w:val=""/>
      <w:lvlJc w:val="left"/>
      <w:pPr>
        <w:ind w:left="1080" w:hanging="360"/>
      </w:pPr>
      <w:rPr>
        <w:rFonts w:ascii="Symbol" w:hAnsi="Symbol"/>
      </w:rPr>
    </w:lvl>
    <w:lvl w:ilvl="5" w:tplc="3AAAFFC6">
      <w:start w:val="1"/>
      <w:numFmt w:val="bullet"/>
      <w:lvlText w:val=""/>
      <w:lvlJc w:val="left"/>
      <w:pPr>
        <w:ind w:left="1080" w:hanging="360"/>
      </w:pPr>
      <w:rPr>
        <w:rFonts w:ascii="Symbol" w:hAnsi="Symbol"/>
      </w:rPr>
    </w:lvl>
    <w:lvl w:ilvl="6" w:tplc="DCF08292">
      <w:start w:val="1"/>
      <w:numFmt w:val="bullet"/>
      <w:lvlText w:val=""/>
      <w:lvlJc w:val="left"/>
      <w:pPr>
        <w:ind w:left="1080" w:hanging="360"/>
      </w:pPr>
      <w:rPr>
        <w:rFonts w:ascii="Symbol" w:hAnsi="Symbol"/>
      </w:rPr>
    </w:lvl>
    <w:lvl w:ilvl="7" w:tplc="AEBE316E">
      <w:start w:val="1"/>
      <w:numFmt w:val="bullet"/>
      <w:lvlText w:val=""/>
      <w:lvlJc w:val="left"/>
      <w:pPr>
        <w:ind w:left="1080" w:hanging="360"/>
      </w:pPr>
      <w:rPr>
        <w:rFonts w:ascii="Symbol" w:hAnsi="Symbol"/>
      </w:rPr>
    </w:lvl>
    <w:lvl w:ilvl="8" w:tplc="91F634CC">
      <w:start w:val="1"/>
      <w:numFmt w:val="bullet"/>
      <w:lvlText w:val=""/>
      <w:lvlJc w:val="left"/>
      <w:pPr>
        <w:ind w:left="1080" w:hanging="360"/>
      </w:pPr>
      <w:rPr>
        <w:rFonts w:ascii="Symbol" w:hAnsi="Symbol"/>
      </w:rPr>
    </w:lvl>
  </w:abstractNum>
  <w:abstractNum w:abstractNumId="1" w15:restartNumberingAfterBreak="0">
    <w:nsid w:val="233F6166"/>
    <w:multiLevelType w:val="hybridMultilevel"/>
    <w:tmpl w:val="A82E9674"/>
    <w:lvl w:ilvl="0" w:tplc="8522FA66">
      <w:start w:val="1"/>
      <w:numFmt w:val="bullet"/>
      <w:lvlText w:val=""/>
      <w:lvlJc w:val="left"/>
      <w:pPr>
        <w:ind w:left="1080" w:hanging="360"/>
      </w:pPr>
      <w:rPr>
        <w:rFonts w:ascii="Symbol" w:hAnsi="Symbol"/>
      </w:rPr>
    </w:lvl>
    <w:lvl w:ilvl="1" w:tplc="D0D6457A">
      <w:start w:val="1"/>
      <w:numFmt w:val="bullet"/>
      <w:lvlText w:val=""/>
      <w:lvlJc w:val="left"/>
      <w:pPr>
        <w:ind w:left="1080" w:hanging="360"/>
      </w:pPr>
      <w:rPr>
        <w:rFonts w:ascii="Symbol" w:hAnsi="Symbol"/>
      </w:rPr>
    </w:lvl>
    <w:lvl w:ilvl="2" w:tplc="CF245748">
      <w:start w:val="1"/>
      <w:numFmt w:val="bullet"/>
      <w:lvlText w:val=""/>
      <w:lvlJc w:val="left"/>
      <w:pPr>
        <w:ind w:left="1080" w:hanging="360"/>
      </w:pPr>
      <w:rPr>
        <w:rFonts w:ascii="Symbol" w:hAnsi="Symbol"/>
      </w:rPr>
    </w:lvl>
    <w:lvl w:ilvl="3" w:tplc="BCB05E3C">
      <w:start w:val="1"/>
      <w:numFmt w:val="bullet"/>
      <w:lvlText w:val=""/>
      <w:lvlJc w:val="left"/>
      <w:pPr>
        <w:ind w:left="1080" w:hanging="360"/>
      </w:pPr>
      <w:rPr>
        <w:rFonts w:ascii="Symbol" w:hAnsi="Symbol"/>
      </w:rPr>
    </w:lvl>
    <w:lvl w:ilvl="4" w:tplc="B2E22E7A">
      <w:start w:val="1"/>
      <w:numFmt w:val="bullet"/>
      <w:lvlText w:val=""/>
      <w:lvlJc w:val="left"/>
      <w:pPr>
        <w:ind w:left="1080" w:hanging="360"/>
      </w:pPr>
      <w:rPr>
        <w:rFonts w:ascii="Symbol" w:hAnsi="Symbol"/>
      </w:rPr>
    </w:lvl>
    <w:lvl w:ilvl="5" w:tplc="64686CF4">
      <w:start w:val="1"/>
      <w:numFmt w:val="bullet"/>
      <w:lvlText w:val=""/>
      <w:lvlJc w:val="left"/>
      <w:pPr>
        <w:ind w:left="1080" w:hanging="360"/>
      </w:pPr>
      <w:rPr>
        <w:rFonts w:ascii="Symbol" w:hAnsi="Symbol"/>
      </w:rPr>
    </w:lvl>
    <w:lvl w:ilvl="6" w:tplc="5E184A48">
      <w:start w:val="1"/>
      <w:numFmt w:val="bullet"/>
      <w:lvlText w:val=""/>
      <w:lvlJc w:val="left"/>
      <w:pPr>
        <w:ind w:left="1080" w:hanging="360"/>
      </w:pPr>
      <w:rPr>
        <w:rFonts w:ascii="Symbol" w:hAnsi="Symbol"/>
      </w:rPr>
    </w:lvl>
    <w:lvl w:ilvl="7" w:tplc="1BF4DAF2">
      <w:start w:val="1"/>
      <w:numFmt w:val="bullet"/>
      <w:lvlText w:val=""/>
      <w:lvlJc w:val="left"/>
      <w:pPr>
        <w:ind w:left="1080" w:hanging="360"/>
      </w:pPr>
      <w:rPr>
        <w:rFonts w:ascii="Symbol" w:hAnsi="Symbol"/>
      </w:rPr>
    </w:lvl>
    <w:lvl w:ilvl="8" w:tplc="1BB07700">
      <w:start w:val="1"/>
      <w:numFmt w:val="bullet"/>
      <w:lvlText w:val=""/>
      <w:lvlJc w:val="left"/>
      <w:pPr>
        <w:ind w:left="1080" w:hanging="360"/>
      </w:pPr>
      <w:rPr>
        <w:rFonts w:ascii="Symbol" w:hAnsi="Symbol"/>
      </w:rPr>
    </w:lvl>
  </w:abstractNum>
  <w:abstractNum w:abstractNumId="2" w15:restartNumberingAfterBreak="0">
    <w:nsid w:val="239D75BF"/>
    <w:multiLevelType w:val="hybridMultilevel"/>
    <w:tmpl w:val="CDF48E78"/>
    <w:lvl w:ilvl="0" w:tplc="3C946018">
      <w:start w:val="1"/>
      <w:numFmt w:val="bullet"/>
      <w:lvlText w:val=""/>
      <w:lvlJc w:val="left"/>
      <w:pPr>
        <w:ind w:left="1080" w:hanging="360"/>
      </w:pPr>
      <w:rPr>
        <w:rFonts w:ascii="Symbol" w:hAnsi="Symbol"/>
      </w:rPr>
    </w:lvl>
    <w:lvl w:ilvl="1" w:tplc="FE5E05A6">
      <w:start w:val="1"/>
      <w:numFmt w:val="bullet"/>
      <w:lvlText w:val=""/>
      <w:lvlJc w:val="left"/>
      <w:pPr>
        <w:ind w:left="1080" w:hanging="360"/>
      </w:pPr>
      <w:rPr>
        <w:rFonts w:ascii="Symbol" w:hAnsi="Symbol"/>
      </w:rPr>
    </w:lvl>
    <w:lvl w:ilvl="2" w:tplc="255C9A26">
      <w:start w:val="1"/>
      <w:numFmt w:val="bullet"/>
      <w:lvlText w:val=""/>
      <w:lvlJc w:val="left"/>
      <w:pPr>
        <w:ind w:left="1080" w:hanging="360"/>
      </w:pPr>
      <w:rPr>
        <w:rFonts w:ascii="Symbol" w:hAnsi="Symbol"/>
      </w:rPr>
    </w:lvl>
    <w:lvl w:ilvl="3" w:tplc="2932E172">
      <w:start w:val="1"/>
      <w:numFmt w:val="bullet"/>
      <w:lvlText w:val=""/>
      <w:lvlJc w:val="left"/>
      <w:pPr>
        <w:ind w:left="1080" w:hanging="360"/>
      </w:pPr>
      <w:rPr>
        <w:rFonts w:ascii="Symbol" w:hAnsi="Symbol"/>
      </w:rPr>
    </w:lvl>
    <w:lvl w:ilvl="4" w:tplc="8DD0F262">
      <w:start w:val="1"/>
      <w:numFmt w:val="bullet"/>
      <w:lvlText w:val=""/>
      <w:lvlJc w:val="left"/>
      <w:pPr>
        <w:ind w:left="1080" w:hanging="360"/>
      </w:pPr>
      <w:rPr>
        <w:rFonts w:ascii="Symbol" w:hAnsi="Symbol"/>
      </w:rPr>
    </w:lvl>
    <w:lvl w:ilvl="5" w:tplc="35F8BB0A">
      <w:start w:val="1"/>
      <w:numFmt w:val="bullet"/>
      <w:lvlText w:val=""/>
      <w:lvlJc w:val="left"/>
      <w:pPr>
        <w:ind w:left="1080" w:hanging="360"/>
      </w:pPr>
      <w:rPr>
        <w:rFonts w:ascii="Symbol" w:hAnsi="Symbol"/>
      </w:rPr>
    </w:lvl>
    <w:lvl w:ilvl="6" w:tplc="E81C23B4">
      <w:start w:val="1"/>
      <w:numFmt w:val="bullet"/>
      <w:lvlText w:val=""/>
      <w:lvlJc w:val="left"/>
      <w:pPr>
        <w:ind w:left="1080" w:hanging="360"/>
      </w:pPr>
      <w:rPr>
        <w:rFonts w:ascii="Symbol" w:hAnsi="Symbol"/>
      </w:rPr>
    </w:lvl>
    <w:lvl w:ilvl="7" w:tplc="18F016F6">
      <w:start w:val="1"/>
      <w:numFmt w:val="bullet"/>
      <w:lvlText w:val=""/>
      <w:lvlJc w:val="left"/>
      <w:pPr>
        <w:ind w:left="1080" w:hanging="360"/>
      </w:pPr>
      <w:rPr>
        <w:rFonts w:ascii="Symbol" w:hAnsi="Symbol"/>
      </w:rPr>
    </w:lvl>
    <w:lvl w:ilvl="8" w:tplc="5DB2F068">
      <w:start w:val="1"/>
      <w:numFmt w:val="bullet"/>
      <w:lvlText w:val=""/>
      <w:lvlJc w:val="left"/>
      <w:pPr>
        <w:ind w:left="1080" w:hanging="360"/>
      </w:pPr>
      <w:rPr>
        <w:rFonts w:ascii="Symbol" w:hAnsi="Symbol"/>
      </w:rPr>
    </w:lvl>
  </w:abstractNum>
  <w:abstractNum w:abstractNumId="3" w15:restartNumberingAfterBreak="0">
    <w:nsid w:val="282E1D3C"/>
    <w:multiLevelType w:val="hybridMultilevel"/>
    <w:tmpl w:val="80EA3588"/>
    <w:lvl w:ilvl="0" w:tplc="1A104156">
      <w:start w:val="1"/>
      <w:numFmt w:val="bullet"/>
      <w:lvlText w:val=""/>
      <w:lvlJc w:val="left"/>
      <w:pPr>
        <w:ind w:left="1080" w:hanging="360"/>
      </w:pPr>
      <w:rPr>
        <w:rFonts w:ascii="Symbol" w:hAnsi="Symbol"/>
      </w:rPr>
    </w:lvl>
    <w:lvl w:ilvl="1" w:tplc="03648CD0">
      <w:start w:val="1"/>
      <w:numFmt w:val="bullet"/>
      <w:lvlText w:val=""/>
      <w:lvlJc w:val="left"/>
      <w:pPr>
        <w:ind w:left="1080" w:hanging="360"/>
      </w:pPr>
      <w:rPr>
        <w:rFonts w:ascii="Symbol" w:hAnsi="Symbol"/>
      </w:rPr>
    </w:lvl>
    <w:lvl w:ilvl="2" w:tplc="AD5EA316">
      <w:start w:val="1"/>
      <w:numFmt w:val="bullet"/>
      <w:lvlText w:val=""/>
      <w:lvlJc w:val="left"/>
      <w:pPr>
        <w:ind w:left="1080" w:hanging="360"/>
      </w:pPr>
      <w:rPr>
        <w:rFonts w:ascii="Symbol" w:hAnsi="Symbol"/>
      </w:rPr>
    </w:lvl>
    <w:lvl w:ilvl="3" w:tplc="298C6A78">
      <w:start w:val="1"/>
      <w:numFmt w:val="bullet"/>
      <w:lvlText w:val=""/>
      <w:lvlJc w:val="left"/>
      <w:pPr>
        <w:ind w:left="1080" w:hanging="360"/>
      </w:pPr>
      <w:rPr>
        <w:rFonts w:ascii="Symbol" w:hAnsi="Symbol"/>
      </w:rPr>
    </w:lvl>
    <w:lvl w:ilvl="4" w:tplc="D8EA105E">
      <w:start w:val="1"/>
      <w:numFmt w:val="bullet"/>
      <w:lvlText w:val=""/>
      <w:lvlJc w:val="left"/>
      <w:pPr>
        <w:ind w:left="1080" w:hanging="360"/>
      </w:pPr>
      <w:rPr>
        <w:rFonts w:ascii="Symbol" w:hAnsi="Symbol"/>
      </w:rPr>
    </w:lvl>
    <w:lvl w:ilvl="5" w:tplc="4D98209A">
      <w:start w:val="1"/>
      <w:numFmt w:val="bullet"/>
      <w:lvlText w:val=""/>
      <w:lvlJc w:val="left"/>
      <w:pPr>
        <w:ind w:left="1080" w:hanging="360"/>
      </w:pPr>
      <w:rPr>
        <w:rFonts w:ascii="Symbol" w:hAnsi="Symbol"/>
      </w:rPr>
    </w:lvl>
    <w:lvl w:ilvl="6" w:tplc="FF28583A">
      <w:start w:val="1"/>
      <w:numFmt w:val="bullet"/>
      <w:lvlText w:val=""/>
      <w:lvlJc w:val="left"/>
      <w:pPr>
        <w:ind w:left="1080" w:hanging="360"/>
      </w:pPr>
      <w:rPr>
        <w:rFonts w:ascii="Symbol" w:hAnsi="Symbol"/>
      </w:rPr>
    </w:lvl>
    <w:lvl w:ilvl="7" w:tplc="1EE6C728">
      <w:start w:val="1"/>
      <w:numFmt w:val="bullet"/>
      <w:lvlText w:val=""/>
      <w:lvlJc w:val="left"/>
      <w:pPr>
        <w:ind w:left="1080" w:hanging="360"/>
      </w:pPr>
      <w:rPr>
        <w:rFonts w:ascii="Symbol" w:hAnsi="Symbol"/>
      </w:rPr>
    </w:lvl>
    <w:lvl w:ilvl="8" w:tplc="CD26BF7C">
      <w:start w:val="1"/>
      <w:numFmt w:val="bullet"/>
      <w:lvlText w:val=""/>
      <w:lvlJc w:val="left"/>
      <w:pPr>
        <w:ind w:left="1080" w:hanging="360"/>
      </w:pPr>
      <w:rPr>
        <w:rFonts w:ascii="Symbol" w:hAnsi="Symbol"/>
      </w:rPr>
    </w:lvl>
  </w:abstractNum>
  <w:abstractNum w:abstractNumId="4" w15:restartNumberingAfterBreak="0">
    <w:nsid w:val="35D15B37"/>
    <w:multiLevelType w:val="hybridMultilevel"/>
    <w:tmpl w:val="453CA2E4"/>
    <w:lvl w:ilvl="0" w:tplc="6C765E42">
      <w:start w:val="1"/>
      <w:numFmt w:val="bullet"/>
      <w:lvlText w:val=""/>
      <w:lvlJc w:val="left"/>
      <w:pPr>
        <w:ind w:left="1080" w:hanging="360"/>
      </w:pPr>
      <w:rPr>
        <w:rFonts w:ascii="Symbol" w:hAnsi="Symbol"/>
      </w:rPr>
    </w:lvl>
    <w:lvl w:ilvl="1" w:tplc="7D5A7F9E">
      <w:start w:val="1"/>
      <w:numFmt w:val="bullet"/>
      <w:lvlText w:val=""/>
      <w:lvlJc w:val="left"/>
      <w:pPr>
        <w:ind w:left="1080" w:hanging="360"/>
      </w:pPr>
      <w:rPr>
        <w:rFonts w:ascii="Symbol" w:hAnsi="Symbol"/>
      </w:rPr>
    </w:lvl>
    <w:lvl w:ilvl="2" w:tplc="2DB4D082">
      <w:start w:val="1"/>
      <w:numFmt w:val="bullet"/>
      <w:lvlText w:val=""/>
      <w:lvlJc w:val="left"/>
      <w:pPr>
        <w:ind w:left="1080" w:hanging="360"/>
      </w:pPr>
      <w:rPr>
        <w:rFonts w:ascii="Symbol" w:hAnsi="Symbol"/>
      </w:rPr>
    </w:lvl>
    <w:lvl w:ilvl="3" w:tplc="807C955A">
      <w:start w:val="1"/>
      <w:numFmt w:val="bullet"/>
      <w:lvlText w:val=""/>
      <w:lvlJc w:val="left"/>
      <w:pPr>
        <w:ind w:left="1080" w:hanging="360"/>
      </w:pPr>
      <w:rPr>
        <w:rFonts w:ascii="Symbol" w:hAnsi="Symbol"/>
      </w:rPr>
    </w:lvl>
    <w:lvl w:ilvl="4" w:tplc="038C8430">
      <w:start w:val="1"/>
      <w:numFmt w:val="bullet"/>
      <w:lvlText w:val=""/>
      <w:lvlJc w:val="left"/>
      <w:pPr>
        <w:ind w:left="1080" w:hanging="360"/>
      </w:pPr>
      <w:rPr>
        <w:rFonts w:ascii="Symbol" w:hAnsi="Symbol"/>
      </w:rPr>
    </w:lvl>
    <w:lvl w:ilvl="5" w:tplc="C31212F2">
      <w:start w:val="1"/>
      <w:numFmt w:val="bullet"/>
      <w:lvlText w:val=""/>
      <w:lvlJc w:val="left"/>
      <w:pPr>
        <w:ind w:left="1080" w:hanging="360"/>
      </w:pPr>
      <w:rPr>
        <w:rFonts w:ascii="Symbol" w:hAnsi="Symbol"/>
      </w:rPr>
    </w:lvl>
    <w:lvl w:ilvl="6" w:tplc="55A02D26">
      <w:start w:val="1"/>
      <w:numFmt w:val="bullet"/>
      <w:lvlText w:val=""/>
      <w:lvlJc w:val="left"/>
      <w:pPr>
        <w:ind w:left="1080" w:hanging="360"/>
      </w:pPr>
      <w:rPr>
        <w:rFonts w:ascii="Symbol" w:hAnsi="Symbol"/>
      </w:rPr>
    </w:lvl>
    <w:lvl w:ilvl="7" w:tplc="5322CB68">
      <w:start w:val="1"/>
      <w:numFmt w:val="bullet"/>
      <w:lvlText w:val=""/>
      <w:lvlJc w:val="left"/>
      <w:pPr>
        <w:ind w:left="1080" w:hanging="360"/>
      </w:pPr>
      <w:rPr>
        <w:rFonts w:ascii="Symbol" w:hAnsi="Symbol"/>
      </w:rPr>
    </w:lvl>
    <w:lvl w:ilvl="8" w:tplc="0BEE1410">
      <w:start w:val="1"/>
      <w:numFmt w:val="bullet"/>
      <w:lvlText w:val=""/>
      <w:lvlJc w:val="left"/>
      <w:pPr>
        <w:ind w:left="1080" w:hanging="360"/>
      </w:pPr>
      <w:rPr>
        <w:rFonts w:ascii="Symbol" w:hAnsi="Symbol"/>
      </w:rPr>
    </w:lvl>
  </w:abstractNum>
  <w:abstractNum w:abstractNumId="5" w15:restartNumberingAfterBreak="0">
    <w:nsid w:val="3BE621FC"/>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3D8608BC"/>
    <w:multiLevelType w:val="hybridMultilevel"/>
    <w:tmpl w:val="67488FC2"/>
    <w:lvl w:ilvl="0" w:tplc="B2526A72">
      <w:start w:val="1"/>
      <w:numFmt w:val="bullet"/>
      <w:lvlText w:val=""/>
      <w:lvlJc w:val="left"/>
      <w:pPr>
        <w:ind w:left="1080" w:hanging="360"/>
      </w:pPr>
      <w:rPr>
        <w:rFonts w:ascii="Symbol" w:hAnsi="Symbol"/>
      </w:rPr>
    </w:lvl>
    <w:lvl w:ilvl="1" w:tplc="246C8D2A">
      <w:start w:val="1"/>
      <w:numFmt w:val="bullet"/>
      <w:lvlText w:val=""/>
      <w:lvlJc w:val="left"/>
      <w:pPr>
        <w:ind w:left="1080" w:hanging="360"/>
      </w:pPr>
      <w:rPr>
        <w:rFonts w:ascii="Symbol" w:hAnsi="Symbol"/>
      </w:rPr>
    </w:lvl>
    <w:lvl w:ilvl="2" w:tplc="1F9C272E">
      <w:start w:val="1"/>
      <w:numFmt w:val="bullet"/>
      <w:lvlText w:val=""/>
      <w:lvlJc w:val="left"/>
      <w:pPr>
        <w:ind w:left="1080" w:hanging="360"/>
      </w:pPr>
      <w:rPr>
        <w:rFonts w:ascii="Symbol" w:hAnsi="Symbol"/>
      </w:rPr>
    </w:lvl>
    <w:lvl w:ilvl="3" w:tplc="86CE0ED2">
      <w:start w:val="1"/>
      <w:numFmt w:val="bullet"/>
      <w:lvlText w:val=""/>
      <w:lvlJc w:val="left"/>
      <w:pPr>
        <w:ind w:left="1080" w:hanging="360"/>
      </w:pPr>
      <w:rPr>
        <w:rFonts w:ascii="Symbol" w:hAnsi="Symbol"/>
      </w:rPr>
    </w:lvl>
    <w:lvl w:ilvl="4" w:tplc="0F4046FA">
      <w:start w:val="1"/>
      <w:numFmt w:val="bullet"/>
      <w:lvlText w:val=""/>
      <w:lvlJc w:val="left"/>
      <w:pPr>
        <w:ind w:left="1080" w:hanging="360"/>
      </w:pPr>
      <w:rPr>
        <w:rFonts w:ascii="Symbol" w:hAnsi="Symbol"/>
      </w:rPr>
    </w:lvl>
    <w:lvl w:ilvl="5" w:tplc="35E630C8">
      <w:start w:val="1"/>
      <w:numFmt w:val="bullet"/>
      <w:lvlText w:val=""/>
      <w:lvlJc w:val="left"/>
      <w:pPr>
        <w:ind w:left="1080" w:hanging="360"/>
      </w:pPr>
      <w:rPr>
        <w:rFonts w:ascii="Symbol" w:hAnsi="Symbol"/>
      </w:rPr>
    </w:lvl>
    <w:lvl w:ilvl="6" w:tplc="BC8E32A4">
      <w:start w:val="1"/>
      <w:numFmt w:val="bullet"/>
      <w:lvlText w:val=""/>
      <w:lvlJc w:val="left"/>
      <w:pPr>
        <w:ind w:left="1080" w:hanging="360"/>
      </w:pPr>
      <w:rPr>
        <w:rFonts w:ascii="Symbol" w:hAnsi="Symbol"/>
      </w:rPr>
    </w:lvl>
    <w:lvl w:ilvl="7" w:tplc="4E429A96">
      <w:start w:val="1"/>
      <w:numFmt w:val="bullet"/>
      <w:lvlText w:val=""/>
      <w:lvlJc w:val="left"/>
      <w:pPr>
        <w:ind w:left="1080" w:hanging="360"/>
      </w:pPr>
      <w:rPr>
        <w:rFonts w:ascii="Symbol" w:hAnsi="Symbol"/>
      </w:rPr>
    </w:lvl>
    <w:lvl w:ilvl="8" w:tplc="F65A7772">
      <w:start w:val="1"/>
      <w:numFmt w:val="bullet"/>
      <w:lvlText w:val=""/>
      <w:lvlJc w:val="left"/>
      <w:pPr>
        <w:ind w:left="1080" w:hanging="360"/>
      </w:pPr>
      <w:rPr>
        <w:rFonts w:ascii="Symbol" w:hAnsi="Symbol"/>
      </w:rPr>
    </w:lvl>
  </w:abstractNum>
  <w:abstractNum w:abstractNumId="7" w15:restartNumberingAfterBreak="0">
    <w:nsid w:val="47194491"/>
    <w:multiLevelType w:val="hybridMultilevel"/>
    <w:tmpl w:val="751AF920"/>
    <w:lvl w:ilvl="0" w:tplc="DB968682">
      <w:start w:val="1"/>
      <w:numFmt w:val="bullet"/>
      <w:lvlText w:val=""/>
      <w:lvlJc w:val="left"/>
      <w:pPr>
        <w:ind w:left="1080" w:hanging="360"/>
      </w:pPr>
      <w:rPr>
        <w:rFonts w:ascii="Symbol" w:hAnsi="Symbol"/>
      </w:rPr>
    </w:lvl>
    <w:lvl w:ilvl="1" w:tplc="B8F4EA7E">
      <w:start w:val="1"/>
      <w:numFmt w:val="bullet"/>
      <w:lvlText w:val=""/>
      <w:lvlJc w:val="left"/>
      <w:pPr>
        <w:ind w:left="1080" w:hanging="360"/>
      </w:pPr>
      <w:rPr>
        <w:rFonts w:ascii="Symbol" w:hAnsi="Symbol"/>
      </w:rPr>
    </w:lvl>
    <w:lvl w:ilvl="2" w:tplc="69B25000">
      <w:start w:val="1"/>
      <w:numFmt w:val="bullet"/>
      <w:lvlText w:val=""/>
      <w:lvlJc w:val="left"/>
      <w:pPr>
        <w:ind w:left="1080" w:hanging="360"/>
      </w:pPr>
      <w:rPr>
        <w:rFonts w:ascii="Symbol" w:hAnsi="Symbol"/>
      </w:rPr>
    </w:lvl>
    <w:lvl w:ilvl="3" w:tplc="925A23F8">
      <w:start w:val="1"/>
      <w:numFmt w:val="bullet"/>
      <w:lvlText w:val=""/>
      <w:lvlJc w:val="left"/>
      <w:pPr>
        <w:ind w:left="1080" w:hanging="360"/>
      </w:pPr>
      <w:rPr>
        <w:rFonts w:ascii="Symbol" w:hAnsi="Symbol"/>
      </w:rPr>
    </w:lvl>
    <w:lvl w:ilvl="4" w:tplc="26BEA4EE">
      <w:start w:val="1"/>
      <w:numFmt w:val="bullet"/>
      <w:lvlText w:val=""/>
      <w:lvlJc w:val="left"/>
      <w:pPr>
        <w:ind w:left="1080" w:hanging="360"/>
      </w:pPr>
      <w:rPr>
        <w:rFonts w:ascii="Symbol" w:hAnsi="Symbol"/>
      </w:rPr>
    </w:lvl>
    <w:lvl w:ilvl="5" w:tplc="DD04A3F0">
      <w:start w:val="1"/>
      <w:numFmt w:val="bullet"/>
      <w:lvlText w:val=""/>
      <w:lvlJc w:val="left"/>
      <w:pPr>
        <w:ind w:left="1080" w:hanging="360"/>
      </w:pPr>
      <w:rPr>
        <w:rFonts w:ascii="Symbol" w:hAnsi="Symbol"/>
      </w:rPr>
    </w:lvl>
    <w:lvl w:ilvl="6" w:tplc="B4722888">
      <w:start w:val="1"/>
      <w:numFmt w:val="bullet"/>
      <w:lvlText w:val=""/>
      <w:lvlJc w:val="left"/>
      <w:pPr>
        <w:ind w:left="1080" w:hanging="360"/>
      </w:pPr>
      <w:rPr>
        <w:rFonts w:ascii="Symbol" w:hAnsi="Symbol"/>
      </w:rPr>
    </w:lvl>
    <w:lvl w:ilvl="7" w:tplc="66BEF432">
      <w:start w:val="1"/>
      <w:numFmt w:val="bullet"/>
      <w:lvlText w:val=""/>
      <w:lvlJc w:val="left"/>
      <w:pPr>
        <w:ind w:left="1080" w:hanging="360"/>
      </w:pPr>
      <w:rPr>
        <w:rFonts w:ascii="Symbol" w:hAnsi="Symbol"/>
      </w:rPr>
    </w:lvl>
    <w:lvl w:ilvl="8" w:tplc="B80E7720">
      <w:start w:val="1"/>
      <w:numFmt w:val="bullet"/>
      <w:lvlText w:val=""/>
      <w:lvlJc w:val="left"/>
      <w:pPr>
        <w:ind w:left="1080" w:hanging="360"/>
      </w:pPr>
      <w:rPr>
        <w:rFonts w:ascii="Symbol" w:hAnsi="Symbol"/>
      </w:rPr>
    </w:lvl>
  </w:abstractNum>
  <w:abstractNum w:abstractNumId="8" w15:restartNumberingAfterBreak="0">
    <w:nsid w:val="473F7A9C"/>
    <w:multiLevelType w:val="hybridMultilevel"/>
    <w:tmpl w:val="23167456"/>
    <w:lvl w:ilvl="0" w:tplc="977CE850">
      <w:start w:val="1"/>
      <w:numFmt w:val="bullet"/>
      <w:lvlText w:val=""/>
      <w:lvlJc w:val="left"/>
      <w:pPr>
        <w:ind w:left="1080" w:hanging="360"/>
      </w:pPr>
      <w:rPr>
        <w:rFonts w:ascii="Symbol" w:hAnsi="Symbol"/>
      </w:rPr>
    </w:lvl>
    <w:lvl w:ilvl="1" w:tplc="FEC2FDAC">
      <w:start w:val="1"/>
      <w:numFmt w:val="bullet"/>
      <w:lvlText w:val=""/>
      <w:lvlJc w:val="left"/>
      <w:pPr>
        <w:ind w:left="1080" w:hanging="360"/>
      </w:pPr>
      <w:rPr>
        <w:rFonts w:ascii="Symbol" w:hAnsi="Symbol"/>
      </w:rPr>
    </w:lvl>
    <w:lvl w:ilvl="2" w:tplc="4B20748C">
      <w:start w:val="1"/>
      <w:numFmt w:val="bullet"/>
      <w:lvlText w:val=""/>
      <w:lvlJc w:val="left"/>
      <w:pPr>
        <w:ind w:left="1080" w:hanging="360"/>
      </w:pPr>
      <w:rPr>
        <w:rFonts w:ascii="Symbol" w:hAnsi="Symbol"/>
      </w:rPr>
    </w:lvl>
    <w:lvl w:ilvl="3" w:tplc="AFF6F628">
      <w:start w:val="1"/>
      <w:numFmt w:val="bullet"/>
      <w:lvlText w:val=""/>
      <w:lvlJc w:val="left"/>
      <w:pPr>
        <w:ind w:left="1080" w:hanging="360"/>
      </w:pPr>
      <w:rPr>
        <w:rFonts w:ascii="Symbol" w:hAnsi="Symbol"/>
      </w:rPr>
    </w:lvl>
    <w:lvl w:ilvl="4" w:tplc="E350153C">
      <w:start w:val="1"/>
      <w:numFmt w:val="bullet"/>
      <w:lvlText w:val=""/>
      <w:lvlJc w:val="left"/>
      <w:pPr>
        <w:ind w:left="1080" w:hanging="360"/>
      </w:pPr>
      <w:rPr>
        <w:rFonts w:ascii="Symbol" w:hAnsi="Symbol"/>
      </w:rPr>
    </w:lvl>
    <w:lvl w:ilvl="5" w:tplc="E634D87C">
      <w:start w:val="1"/>
      <w:numFmt w:val="bullet"/>
      <w:lvlText w:val=""/>
      <w:lvlJc w:val="left"/>
      <w:pPr>
        <w:ind w:left="1080" w:hanging="360"/>
      </w:pPr>
      <w:rPr>
        <w:rFonts w:ascii="Symbol" w:hAnsi="Symbol"/>
      </w:rPr>
    </w:lvl>
    <w:lvl w:ilvl="6" w:tplc="86A626C2">
      <w:start w:val="1"/>
      <w:numFmt w:val="bullet"/>
      <w:lvlText w:val=""/>
      <w:lvlJc w:val="left"/>
      <w:pPr>
        <w:ind w:left="1080" w:hanging="360"/>
      </w:pPr>
      <w:rPr>
        <w:rFonts w:ascii="Symbol" w:hAnsi="Symbol"/>
      </w:rPr>
    </w:lvl>
    <w:lvl w:ilvl="7" w:tplc="2DAECB96">
      <w:start w:val="1"/>
      <w:numFmt w:val="bullet"/>
      <w:lvlText w:val=""/>
      <w:lvlJc w:val="left"/>
      <w:pPr>
        <w:ind w:left="1080" w:hanging="360"/>
      </w:pPr>
      <w:rPr>
        <w:rFonts w:ascii="Symbol" w:hAnsi="Symbol"/>
      </w:rPr>
    </w:lvl>
    <w:lvl w:ilvl="8" w:tplc="E5D240D2">
      <w:start w:val="1"/>
      <w:numFmt w:val="bullet"/>
      <w:lvlText w:val=""/>
      <w:lvlJc w:val="left"/>
      <w:pPr>
        <w:ind w:left="1080" w:hanging="360"/>
      </w:pPr>
      <w:rPr>
        <w:rFonts w:ascii="Symbol" w:hAnsi="Symbol"/>
      </w:rPr>
    </w:lvl>
  </w:abstractNum>
  <w:abstractNum w:abstractNumId="9" w15:restartNumberingAfterBreak="0">
    <w:nsid w:val="483C7C89"/>
    <w:multiLevelType w:val="hybridMultilevel"/>
    <w:tmpl w:val="F436661C"/>
    <w:lvl w:ilvl="0" w:tplc="C3F05010">
      <w:start w:val="1"/>
      <w:numFmt w:val="bullet"/>
      <w:lvlText w:val=""/>
      <w:lvlJc w:val="left"/>
      <w:pPr>
        <w:ind w:left="1080" w:hanging="360"/>
      </w:pPr>
      <w:rPr>
        <w:rFonts w:ascii="Symbol" w:hAnsi="Symbol"/>
      </w:rPr>
    </w:lvl>
    <w:lvl w:ilvl="1" w:tplc="0ECA9800">
      <w:start w:val="1"/>
      <w:numFmt w:val="bullet"/>
      <w:lvlText w:val=""/>
      <w:lvlJc w:val="left"/>
      <w:pPr>
        <w:ind w:left="1080" w:hanging="360"/>
      </w:pPr>
      <w:rPr>
        <w:rFonts w:ascii="Symbol" w:hAnsi="Symbol"/>
      </w:rPr>
    </w:lvl>
    <w:lvl w:ilvl="2" w:tplc="E2AA3428">
      <w:start w:val="1"/>
      <w:numFmt w:val="bullet"/>
      <w:lvlText w:val=""/>
      <w:lvlJc w:val="left"/>
      <w:pPr>
        <w:ind w:left="1080" w:hanging="360"/>
      </w:pPr>
      <w:rPr>
        <w:rFonts w:ascii="Symbol" w:hAnsi="Symbol"/>
      </w:rPr>
    </w:lvl>
    <w:lvl w:ilvl="3" w:tplc="3522C588">
      <w:start w:val="1"/>
      <w:numFmt w:val="bullet"/>
      <w:lvlText w:val=""/>
      <w:lvlJc w:val="left"/>
      <w:pPr>
        <w:ind w:left="1080" w:hanging="360"/>
      </w:pPr>
      <w:rPr>
        <w:rFonts w:ascii="Symbol" w:hAnsi="Symbol"/>
      </w:rPr>
    </w:lvl>
    <w:lvl w:ilvl="4" w:tplc="98EC0E88">
      <w:start w:val="1"/>
      <w:numFmt w:val="bullet"/>
      <w:lvlText w:val=""/>
      <w:lvlJc w:val="left"/>
      <w:pPr>
        <w:ind w:left="1080" w:hanging="360"/>
      </w:pPr>
      <w:rPr>
        <w:rFonts w:ascii="Symbol" w:hAnsi="Symbol"/>
      </w:rPr>
    </w:lvl>
    <w:lvl w:ilvl="5" w:tplc="FB6E73CE">
      <w:start w:val="1"/>
      <w:numFmt w:val="bullet"/>
      <w:lvlText w:val=""/>
      <w:lvlJc w:val="left"/>
      <w:pPr>
        <w:ind w:left="1080" w:hanging="360"/>
      </w:pPr>
      <w:rPr>
        <w:rFonts w:ascii="Symbol" w:hAnsi="Symbol"/>
      </w:rPr>
    </w:lvl>
    <w:lvl w:ilvl="6" w:tplc="3AA4144C">
      <w:start w:val="1"/>
      <w:numFmt w:val="bullet"/>
      <w:lvlText w:val=""/>
      <w:lvlJc w:val="left"/>
      <w:pPr>
        <w:ind w:left="1080" w:hanging="360"/>
      </w:pPr>
      <w:rPr>
        <w:rFonts w:ascii="Symbol" w:hAnsi="Symbol"/>
      </w:rPr>
    </w:lvl>
    <w:lvl w:ilvl="7" w:tplc="F68E6CBE">
      <w:start w:val="1"/>
      <w:numFmt w:val="bullet"/>
      <w:lvlText w:val=""/>
      <w:lvlJc w:val="left"/>
      <w:pPr>
        <w:ind w:left="1080" w:hanging="360"/>
      </w:pPr>
      <w:rPr>
        <w:rFonts w:ascii="Symbol" w:hAnsi="Symbol"/>
      </w:rPr>
    </w:lvl>
    <w:lvl w:ilvl="8" w:tplc="32D43DA6">
      <w:start w:val="1"/>
      <w:numFmt w:val="bullet"/>
      <w:lvlText w:val=""/>
      <w:lvlJc w:val="left"/>
      <w:pPr>
        <w:ind w:left="1080" w:hanging="360"/>
      </w:pPr>
      <w:rPr>
        <w:rFonts w:ascii="Symbol" w:hAnsi="Symbol"/>
      </w:rPr>
    </w:lvl>
  </w:abstractNum>
  <w:abstractNum w:abstractNumId="10" w15:restartNumberingAfterBreak="0">
    <w:nsid w:val="4A5149F5"/>
    <w:multiLevelType w:val="hybridMultilevel"/>
    <w:tmpl w:val="20EA3880"/>
    <w:lvl w:ilvl="0" w:tplc="F87E7A64">
      <w:start w:val="1"/>
      <w:numFmt w:val="bullet"/>
      <w:lvlText w:val=""/>
      <w:lvlJc w:val="left"/>
      <w:pPr>
        <w:ind w:left="1080" w:hanging="360"/>
      </w:pPr>
      <w:rPr>
        <w:rFonts w:ascii="Symbol" w:hAnsi="Symbol"/>
      </w:rPr>
    </w:lvl>
    <w:lvl w:ilvl="1" w:tplc="BA9EF9DE">
      <w:start w:val="1"/>
      <w:numFmt w:val="bullet"/>
      <w:lvlText w:val=""/>
      <w:lvlJc w:val="left"/>
      <w:pPr>
        <w:ind w:left="1080" w:hanging="360"/>
      </w:pPr>
      <w:rPr>
        <w:rFonts w:ascii="Symbol" w:hAnsi="Symbol"/>
      </w:rPr>
    </w:lvl>
    <w:lvl w:ilvl="2" w:tplc="469071AA">
      <w:start w:val="1"/>
      <w:numFmt w:val="bullet"/>
      <w:lvlText w:val=""/>
      <w:lvlJc w:val="left"/>
      <w:pPr>
        <w:ind w:left="1080" w:hanging="360"/>
      </w:pPr>
      <w:rPr>
        <w:rFonts w:ascii="Symbol" w:hAnsi="Symbol"/>
      </w:rPr>
    </w:lvl>
    <w:lvl w:ilvl="3" w:tplc="FB6616AA">
      <w:start w:val="1"/>
      <w:numFmt w:val="bullet"/>
      <w:lvlText w:val=""/>
      <w:lvlJc w:val="left"/>
      <w:pPr>
        <w:ind w:left="1080" w:hanging="360"/>
      </w:pPr>
      <w:rPr>
        <w:rFonts w:ascii="Symbol" w:hAnsi="Symbol"/>
      </w:rPr>
    </w:lvl>
    <w:lvl w:ilvl="4" w:tplc="D79E4DDA">
      <w:start w:val="1"/>
      <w:numFmt w:val="bullet"/>
      <w:lvlText w:val=""/>
      <w:lvlJc w:val="left"/>
      <w:pPr>
        <w:ind w:left="1080" w:hanging="360"/>
      </w:pPr>
      <w:rPr>
        <w:rFonts w:ascii="Symbol" w:hAnsi="Symbol"/>
      </w:rPr>
    </w:lvl>
    <w:lvl w:ilvl="5" w:tplc="1E0617CC">
      <w:start w:val="1"/>
      <w:numFmt w:val="bullet"/>
      <w:lvlText w:val=""/>
      <w:lvlJc w:val="left"/>
      <w:pPr>
        <w:ind w:left="1080" w:hanging="360"/>
      </w:pPr>
      <w:rPr>
        <w:rFonts w:ascii="Symbol" w:hAnsi="Symbol"/>
      </w:rPr>
    </w:lvl>
    <w:lvl w:ilvl="6" w:tplc="47AE630C">
      <w:start w:val="1"/>
      <w:numFmt w:val="bullet"/>
      <w:lvlText w:val=""/>
      <w:lvlJc w:val="left"/>
      <w:pPr>
        <w:ind w:left="1080" w:hanging="360"/>
      </w:pPr>
      <w:rPr>
        <w:rFonts w:ascii="Symbol" w:hAnsi="Symbol"/>
      </w:rPr>
    </w:lvl>
    <w:lvl w:ilvl="7" w:tplc="2AFC5220">
      <w:start w:val="1"/>
      <w:numFmt w:val="bullet"/>
      <w:lvlText w:val=""/>
      <w:lvlJc w:val="left"/>
      <w:pPr>
        <w:ind w:left="1080" w:hanging="360"/>
      </w:pPr>
      <w:rPr>
        <w:rFonts w:ascii="Symbol" w:hAnsi="Symbol"/>
      </w:rPr>
    </w:lvl>
    <w:lvl w:ilvl="8" w:tplc="F3D6E6D4">
      <w:start w:val="1"/>
      <w:numFmt w:val="bullet"/>
      <w:lvlText w:val=""/>
      <w:lvlJc w:val="left"/>
      <w:pPr>
        <w:ind w:left="1080" w:hanging="360"/>
      </w:pPr>
      <w:rPr>
        <w:rFonts w:ascii="Symbol" w:hAnsi="Symbol"/>
      </w:rPr>
    </w:lvl>
  </w:abstractNum>
  <w:abstractNum w:abstractNumId="11" w15:restartNumberingAfterBreak="0">
    <w:nsid w:val="4D516E5E"/>
    <w:multiLevelType w:val="multilevel"/>
    <w:tmpl w:val="9912E6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E2F2661"/>
    <w:multiLevelType w:val="hybridMultilevel"/>
    <w:tmpl w:val="3D401EC4"/>
    <w:lvl w:ilvl="0" w:tplc="90EC47C6">
      <w:start w:val="1"/>
      <w:numFmt w:val="bullet"/>
      <w:lvlText w:val=""/>
      <w:lvlJc w:val="left"/>
      <w:pPr>
        <w:ind w:left="1080" w:hanging="360"/>
      </w:pPr>
      <w:rPr>
        <w:rFonts w:ascii="Symbol" w:hAnsi="Symbol"/>
      </w:rPr>
    </w:lvl>
    <w:lvl w:ilvl="1" w:tplc="F2E279AA">
      <w:start w:val="1"/>
      <w:numFmt w:val="bullet"/>
      <w:lvlText w:val=""/>
      <w:lvlJc w:val="left"/>
      <w:pPr>
        <w:ind w:left="1080" w:hanging="360"/>
      </w:pPr>
      <w:rPr>
        <w:rFonts w:ascii="Symbol" w:hAnsi="Symbol"/>
      </w:rPr>
    </w:lvl>
    <w:lvl w:ilvl="2" w:tplc="E50474D8">
      <w:start w:val="1"/>
      <w:numFmt w:val="bullet"/>
      <w:lvlText w:val=""/>
      <w:lvlJc w:val="left"/>
      <w:pPr>
        <w:ind w:left="1080" w:hanging="360"/>
      </w:pPr>
      <w:rPr>
        <w:rFonts w:ascii="Symbol" w:hAnsi="Symbol"/>
      </w:rPr>
    </w:lvl>
    <w:lvl w:ilvl="3" w:tplc="FB90493C">
      <w:start w:val="1"/>
      <w:numFmt w:val="bullet"/>
      <w:lvlText w:val=""/>
      <w:lvlJc w:val="left"/>
      <w:pPr>
        <w:ind w:left="1080" w:hanging="360"/>
      </w:pPr>
      <w:rPr>
        <w:rFonts w:ascii="Symbol" w:hAnsi="Symbol"/>
      </w:rPr>
    </w:lvl>
    <w:lvl w:ilvl="4" w:tplc="FE802B5E">
      <w:start w:val="1"/>
      <w:numFmt w:val="bullet"/>
      <w:lvlText w:val=""/>
      <w:lvlJc w:val="left"/>
      <w:pPr>
        <w:ind w:left="1080" w:hanging="360"/>
      </w:pPr>
      <w:rPr>
        <w:rFonts w:ascii="Symbol" w:hAnsi="Symbol"/>
      </w:rPr>
    </w:lvl>
    <w:lvl w:ilvl="5" w:tplc="2A742408">
      <w:start w:val="1"/>
      <w:numFmt w:val="bullet"/>
      <w:lvlText w:val=""/>
      <w:lvlJc w:val="left"/>
      <w:pPr>
        <w:ind w:left="1080" w:hanging="360"/>
      </w:pPr>
      <w:rPr>
        <w:rFonts w:ascii="Symbol" w:hAnsi="Symbol"/>
      </w:rPr>
    </w:lvl>
    <w:lvl w:ilvl="6" w:tplc="8892EE84">
      <w:start w:val="1"/>
      <w:numFmt w:val="bullet"/>
      <w:lvlText w:val=""/>
      <w:lvlJc w:val="left"/>
      <w:pPr>
        <w:ind w:left="1080" w:hanging="360"/>
      </w:pPr>
      <w:rPr>
        <w:rFonts w:ascii="Symbol" w:hAnsi="Symbol"/>
      </w:rPr>
    </w:lvl>
    <w:lvl w:ilvl="7" w:tplc="049C2D0C">
      <w:start w:val="1"/>
      <w:numFmt w:val="bullet"/>
      <w:lvlText w:val=""/>
      <w:lvlJc w:val="left"/>
      <w:pPr>
        <w:ind w:left="1080" w:hanging="360"/>
      </w:pPr>
      <w:rPr>
        <w:rFonts w:ascii="Symbol" w:hAnsi="Symbol"/>
      </w:rPr>
    </w:lvl>
    <w:lvl w:ilvl="8" w:tplc="950EB35E">
      <w:start w:val="1"/>
      <w:numFmt w:val="bullet"/>
      <w:lvlText w:val=""/>
      <w:lvlJc w:val="left"/>
      <w:pPr>
        <w:ind w:left="1080" w:hanging="360"/>
      </w:pPr>
      <w:rPr>
        <w:rFonts w:ascii="Symbol" w:hAnsi="Symbol"/>
      </w:rPr>
    </w:lvl>
  </w:abstractNum>
  <w:abstractNum w:abstractNumId="13" w15:restartNumberingAfterBreak="0">
    <w:nsid w:val="50615A58"/>
    <w:multiLevelType w:val="hybridMultilevel"/>
    <w:tmpl w:val="71F421E8"/>
    <w:lvl w:ilvl="0" w:tplc="3E861814">
      <w:start w:val="1"/>
      <w:numFmt w:val="bullet"/>
      <w:lvlText w:val=""/>
      <w:lvlJc w:val="left"/>
      <w:pPr>
        <w:ind w:left="1080" w:hanging="360"/>
      </w:pPr>
      <w:rPr>
        <w:rFonts w:ascii="Symbol" w:hAnsi="Symbol"/>
      </w:rPr>
    </w:lvl>
    <w:lvl w:ilvl="1" w:tplc="FE4AE372">
      <w:start w:val="1"/>
      <w:numFmt w:val="bullet"/>
      <w:lvlText w:val=""/>
      <w:lvlJc w:val="left"/>
      <w:pPr>
        <w:ind w:left="1080" w:hanging="360"/>
      </w:pPr>
      <w:rPr>
        <w:rFonts w:ascii="Symbol" w:hAnsi="Symbol"/>
      </w:rPr>
    </w:lvl>
    <w:lvl w:ilvl="2" w:tplc="1C6CBCAA">
      <w:start w:val="1"/>
      <w:numFmt w:val="bullet"/>
      <w:lvlText w:val=""/>
      <w:lvlJc w:val="left"/>
      <w:pPr>
        <w:ind w:left="1080" w:hanging="360"/>
      </w:pPr>
      <w:rPr>
        <w:rFonts w:ascii="Symbol" w:hAnsi="Symbol"/>
      </w:rPr>
    </w:lvl>
    <w:lvl w:ilvl="3" w:tplc="660E9EB0">
      <w:start w:val="1"/>
      <w:numFmt w:val="bullet"/>
      <w:lvlText w:val=""/>
      <w:lvlJc w:val="left"/>
      <w:pPr>
        <w:ind w:left="1080" w:hanging="360"/>
      </w:pPr>
      <w:rPr>
        <w:rFonts w:ascii="Symbol" w:hAnsi="Symbol"/>
      </w:rPr>
    </w:lvl>
    <w:lvl w:ilvl="4" w:tplc="6088DFA4">
      <w:start w:val="1"/>
      <w:numFmt w:val="bullet"/>
      <w:lvlText w:val=""/>
      <w:lvlJc w:val="left"/>
      <w:pPr>
        <w:ind w:left="1080" w:hanging="360"/>
      </w:pPr>
      <w:rPr>
        <w:rFonts w:ascii="Symbol" w:hAnsi="Symbol"/>
      </w:rPr>
    </w:lvl>
    <w:lvl w:ilvl="5" w:tplc="2640B2D8">
      <w:start w:val="1"/>
      <w:numFmt w:val="bullet"/>
      <w:lvlText w:val=""/>
      <w:lvlJc w:val="left"/>
      <w:pPr>
        <w:ind w:left="1080" w:hanging="360"/>
      </w:pPr>
      <w:rPr>
        <w:rFonts w:ascii="Symbol" w:hAnsi="Symbol"/>
      </w:rPr>
    </w:lvl>
    <w:lvl w:ilvl="6" w:tplc="BEF44BD8">
      <w:start w:val="1"/>
      <w:numFmt w:val="bullet"/>
      <w:lvlText w:val=""/>
      <w:lvlJc w:val="left"/>
      <w:pPr>
        <w:ind w:left="1080" w:hanging="360"/>
      </w:pPr>
      <w:rPr>
        <w:rFonts w:ascii="Symbol" w:hAnsi="Symbol"/>
      </w:rPr>
    </w:lvl>
    <w:lvl w:ilvl="7" w:tplc="27C62046">
      <w:start w:val="1"/>
      <w:numFmt w:val="bullet"/>
      <w:lvlText w:val=""/>
      <w:lvlJc w:val="left"/>
      <w:pPr>
        <w:ind w:left="1080" w:hanging="360"/>
      </w:pPr>
      <w:rPr>
        <w:rFonts w:ascii="Symbol" w:hAnsi="Symbol"/>
      </w:rPr>
    </w:lvl>
    <w:lvl w:ilvl="8" w:tplc="8F2CF28A">
      <w:start w:val="1"/>
      <w:numFmt w:val="bullet"/>
      <w:lvlText w:val=""/>
      <w:lvlJc w:val="left"/>
      <w:pPr>
        <w:ind w:left="1080" w:hanging="360"/>
      </w:pPr>
      <w:rPr>
        <w:rFonts w:ascii="Symbol" w:hAnsi="Symbol"/>
      </w:rPr>
    </w:lvl>
  </w:abstractNum>
  <w:abstractNum w:abstractNumId="14" w15:restartNumberingAfterBreak="0">
    <w:nsid w:val="50A33BBF"/>
    <w:multiLevelType w:val="hybridMultilevel"/>
    <w:tmpl w:val="A9C468FA"/>
    <w:lvl w:ilvl="0" w:tplc="D324CBC6">
      <w:start w:val="1"/>
      <w:numFmt w:val="bullet"/>
      <w:lvlText w:val=""/>
      <w:lvlJc w:val="left"/>
      <w:pPr>
        <w:ind w:left="1080" w:hanging="360"/>
      </w:pPr>
      <w:rPr>
        <w:rFonts w:ascii="Symbol" w:hAnsi="Symbol"/>
      </w:rPr>
    </w:lvl>
    <w:lvl w:ilvl="1" w:tplc="0B98219E">
      <w:start w:val="1"/>
      <w:numFmt w:val="bullet"/>
      <w:lvlText w:val=""/>
      <w:lvlJc w:val="left"/>
      <w:pPr>
        <w:ind w:left="1080" w:hanging="360"/>
      </w:pPr>
      <w:rPr>
        <w:rFonts w:ascii="Symbol" w:hAnsi="Symbol"/>
      </w:rPr>
    </w:lvl>
    <w:lvl w:ilvl="2" w:tplc="F940AE16">
      <w:start w:val="1"/>
      <w:numFmt w:val="bullet"/>
      <w:lvlText w:val=""/>
      <w:lvlJc w:val="left"/>
      <w:pPr>
        <w:ind w:left="1080" w:hanging="360"/>
      </w:pPr>
      <w:rPr>
        <w:rFonts w:ascii="Symbol" w:hAnsi="Symbol"/>
      </w:rPr>
    </w:lvl>
    <w:lvl w:ilvl="3" w:tplc="0D56E33A">
      <w:start w:val="1"/>
      <w:numFmt w:val="bullet"/>
      <w:lvlText w:val=""/>
      <w:lvlJc w:val="left"/>
      <w:pPr>
        <w:ind w:left="1080" w:hanging="360"/>
      </w:pPr>
      <w:rPr>
        <w:rFonts w:ascii="Symbol" w:hAnsi="Symbol"/>
      </w:rPr>
    </w:lvl>
    <w:lvl w:ilvl="4" w:tplc="C96CD984">
      <w:start w:val="1"/>
      <w:numFmt w:val="bullet"/>
      <w:lvlText w:val=""/>
      <w:lvlJc w:val="left"/>
      <w:pPr>
        <w:ind w:left="1080" w:hanging="360"/>
      </w:pPr>
      <w:rPr>
        <w:rFonts w:ascii="Symbol" w:hAnsi="Symbol"/>
      </w:rPr>
    </w:lvl>
    <w:lvl w:ilvl="5" w:tplc="17FA1532">
      <w:start w:val="1"/>
      <w:numFmt w:val="bullet"/>
      <w:lvlText w:val=""/>
      <w:lvlJc w:val="left"/>
      <w:pPr>
        <w:ind w:left="1080" w:hanging="360"/>
      </w:pPr>
      <w:rPr>
        <w:rFonts w:ascii="Symbol" w:hAnsi="Symbol"/>
      </w:rPr>
    </w:lvl>
    <w:lvl w:ilvl="6" w:tplc="9ECC7A5C">
      <w:start w:val="1"/>
      <w:numFmt w:val="bullet"/>
      <w:lvlText w:val=""/>
      <w:lvlJc w:val="left"/>
      <w:pPr>
        <w:ind w:left="1080" w:hanging="360"/>
      </w:pPr>
      <w:rPr>
        <w:rFonts w:ascii="Symbol" w:hAnsi="Symbol"/>
      </w:rPr>
    </w:lvl>
    <w:lvl w:ilvl="7" w:tplc="9AEE1A4E">
      <w:start w:val="1"/>
      <w:numFmt w:val="bullet"/>
      <w:lvlText w:val=""/>
      <w:lvlJc w:val="left"/>
      <w:pPr>
        <w:ind w:left="1080" w:hanging="360"/>
      </w:pPr>
      <w:rPr>
        <w:rFonts w:ascii="Symbol" w:hAnsi="Symbol"/>
      </w:rPr>
    </w:lvl>
    <w:lvl w:ilvl="8" w:tplc="78CEFEFE">
      <w:start w:val="1"/>
      <w:numFmt w:val="bullet"/>
      <w:lvlText w:val=""/>
      <w:lvlJc w:val="left"/>
      <w:pPr>
        <w:ind w:left="1080" w:hanging="360"/>
      </w:pPr>
      <w:rPr>
        <w:rFonts w:ascii="Symbol" w:hAnsi="Symbol"/>
      </w:rPr>
    </w:lvl>
  </w:abstractNum>
  <w:abstractNum w:abstractNumId="15" w15:restartNumberingAfterBreak="0">
    <w:nsid w:val="601B26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374D8B"/>
    <w:multiLevelType w:val="hybridMultilevel"/>
    <w:tmpl w:val="4BCC35DC"/>
    <w:lvl w:ilvl="0" w:tplc="C1F20698">
      <w:start w:val="1"/>
      <w:numFmt w:val="bullet"/>
      <w:lvlText w:val=""/>
      <w:lvlJc w:val="left"/>
      <w:pPr>
        <w:ind w:left="1080" w:hanging="360"/>
      </w:pPr>
      <w:rPr>
        <w:rFonts w:ascii="Symbol" w:hAnsi="Symbol"/>
      </w:rPr>
    </w:lvl>
    <w:lvl w:ilvl="1" w:tplc="35F20E26">
      <w:start w:val="1"/>
      <w:numFmt w:val="bullet"/>
      <w:lvlText w:val=""/>
      <w:lvlJc w:val="left"/>
      <w:pPr>
        <w:ind w:left="1080" w:hanging="360"/>
      </w:pPr>
      <w:rPr>
        <w:rFonts w:ascii="Symbol" w:hAnsi="Symbol"/>
      </w:rPr>
    </w:lvl>
    <w:lvl w:ilvl="2" w:tplc="421CAD3E">
      <w:start w:val="1"/>
      <w:numFmt w:val="bullet"/>
      <w:lvlText w:val=""/>
      <w:lvlJc w:val="left"/>
      <w:pPr>
        <w:ind w:left="1080" w:hanging="360"/>
      </w:pPr>
      <w:rPr>
        <w:rFonts w:ascii="Symbol" w:hAnsi="Symbol"/>
      </w:rPr>
    </w:lvl>
    <w:lvl w:ilvl="3" w:tplc="9BC45560">
      <w:start w:val="1"/>
      <w:numFmt w:val="bullet"/>
      <w:lvlText w:val=""/>
      <w:lvlJc w:val="left"/>
      <w:pPr>
        <w:ind w:left="1080" w:hanging="360"/>
      </w:pPr>
      <w:rPr>
        <w:rFonts w:ascii="Symbol" w:hAnsi="Symbol"/>
      </w:rPr>
    </w:lvl>
    <w:lvl w:ilvl="4" w:tplc="9A08BF9E">
      <w:start w:val="1"/>
      <w:numFmt w:val="bullet"/>
      <w:lvlText w:val=""/>
      <w:lvlJc w:val="left"/>
      <w:pPr>
        <w:ind w:left="1080" w:hanging="360"/>
      </w:pPr>
      <w:rPr>
        <w:rFonts w:ascii="Symbol" w:hAnsi="Symbol"/>
      </w:rPr>
    </w:lvl>
    <w:lvl w:ilvl="5" w:tplc="90965354">
      <w:start w:val="1"/>
      <w:numFmt w:val="bullet"/>
      <w:lvlText w:val=""/>
      <w:lvlJc w:val="left"/>
      <w:pPr>
        <w:ind w:left="1080" w:hanging="360"/>
      </w:pPr>
      <w:rPr>
        <w:rFonts w:ascii="Symbol" w:hAnsi="Symbol"/>
      </w:rPr>
    </w:lvl>
    <w:lvl w:ilvl="6" w:tplc="5484A02C">
      <w:start w:val="1"/>
      <w:numFmt w:val="bullet"/>
      <w:lvlText w:val=""/>
      <w:lvlJc w:val="left"/>
      <w:pPr>
        <w:ind w:left="1080" w:hanging="360"/>
      </w:pPr>
      <w:rPr>
        <w:rFonts w:ascii="Symbol" w:hAnsi="Symbol"/>
      </w:rPr>
    </w:lvl>
    <w:lvl w:ilvl="7" w:tplc="5114D612">
      <w:start w:val="1"/>
      <w:numFmt w:val="bullet"/>
      <w:lvlText w:val=""/>
      <w:lvlJc w:val="left"/>
      <w:pPr>
        <w:ind w:left="1080" w:hanging="360"/>
      </w:pPr>
      <w:rPr>
        <w:rFonts w:ascii="Symbol" w:hAnsi="Symbol"/>
      </w:rPr>
    </w:lvl>
    <w:lvl w:ilvl="8" w:tplc="F2703718">
      <w:start w:val="1"/>
      <w:numFmt w:val="bullet"/>
      <w:lvlText w:val=""/>
      <w:lvlJc w:val="left"/>
      <w:pPr>
        <w:ind w:left="1080" w:hanging="360"/>
      </w:pPr>
      <w:rPr>
        <w:rFonts w:ascii="Symbol" w:hAnsi="Symbol"/>
      </w:rPr>
    </w:lvl>
  </w:abstractNum>
  <w:abstractNum w:abstractNumId="17" w15:restartNumberingAfterBreak="0">
    <w:nsid w:val="62FA64E2"/>
    <w:multiLevelType w:val="multilevel"/>
    <w:tmpl w:val="FCCCD95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0179A5"/>
    <w:multiLevelType w:val="hybridMultilevel"/>
    <w:tmpl w:val="07324C96"/>
    <w:lvl w:ilvl="0" w:tplc="7798777E">
      <w:start w:val="1"/>
      <w:numFmt w:val="bullet"/>
      <w:lvlText w:val=""/>
      <w:lvlJc w:val="left"/>
      <w:pPr>
        <w:ind w:left="1080" w:hanging="360"/>
      </w:pPr>
      <w:rPr>
        <w:rFonts w:ascii="Symbol" w:hAnsi="Symbol"/>
      </w:rPr>
    </w:lvl>
    <w:lvl w:ilvl="1" w:tplc="9ADED3F0">
      <w:start w:val="1"/>
      <w:numFmt w:val="bullet"/>
      <w:lvlText w:val=""/>
      <w:lvlJc w:val="left"/>
      <w:pPr>
        <w:ind w:left="1080" w:hanging="360"/>
      </w:pPr>
      <w:rPr>
        <w:rFonts w:ascii="Symbol" w:hAnsi="Symbol"/>
      </w:rPr>
    </w:lvl>
    <w:lvl w:ilvl="2" w:tplc="508C5D74">
      <w:start w:val="1"/>
      <w:numFmt w:val="bullet"/>
      <w:lvlText w:val=""/>
      <w:lvlJc w:val="left"/>
      <w:pPr>
        <w:ind w:left="1080" w:hanging="360"/>
      </w:pPr>
      <w:rPr>
        <w:rFonts w:ascii="Symbol" w:hAnsi="Symbol"/>
      </w:rPr>
    </w:lvl>
    <w:lvl w:ilvl="3" w:tplc="B8CCFB5E">
      <w:start w:val="1"/>
      <w:numFmt w:val="bullet"/>
      <w:lvlText w:val=""/>
      <w:lvlJc w:val="left"/>
      <w:pPr>
        <w:ind w:left="1080" w:hanging="360"/>
      </w:pPr>
      <w:rPr>
        <w:rFonts w:ascii="Symbol" w:hAnsi="Symbol"/>
      </w:rPr>
    </w:lvl>
    <w:lvl w:ilvl="4" w:tplc="D7E4F7DA">
      <w:start w:val="1"/>
      <w:numFmt w:val="bullet"/>
      <w:lvlText w:val=""/>
      <w:lvlJc w:val="left"/>
      <w:pPr>
        <w:ind w:left="1080" w:hanging="360"/>
      </w:pPr>
      <w:rPr>
        <w:rFonts w:ascii="Symbol" w:hAnsi="Symbol"/>
      </w:rPr>
    </w:lvl>
    <w:lvl w:ilvl="5" w:tplc="16E827BC">
      <w:start w:val="1"/>
      <w:numFmt w:val="bullet"/>
      <w:lvlText w:val=""/>
      <w:lvlJc w:val="left"/>
      <w:pPr>
        <w:ind w:left="1080" w:hanging="360"/>
      </w:pPr>
      <w:rPr>
        <w:rFonts w:ascii="Symbol" w:hAnsi="Symbol"/>
      </w:rPr>
    </w:lvl>
    <w:lvl w:ilvl="6" w:tplc="C908E220">
      <w:start w:val="1"/>
      <w:numFmt w:val="bullet"/>
      <w:lvlText w:val=""/>
      <w:lvlJc w:val="left"/>
      <w:pPr>
        <w:ind w:left="1080" w:hanging="360"/>
      </w:pPr>
      <w:rPr>
        <w:rFonts w:ascii="Symbol" w:hAnsi="Symbol"/>
      </w:rPr>
    </w:lvl>
    <w:lvl w:ilvl="7" w:tplc="96BC1086">
      <w:start w:val="1"/>
      <w:numFmt w:val="bullet"/>
      <w:lvlText w:val=""/>
      <w:lvlJc w:val="left"/>
      <w:pPr>
        <w:ind w:left="1080" w:hanging="360"/>
      </w:pPr>
      <w:rPr>
        <w:rFonts w:ascii="Symbol" w:hAnsi="Symbol"/>
      </w:rPr>
    </w:lvl>
    <w:lvl w:ilvl="8" w:tplc="49800AA6">
      <w:start w:val="1"/>
      <w:numFmt w:val="bullet"/>
      <w:lvlText w:val=""/>
      <w:lvlJc w:val="left"/>
      <w:pPr>
        <w:ind w:left="1080" w:hanging="360"/>
      </w:pPr>
      <w:rPr>
        <w:rFonts w:ascii="Symbol" w:hAnsi="Symbol"/>
      </w:rPr>
    </w:lvl>
  </w:abstractNum>
  <w:abstractNum w:abstractNumId="19" w15:restartNumberingAfterBreak="0">
    <w:nsid w:val="75BF6DCE"/>
    <w:multiLevelType w:val="multilevel"/>
    <w:tmpl w:val="2EECA2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D2845E4"/>
    <w:multiLevelType w:val="hybridMultilevel"/>
    <w:tmpl w:val="CAF81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8311522">
    <w:abstractNumId w:val="20"/>
  </w:num>
  <w:num w:numId="2" w16cid:durableId="901522862">
    <w:abstractNumId w:val="11"/>
  </w:num>
  <w:num w:numId="3" w16cid:durableId="1917587332">
    <w:abstractNumId w:val="15"/>
  </w:num>
  <w:num w:numId="4" w16cid:durableId="45834010">
    <w:abstractNumId w:val="19"/>
  </w:num>
  <w:num w:numId="5" w16cid:durableId="304510440">
    <w:abstractNumId w:val="5"/>
  </w:num>
  <w:num w:numId="6" w16cid:durableId="770320989">
    <w:abstractNumId w:val="17"/>
  </w:num>
  <w:num w:numId="7" w16cid:durableId="51124471">
    <w:abstractNumId w:val="8"/>
  </w:num>
  <w:num w:numId="8" w16cid:durableId="1953971310">
    <w:abstractNumId w:val="6"/>
  </w:num>
  <w:num w:numId="9" w16cid:durableId="1095593024">
    <w:abstractNumId w:val="9"/>
  </w:num>
  <w:num w:numId="10" w16cid:durableId="918904933">
    <w:abstractNumId w:val="7"/>
  </w:num>
  <w:num w:numId="11" w16cid:durableId="1886526294">
    <w:abstractNumId w:val="1"/>
  </w:num>
  <w:num w:numId="12" w16cid:durableId="2091806637">
    <w:abstractNumId w:val="16"/>
  </w:num>
  <w:num w:numId="13" w16cid:durableId="55473398">
    <w:abstractNumId w:val="14"/>
  </w:num>
  <w:num w:numId="14" w16cid:durableId="47610622">
    <w:abstractNumId w:val="10"/>
  </w:num>
  <w:num w:numId="15" w16cid:durableId="951594034">
    <w:abstractNumId w:val="2"/>
  </w:num>
  <w:num w:numId="16" w16cid:durableId="2128814650">
    <w:abstractNumId w:val="0"/>
  </w:num>
  <w:num w:numId="17" w16cid:durableId="1521358788">
    <w:abstractNumId w:val="12"/>
  </w:num>
  <w:num w:numId="18" w16cid:durableId="1574198287">
    <w:abstractNumId w:val="18"/>
  </w:num>
  <w:num w:numId="19" w16cid:durableId="468714788">
    <w:abstractNumId w:val="13"/>
  </w:num>
  <w:num w:numId="20" w16cid:durableId="1294289875">
    <w:abstractNumId w:val="3"/>
  </w:num>
  <w:num w:numId="21" w16cid:durableId="336539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22"/>
    <w:rsid w:val="000228EC"/>
    <w:rsid w:val="00047373"/>
    <w:rsid w:val="00047CB6"/>
    <w:rsid w:val="00061F5B"/>
    <w:rsid w:val="00072519"/>
    <w:rsid w:val="0008496B"/>
    <w:rsid w:val="000A4179"/>
    <w:rsid w:val="000A62DB"/>
    <w:rsid w:val="000B5C82"/>
    <w:rsid w:val="000C24A2"/>
    <w:rsid w:val="000C7EBF"/>
    <w:rsid w:val="000E5B1E"/>
    <w:rsid w:val="000E7E1A"/>
    <w:rsid w:val="00103190"/>
    <w:rsid w:val="00105804"/>
    <w:rsid w:val="001123E0"/>
    <w:rsid w:val="001139ED"/>
    <w:rsid w:val="00121711"/>
    <w:rsid w:val="001270F7"/>
    <w:rsid w:val="001336FE"/>
    <w:rsid w:val="00135E12"/>
    <w:rsid w:val="001362A3"/>
    <w:rsid w:val="00163B92"/>
    <w:rsid w:val="001674BD"/>
    <w:rsid w:val="001755C0"/>
    <w:rsid w:val="00183C7A"/>
    <w:rsid w:val="0018480F"/>
    <w:rsid w:val="00190E8B"/>
    <w:rsid w:val="001B412A"/>
    <w:rsid w:val="001B4E35"/>
    <w:rsid w:val="001C0A0F"/>
    <w:rsid w:val="001D531A"/>
    <w:rsid w:val="002003AB"/>
    <w:rsid w:val="00204E02"/>
    <w:rsid w:val="00221D34"/>
    <w:rsid w:val="00240FB7"/>
    <w:rsid w:val="00260514"/>
    <w:rsid w:val="002711AC"/>
    <w:rsid w:val="002726F3"/>
    <w:rsid w:val="00273FBB"/>
    <w:rsid w:val="00282AD8"/>
    <w:rsid w:val="002A1BC0"/>
    <w:rsid w:val="002B2D1C"/>
    <w:rsid w:val="002B4DD5"/>
    <w:rsid w:val="002D1D84"/>
    <w:rsid w:val="002E6CD7"/>
    <w:rsid w:val="002F730D"/>
    <w:rsid w:val="00300AD0"/>
    <w:rsid w:val="00303E30"/>
    <w:rsid w:val="0031566E"/>
    <w:rsid w:val="003460B9"/>
    <w:rsid w:val="0035674C"/>
    <w:rsid w:val="00367F28"/>
    <w:rsid w:val="0038402C"/>
    <w:rsid w:val="003957D7"/>
    <w:rsid w:val="003A11BD"/>
    <w:rsid w:val="003C025B"/>
    <w:rsid w:val="003C4A18"/>
    <w:rsid w:val="003D530E"/>
    <w:rsid w:val="003E12E9"/>
    <w:rsid w:val="003E65BE"/>
    <w:rsid w:val="003F7054"/>
    <w:rsid w:val="00402D40"/>
    <w:rsid w:val="004237F0"/>
    <w:rsid w:val="00446A5B"/>
    <w:rsid w:val="004503FF"/>
    <w:rsid w:val="004512DA"/>
    <w:rsid w:val="00480C29"/>
    <w:rsid w:val="004B2A2B"/>
    <w:rsid w:val="004C4192"/>
    <w:rsid w:val="004D06CD"/>
    <w:rsid w:val="00517293"/>
    <w:rsid w:val="00522569"/>
    <w:rsid w:val="00527D79"/>
    <w:rsid w:val="00535013"/>
    <w:rsid w:val="00540EF0"/>
    <w:rsid w:val="00542F76"/>
    <w:rsid w:val="0055418E"/>
    <w:rsid w:val="00566405"/>
    <w:rsid w:val="00570A43"/>
    <w:rsid w:val="005862BB"/>
    <w:rsid w:val="005C5F9B"/>
    <w:rsid w:val="005D55ED"/>
    <w:rsid w:val="005D6603"/>
    <w:rsid w:val="005E2103"/>
    <w:rsid w:val="005E4BEF"/>
    <w:rsid w:val="005F248C"/>
    <w:rsid w:val="005F7D33"/>
    <w:rsid w:val="00600705"/>
    <w:rsid w:val="00616519"/>
    <w:rsid w:val="00635E66"/>
    <w:rsid w:val="006504F4"/>
    <w:rsid w:val="006732C2"/>
    <w:rsid w:val="006903DD"/>
    <w:rsid w:val="006913FF"/>
    <w:rsid w:val="00696574"/>
    <w:rsid w:val="006A4529"/>
    <w:rsid w:val="006A74B0"/>
    <w:rsid w:val="006D17B6"/>
    <w:rsid w:val="006E1BF8"/>
    <w:rsid w:val="006E284D"/>
    <w:rsid w:val="006F191F"/>
    <w:rsid w:val="006F5CB1"/>
    <w:rsid w:val="006F65EC"/>
    <w:rsid w:val="00707440"/>
    <w:rsid w:val="0073121C"/>
    <w:rsid w:val="0073296F"/>
    <w:rsid w:val="00732F99"/>
    <w:rsid w:val="00751EFA"/>
    <w:rsid w:val="0076670E"/>
    <w:rsid w:val="00782C33"/>
    <w:rsid w:val="00795250"/>
    <w:rsid w:val="007B0103"/>
    <w:rsid w:val="007D07DE"/>
    <w:rsid w:val="007D0984"/>
    <w:rsid w:val="007E43D4"/>
    <w:rsid w:val="007E4CF2"/>
    <w:rsid w:val="007E6CA9"/>
    <w:rsid w:val="00821C13"/>
    <w:rsid w:val="00837899"/>
    <w:rsid w:val="0084157B"/>
    <w:rsid w:val="00850D09"/>
    <w:rsid w:val="00855E94"/>
    <w:rsid w:val="00857819"/>
    <w:rsid w:val="00861235"/>
    <w:rsid w:val="00877674"/>
    <w:rsid w:val="008776F4"/>
    <w:rsid w:val="008822C2"/>
    <w:rsid w:val="00886D39"/>
    <w:rsid w:val="008A0C8A"/>
    <w:rsid w:val="008A0EDF"/>
    <w:rsid w:val="008A5209"/>
    <w:rsid w:val="008C588C"/>
    <w:rsid w:val="008E0DC8"/>
    <w:rsid w:val="008F24C1"/>
    <w:rsid w:val="009025AC"/>
    <w:rsid w:val="00906F32"/>
    <w:rsid w:val="009078FD"/>
    <w:rsid w:val="009233D3"/>
    <w:rsid w:val="00937608"/>
    <w:rsid w:val="0094619A"/>
    <w:rsid w:val="00961947"/>
    <w:rsid w:val="00964DF2"/>
    <w:rsid w:val="009731A5"/>
    <w:rsid w:val="00973B73"/>
    <w:rsid w:val="00980F93"/>
    <w:rsid w:val="0099182B"/>
    <w:rsid w:val="00992AF4"/>
    <w:rsid w:val="009936F8"/>
    <w:rsid w:val="00994D86"/>
    <w:rsid w:val="009A2ED8"/>
    <w:rsid w:val="009A47E4"/>
    <w:rsid w:val="009B5DA2"/>
    <w:rsid w:val="009C18BF"/>
    <w:rsid w:val="009D0910"/>
    <w:rsid w:val="009E7AEF"/>
    <w:rsid w:val="00A51CB7"/>
    <w:rsid w:val="00A5386E"/>
    <w:rsid w:val="00A67AA7"/>
    <w:rsid w:val="00A7174C"/>
    <w:rsid w:val="00A732F5"/>
    <w:rsid w:val="00A9724F"/>
    <w:rsid w:val="00AA014B"/>
    <w:rsid w:val="00AB3128"/>
    <w:rsid w:val="00AD4707"/>
    <w:rsid w:val="00AE7B8E"/>
    <w:rsid w:val="00B17173"/>
    <w:rsid w:val="00B347A1"/>
    <w:rsid w:val="00B36F1B"/>
    <w:rsid w:val="00B447FB"/>
    <w:rsid w:val="00B54429"/>
    <w:rsid w:val="00B824FE"/>
    <w:rsid w:val="00B84B57"/>
    <w:rsid w:val="00B9309C"/>
    <w:rsid w:val="00BA5EB2"/>
    <w:rsid w:val="00BB1825"/>
    <w:rsid w:val="00BB762F"/>
    <w:rsid w:val="00BC0CB2"/>
    <w:rsid w:val="00BE258F"/>
    <w:rsid w:val="00BE36BF"/>
    <w:rsid w:val="00BE661B"/>
    <w:rsid w:val="00C278E4"/>
    <w:rsid w:val="00C358CA"/>
    <w:rsid w:val="00C6712E"/>
    <w:rsid w:val="00C673B9"/>
    <w:rsid w:val="00C72A15"/>
    <w:rsid w:val="00C72CD2"/>
    <w:rsid w:val="00C91031"/>
    <w:rsid w:val="00CA3E59"/>
    <w:rsid w:val="00CA464D"/>
    <w:rsid w:val="00CA565D"/>
    <w:rsid w:val="00CB5B67"/>
    <w:rsid w:val="00CD2340"/>
    <w:rsid w:val="00CD46E2"/>
    <w:rsid w:val="00CE1491"/>
    <w:rsid w:val="00CE66EF"/>
    <w:rsid w:val="00CF4E64"/>
    <w:rsid w:val="00D05AB2"/>
    <w:rsid w:val="00D318C6"/>
    <w:rsid w:val="00D42AC5"/>
    <w:rsid w:val="00D4356C"/>
    <w:rsid w:val="00D47847"/>
    <w:rsid w:val="00D678EF"/>
    <w:rsid w:val="00D7198E"/>
    <w:rsid w:val="00D71CB2"/>
    <w:rsid w:val="00D7384B"/>
    <w:rsid w:val="00D85D2E"/>
    <w:rsid w:val="00D87C08"/>
    <w:rsid w:val="00D931B6"/>
    <w:rsid w:val="00DC44D9"/>
    <w:rsid w:val="00DC53F4"/>
    <w:rsid w:val="00DE0D87"/>
    <w:rsid w:val="00DF14B4"/>
    <w:rsid w:val="00DF1ED3"/>
    <w:rsid w:val="00E26001"/>
    <w:rsid w:val="00E3663D"/>
    <w:rsid w:val="00E36706"/>
    <w:rsid w:val="00E43796"/>
    <w:rsid w:val="00E5755F"/>
    <w:rsid w:val="00E6491D"/>
    <w:rsid w:val="00E74EE3"/>
    <w:rsid w:val="00E75B07"/>
    <w:rsid w:val="00EA091D"/>
    <w:rsid w:val="00EA1721"/>
    <w:rsid w:val="00EA6CFB"/>
    <w:rsid w:val="00EC1445"/>
    <w:rsid w:val="00ED0CC0"/>
    <w:rsid w:val="00ED180A"/>
    <w:rsid w:val="00EE2091"/>
    <w:rsid w:val="00F11735"/>
    <w:rsid w:val="00F15EF0"/>
    <w:rsid w:val="00F2008F"/>
    <w:rsid w:val="00F23E4B"/>
    <w:rsid w:val="00F269F3"/>
    <w:rsid w:val="00F414FA"/>
    <w:rsid w:val="00F60022"/>
    <w:rsid w:val="00F60700"/>
    <w:rsid w:val="00F70793"/>
    <w:rsid w:val="00FA0BF5"/>
    <w:rsid w:val="00FB0ECE"/>
    <w:rsid w:val="00FC72F9"/>
    <w:rsid w:val="00FD2307"/>
    <w:rsid w:val="00FD75CB"/>
    <w:rsid w:val="00FE1002"/>
    <w:rsid w:val="00FE79C4"/>
    <w:rsid w:val="00FE7F24"/>
    <w:rsid w:val="00FF65E1"/>
    <w:rsid w:val="00FF79F2"/>
    <w:rsid w:val="01C54CE0"/>
    <w:rsid w:val="0379BA32"/>
    <w:rsid w:val="0652FE5D"/>
    <w:rsid w:val="09432ECB"/>
    <w:rsid w:val="0A5DC00B"/>
    <w:rsid w:val="0B942E87"/>
    <w:rsid w:val="0C66F323"/>
    <w:rsid w:val="0CAA9D70"/>
    <w:rsid w:val="0DD98750"/>
    <w:rsid w:val="0FE190B4"/>
    <w:rsid w:val="137EA5AB"/>
    <w:rsid w:val="1672A512"/>
    <w:rsid w:val="176724A6"/>
    <w:rsid w:val="19B5E6AD"/>
    <w:rsid w:val="1A712BF5"/>
    <w:rsid w:val="1E1065E7"/>
    <w:rsid w:val="1E8C161D"/>
    <w:rsid w:val="211DFBBC"/>
    <w:rsid w:val="22C36782"/>
    <w:rsid w:val="22C488D8"/>
    <w:rsid w:val="25465331"/>
    <w:rsid w:val="27234206"/>
    <w:rsid w:val="278319A3"/>
    <w:rsid w:val="285CBBF5"/>
    <w:rsid w:val="289ED214"/>
    <w:rsid w:val="29022EAF"/>
    <w:rsid w:val="2A4D216B"/>
    <w:rsid w:val="2EBAA744"/>
    <w:rsid w:val="30AC4A98"/>
    <w:rsid w:val="30B3A0BB"/>
    <w:rsid w:val="343DA524"/>
    <w:rsid w:val="371A786C"/>
    <w:rsid w:val="398D5DCE"/>
    <w:rsid w:val="3B7615DA"/>
    <w:rsid w:val="3B93C1A7"/>
    <w:rsid w:val="3CB39D02"/>
    <w:rsid w:val="3F30CC5E"/>
    <w:rsid w:val="40415E7C"/>
    <w:rsid w:val="415CDCAD"/>
    <w:rsid w:val="41868C62"/>
    <w:rsid w:val="4250E65D"/>
    <w:rsid w:val="42F52AF2"/>
    <w:rsid w:val="43D71B27"/>
    <w:rsid w:val="454E6146"/>
    <w:rsid w:val="465A7741"/>
    <w:rsid w:val="4813777D"/>
    <w:rsid w:val="489F7CD4"/>
    <w:rsid w:val="4B8B1C86"/>
    <w:rsid w:val="4E177D01"/>
    <w:rsid w:val="4EC5C4F9"/>
    <w:rsid w:val="4F94F720"/>
    <w:rsid w:val="5055B67E"/>
    <w:rsid w:val="51F7B9E3"/>
    <w:rsid w:val="5248798D"/>
    <w:rsid w:val="52BF5A98"/>
    <w:rsid w:val="537B0A27"/>
    <w:rsid w:val="53DD0B42"/>
    <w:rsid w:val="540FDAB5"/>
    <w:rsid w:val="545C6550"/>
    <w:rsid w:val="5491845D"/>
    <w:rsid w:val="570DA696"/>
    <w:rsid w:val="58F82233"/>
    <w:rsid w:val="5A49D1AE"/>
    <w:rsid w:val="5C34E345"/>
    <w:rsid w:val="5E3F8165"/>
    <w:rsid w:val="5EB845D3"/>
    <w:rsid w:val="5FE319FE"/>
    <w:rsid w:val="6069FBF4"/>
    <w:rsid w:val="61999DBA"/>
    <w:rsid w:val="648315C3"/>
    <w:rsid w:val="64F5F4A3"/>
    <w:rsid w:val="65F02862"/>
    <w:rsid w:val="670AE3A9"/>
    <w:rsid w:val="69DD76B1"/>
    <w:rsid w:val="6B4C8F69"/>
    <w:rsid w:val="6BBAC9FF"/>
    <w:rsid w:val="6BC551D9"/>
    <w:rsid w:val="6D6A9C27"/>
    <w:rsid w:val="7151827E"/>
    <w:rsid w:val="738D06AA"/>
    <w:rsid w:val="7498FF33"/>
    <w:rsid w:val="76CB37F7"/>
    <w:rsid w:val="7A5F4635"/>
    <w:rsid w:val="7A7050B4"/>
    <w:rsid w:val="7C0C44E9"/>
    <w:rsid w:val="7C60C53D"/>
    <w:rsid w:val="7CD3A77C"/>
    <w:rsid w:val="7F848B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4C96"/>
  <w15:chartTrackingRefBased/>
  <w15:docId w15:val="{6F546B51-D426-4D3E-B81F-6B442DC1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022"/>
  </w:style>
  <w:style w:type="paragraph" w:styleId="Heading1">
    <w:name w:val="heading 1"/>
    <w:basedOn w:val="Normal"/>
    <w:next w:val="Normal"/>
    <w:link w:val="Heading1Char"/>
    <w:uiPriority w:val="9"/>
    <w:qFormat/>
    <w:rsid w:val="00F600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00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0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00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00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0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0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00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0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00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00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0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022"/>
    <w:rPr>
      <w:rFonts w:eastAsiaTheme="majorEastAsia" w:cstheme="majorBidi"/>
      <w:color w:val="272727" w:themeColor="text1" w:themeTint="D8"/>
    </w:rPr>
  </w:style>
  <w:style w:type="paragraph" w:styleId="Title">
    <w:name w:val="Title"/>
    <w:basedOn w:val="Normal"/>
    <w:next w:val="Normal"/>
    <w:link w:val="TitleChar"/>
    <w:uiPriority w:val="10"/>
    <w:qFormat/>
    <w:rsid w:val="00F60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022"/>
    <w:pPr>
      <w:spacing w:before="160"/>
      <w:jc w:val="center"/>
    </w:pPr>
    <w:rPr>
      <w:i/>
      <w:iCs/>
      <w:color w:val="404040" w:themeColor="text1" w:themeTint="BF"/>
    </w:rPr>
  </w:style>
  <w:style w:type="character" w:customStyle="1" w:styleId="QuoteChar">
    <w:name w:val="Quote Char"/>
    <w:basedOn w:val="DefaultParagraphFont"/>
    <w:link w:val="Quote"/>
    <w:uiPriority w:val="29"/>
    <w:rsid w:val="00F6002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60022"/>
    <w:pPr>
      <w:ind w:left="720"/>
      <w:contextualSpacing/>
    </w:pPr>
  </w:style>
  <w:style w:type="character" w:styleId="IntenseEmphasis">
    <w:name w:val="Intense Emphasis"/>
    <w:basedOn w:val="DefaultParagraphFont"/>
    <w:uiPriority w:val="21"/>
    <w:qFormat/>
    <w:rsid w:val="00F60022"/>
    <w:rPr>
      <w:i/>
      <w:iCs/>
      <w:color w:val="2F5496" w:themeColor="accent1" w:themeShade="BF"/>
    </w:rPr>
  </w:style>
  <w:style w:type="paragraph" w:styleId="IntenseQuote">
    <w:name w:val="Intense Quote"/>
    <w:basedOn w:val="Normal"/>
    <w:next w:val="Normal"/>
    <w:link w:val="IntenseQuoteChar"/>
    <w:uiPriority w:val="30"/>
    <w:qFormat/>
    <w:rsid w:val="00F600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022"/>
    <w:rPr>
      <w:i/>
      <w:iCs/>
      <w:color w:val="2F5496" w:themeColor="accent1" w:themeShade="BF"/>
    </w:rPr>
  </w:style>
  <w:style w:type="character" w:styleId="IntenseReference">
    <w:name w:val="Intense Reference"/>
    <w:basedOn w:val="DefaultParagraphFont"/>
    <w:uiPriority w:val="32"/>
    <w:qFormat/>
    <w:rsid w:val="00F60022"/>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60022"/>
  </w:style>
  <w:style w:type="character" w:styleId="CommentReference">
    <w:name w:val="annotation reference"/>
    <w:basedOn w:val="DefaultParagraphFont"/>
    <w:uiPriority w:val="99"/>
    <w:semiHidden/>
    <w:unhideWhenUsed/>
    <w:rsid w:val="00696574"/>
    <w:rPr>
      <w:sz w:val="16"/>
      <w:szCs w:val="16"/>
    </w:rPr>
  </w:style>
  <w:style w:type="paragraph" w:styleId="CommentText">
    <w:name w:val="annotation text"/>
    <w:basedOn w:val="Normal"/>
    <w:link w:val="CommentTextChar"/>
    <w:uiPriority w:val="99"/>
    <w:unhideWhenUsed/>
    <w:rsid w:val="00696574"/>
    <w:pPr>
      <w:spacing w:line="240" w:lineRule="auto"/>
    </w:pPr>
    <w:rPr>
      <w:sz w:val="20"/>
      <w:szCs w:val="20"/>
    </w:rPr>
  </w:style>
  <w:style w:type="character" w:customStyle="1" w:styleId="CommentTextChar">
    <w:name w:val="Comment Text Char"/>
    <w:basedOn w:val="DefaultParagraphFont"/>
    <w:link w:val="CommentText"/>
    <w:uiPriority w:val="99"/>
    <w:rsid w:val="00696574"/>
    <w:rPr>
      <w:sz w:val="20"/>
      <w:szCs w:val="20"/>
    </w:rPr>
  </w:style>
  <w:style w:type="paragraph" w:styleId="CommentSubject">
    <w:name w:val="annotation subject"/>
    <w:basedOn w:val="CommentText"/>
    <w:next w:val="CommentText"/>
    <w:link w:val="CommentSubjectChar"/>
    <w:uiPriority w:val="99"/>
    <w:semiHidden/>
    <w:unhideWhenUsed/>
    <w:rsid w:val="00FC72F9"/>
    <w:rPr>
      <w:b/>
      <w:bCs/>
    </w:rPr>
  </w:style>
  <w:style w:type="character" w:customStyle="1" w:styleId="CommentSubjectChar">
    <w:name w:val="Comment Subject Char"/>
    <w:basedOn w:val="CommentTextChar"/>
    <w:link w:val="CommentSubject"/>
    <w:uiPriority w:val="99"/>
    <w:semiHidden/>
    <w:rsid w:val="00FC72F9"/>
    <w:rPr>
      <w:b/>
      <w:bCs/>
      <w:sz w:val="20"/>
      <w:szCs w:val="20"/>
    </w:rPr>
  </w:style>
  <w:style w:type="character" w:styleId="PlaceholderText">
    <w:name w:val="Placeholder Text"/>
    <w:basedOn w:val="DefaultParagraphFont"/>
    <w:uiPriority w:val="99"/>
    <w:semiHidden/>
    <w:rsid w:val="005862BB"/>
    <w:rPr>
      <w:color w:val="666666"/>
    </w:rPr>
  </w:style>
  <w:style w:type="paragraph" w:styleId="Revision">
    <w:name w:val="Revision"/>
    <w:hidden/>
    <w:uiPriority w:val="99"/>
    <w:semiHidden/>
    <w:rsid w:val="00980F93"/>
    <w:pPr>
      <w:spacing w:after="0" w:line="240" w:lineRule="auto"/>
    </w:pPr>
  </w:style>
  <w:style w:type="paragraph" w:styleId="FootnoteText">
    <w:name w:val="footnote text"/>
    <w:basedOn w:val="Normal"/>
    <w:link w:val="FootnoteTextChar"/>
    <w:uiPriority w:val="99"/>
    <w:semiHidden/>
    <w:unhideWhenUsed/>
    <w:rsid w:val="007952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5250"/>
    <w:rPr>
      <w:sz w:val="20"/>
      <w:szCs w:val="20"/>
    </w:rPr>
  </w:style>
  <w:style w:type="character" w:styleId="FootnoteReference">
    <w:name w:val="footnote reference"/>
    <w:basedOn w:val="DefaultParagraphFont"/>
    <w:uiPriority w:val="99"/>
    <w:semiHidden/>
    <w:unhideWhenUsed/>
    <w:rsid w:val="00795250"/>
    <w:rPr>
      <w:vertAlign w:val="superscript"/>
    </w:rPr>
  </w:style>
  <w:style w:type="character" w:styleId="Hyperlink">
    <w:name w:val="Hyperlink"/>
    <w:basedOn w:val="DefaultParagraphFont"/>
    <w:uiPriority w:val="99"/>
    <w:unhideWhenUsed/>
    <w:rsid w:val="00E26001"/>
    <w:rPr>
      <w:color w:val="0563C1" w:themeColor="hyperlink"/>
      <w:u w:val="single"/>
    </w:rPr>
  </w:style>
  <w:style w:type="paragraph" w:styleId="Header">
    <w:name w:val="header"/>
    <w:basedOn w:val="Normal"/>
    <w:link w:val="HeaderChar"/>
    <w:uiPriority w:val="99"/>
    <w:semiHidden/>
    <w:unhideWhenUsed/>
    <w:rsid w:val="0070744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7440"/>
  </w:style>
  <w:style w:type="paragraph" w:styleId="Footer">
    <w:name w:val="footer"/>
    <w:basedOn w:val="Normal"/>
    <w:link w:val="FooterChar"/>
    <w:uiPriority w:val="99"/>
    <w:semiHidden/>
    <w:unhideWhenUsed/>
    <w:rsid w:val="0070744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07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Props1.xml><?xml version="1.0" encoding="utf-8"?>
<ds:datastoreItem xmlns:ds="http://schemas.openxmlformats.org/officeDocument/2006/customXml" ds:itemID="{0CCC20DE-8C30-476F-915D-1DD960950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2BDD3-01E8-49C2-96B0-457BAA68322A}">
  <ds:schemaRefs>
    <ds:schemaRef ds:uri="http://schemas.microsoft.com/sharepoint/v3/contenttype/forms"/>
  </ds:schemaRefs>
</ds:datastoreItem>
</file>

<file path=customXml/itemProps3.xml><?xml version="1.0" encoding="utf-8"?>
<ds:datastoreItem xmlns:ds="http://schemas.openxmlformats.org/officeDocument/2006/customXml" ds:itemID="{61289D36-8C39-41CA-8467-8590B427D0EE}">
  <ds:schemaRefs>
    <ds:schemaRef ds:uri="http://schemas.openxmlformats.org/officeDocument/2006/bibliography"/>
  </ds:schemaRefs>
</ds:datastoreItem>
</file>

<file path=customXml/itemProps4.xml><?xml version="1.0" encoding="utf-8"?>
<ds:datastoreItem xmlns:ds="http://schemas.openxmlformats.org/officeDocument/2006/customXml" ds:itemID="{B1CC1672-59DC-4097-87B9-11EA3B631146}">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7763</Words>
  <Characters>4426</Characters>
  <Application>Microsoft Office Word</Application>
  <DocSecurity>0</DocSecurity>
  <Lines>36</Lines>
  <Paragraphs>24</Paragraphs>
  <ScaleCrop>false</ScaleCrop>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Jankovska</dc:creator>
  <cp:keywords/>
  <dc:description/>
  <cp:lastModifiedBy>Šarūnė Vaikasienė</cp:lastModifiedBy>
  <cp:revision>94</cp:revision>
  <dcterms:created xsi:type="dcterms:W3CDTF">2026-03-18T20:05:00Z</dcterms:created>
  <dcterms:modified xsi:type="dcterms:W3CDTF">2026-05-15T06:47:00Z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