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3BE3" w14:textId="22F145B6" w:rsidR="008F2C04" w:rsidRPr="00CA30A5" w:rsidRDefault="00D87F53" w:rsidP="00CA30A5">
      <w:pPr>
        <w:jc w:val="center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/>
          <w:bCs/>
          <w:lang w:val="lt-LT"/>
        </w:rPr>
        <w:t xml:space="preserve">ANGUS VEISLĖS MĖSINIŲ </w:t>
      </w:r>
      <w:r w:rsidR="00176A7E" w:rsidRPr="00CA30A5">
        <w:rPr>
          <w:rFonts w:ascii="Times New Roman" w:hAnsi="Times New Roman" w:cs="Times New Roman"/>
          <w:b/>
          <w:bCs/>
          <w:lang w:val="lt-LT"/>
        </w:rPr>
        <w:t>GALVIJ</w:t>
      </w:r>
      <w:r w:rsidRPr="00CA30A5">
        <w:rPr>
          <w:rFonts w:ascii="Times New Roman" w:hAnsi="Times New Roman" w:cs="Times New Roman"/>
          <w:b/>
          <w:bCs/>
          <w:lang w:val="lt-LT"/>
        </w:rPr>
        <w:t>Ų</w:t>
      </w:r>
    </w:p>
    <w:p w14:paraId="15B6AE91" w14:textId="1C44BB90" w:rsidR="00176A7E" w:rsidRDefault="00176A7E" w:rsidP="00CA30A5">
      <w:pPr>
        <w:jc w:val="center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/>
          <w:lang w:val="lt-LT"/>
        </w:rPr>
        <w:t>TECHNINĖ SPECIFIKACIJA</w:t>
      </w:r>
    </w:p>
    <w:p w14:paraId="1C53A9B3" w14:textId="76111DDF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lang w:val="lt-LT"/>
        </w:rPr>
        <w:t xml:space="preserve">Kartu su </w:t>
      </w:r>
      <w:r w:rsidRPr="00CA30A5">
        <w:rPr>
          <w:rFonts w:ascii="Times New Roman" w:hAnsi="Times New Roman" w:cs="Times New Roman"/>
          <w:bCs/>
          <w:lang w:val="lt-LT"/>
        </w:rPr>
        <w:t>Prekėmis, jų perdavimo metu</w:t>
      </w:r>
      <w:r w:rsidRPr="00CA30A5">
        <w:rPr>
          <w:rFonts w:ascii="Times New Roman" w:hAnsi="Times New Roman" w:cs="Times New Roman"/>
          <w:lang w:val="lt-LT"/>
        </w:rPr>
        <w:t xml:space="preserve"> tiekėjas tur</w:t>
      </w:r>
      <w:r w:rsidR="008F2C04" w:rsidRPr="00CA30A5">
        <w:rPr>
          <w:rFonts w:ascii="Times New Roman" w:hAnsi="Times New Roman" w:cs="Times New Roman"/>
          <w:lang w:val="lt-LT"/>
        </w:rPr>
        <w:t>i</w:t>
      </w:r>
      <w:r w:rsidRPr="00CA30A5">
        <w:rPr>
          <w:rFonts w:ascii="Times New Roman" w:hAnsi="Times New Roman" w:cs="Times New Roman"/>
          <w:lang w:val="lt-LT"/>
        </w:rPr>
        <w:t xml:space="preserve"> pateikti visus dokumentus</w:t>
      </w:r>
      <w:r w:rsidR="00D87F53" w:rsidRPr="00CA30A5">
        <w:rPr>
          <w:rFonts w:ascii="Times New Roman" w:hAnsi="Times New Roman" w:cs="Times New Roman"/>
          <w:lang w:val="lt-LT"/>
        </w:rPr>
        <w:t xml:space="preserve">: </w:t>
      </w:r>
      <w:r w:rsidRPr="00CA30A5">
        <w:rPr>
          <w:rFonts w:ascii="Times New Roman" w:hAnsi="Times New Roman" w:cs="Times New Roman"/>
          <w:lang w:val="lt-LT"/>
        </w:rPr>
        <w:t>kilmės pažymėjimus, pasus</w:t>
      </w:r>
      <w:r w:rsidR="00D87F53" w:rsidRPr="00CA30A5">
        <w:rPr>
          <w:rFonts w:ascii="Times New Roman" w:hAnsi="Times New Roman" w:cs="Times New Roman"/>
          <w:lang w:val="lt-LT"/>
        </w:rPr>
        <w:t xml:space="preserve">, sėklinimo </w:t>
      </w:r>
      <w:r w:rsidR="002147E3" w:rsidRPr="00CA30A5">
        <w:rPr>
          <w:rFonts w:ascii="Times New Roman" w:hAnsi="Times New Roman" w:cs="Times New Roman"/>
          <w:lang w:val="lt-LT"/>
        </w:rPr>
        <w:t>veterinarinė pažyma, veterinarinius sertifikatus, galiojančius Europos Sąjungoje.</w:t>
      </w:r>
    </w:p>
    <w:p w14:paraId="11D75425" w14:textId="77777777" w:rsidR="008F2C04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lang w:val="lt-LT"/>
        </w:rPr>
        <w:t xml:space="preserve">Prekės </w:t>
      </w:r>
      <w:r w:rsidR="008F2C04" w:rsidRPr="00CA30A5">
        <w:rPr>
          <w:rFonts w:ascii="Times New Roman" w:hAnsi="Times New Roman" w:cs="Times New Roman"/>
          <w:lang w:val="lt-LT"/>
        </w:rPr>
        <w:t>turi atitikti</w:t>
      </w:r>
      <w:r w:rsidRPr="00CA30A5">
        <w:rPr>
          <w:rFonts w:ascii="Times New Roman" w:hAnsi="Times New Roman" w:cs="Times New Roman"/>
          <w:lang w:val="lt-LT"/>
        </w:rPr>
        <w:t xml:space="preserve"> Aplinkos apsaugos kriterijų taikymo, vykdant žaliuosius pirkimus, tvarkos aprašo, patvirtinto Lietuvos Respublikos aplinkos ministro 2011 m. birželio 28 d. įsakymu Nr. D1-508 (Lietuvos Respublikos aplinkos ministro 2022 m. gruodžio 13 d. įsakymo Nr. D1-401 redakcija) 4.4.1 papunktį (Prekės perkamos Gamtos rezervatų ir draustinių veiklai, įskaitant natūralios aplinkos išsaugojimą). Perkami galvijai bus naudojami </w:t>
      </w:r>
      <w:proofErr w:type="spellStart"/>
      <w:r w:rsidRPr="00CA30A5">
        <w:rPr>
          <w:rFonts w:ascii="Times New Roman" w:hAnsi="Times New Roman" w:cs="Times New Roman"/>
          <w:lang w:val="lt-LT"/>
        </w:rPr>
        <w:t>gamtotvarkai</w:t>
      </w:r>
      <w:proofErr w:type="spellEnd"/>
      <w:r w:rsidRPr="00CA30A5">
        <w:rPr>
          <w:rFonts w:ascii="Times New Roman" w:hAnsi="Times New Roman" w:cs="Times New Roman"/>
          <w:lang w:val="lt-LT"/>
        </w:rPr>
        <w:t xml:space="preserve"> vykdyti.</w:t>
      </w:r>
    </w:p>
    <w:p w14:paraId="4AF04D57" w14:textId="77777777" w:rsidR="005816EC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Prekės</w:t>
      </w:r>
      <w:r w:rsidRPr="00CA30A5">
        <w:rPr>
          <w:rFonts w:ascii="Times New Roman" w:hAnsi="Times New Roman" w:cs="Times New Roman"/>
          <w:lang w:val="lt-LT"/>
        </w:rPr>
        <w:t xml:space="preserve"> turi būti pristatytos ne vėliau kaip per 2 mėn. nuo sutarties įsigaliojimo, Pirkėjo nurodytu adresu</w:t>
      </w:r>
      <w:r w:rsidR="005816EC">
        <w:rPr>
          <w:rFonts w:ascii="Times New Roman" w:hAnsi="Times New Roman" w:cs="Times New Roman"/>
          <w:lang w:val="lt-LT"/>
        </w:rPr>
        <w:t xml:space="preserve"> Ignalinos rajone</w:t>
      </w:r>
      <w:r w:rsidRPr="00CA30A5">
        <w:rPr>
          <w:rFonts w:ascii="Times New Roman" w:hAnsi="Times New Roman" w:cs="Times New Roman"/>
          <w:lang w:val="lt-LT"/>
        </w:rPr>
        <w:t>.</w:t>
      </w:r>
    </w:p>
    <w:p w14:paraId="50A1F445" w14:textId="6524AC3B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lang w:val="lt-LT"/>
        </w:rPr>
        <w:t>Tiekėjas turi užtikrinti, kad jis atitinka Projekto sutartyje numatytas tiekėjams taikomas bendrąsias sąlygas</w:t>
      </w:r>
      <w:r w:rsidR="008F2C04" w:rsidRPr="00CA30A5">
        <w:rPr>
          <w:rFonts w:ascii="Times New Roman" w:hAnsi="Times New Roman" w:cs="Times New Roman"/>
          <w:lang w:val="lt-LT"/>
        </w:rPr>
        <w:t xml:space="preserve">: </w:t>
      </w:r>
      <w:hyperlink r:id="rId5" w:history="1">
        <w:r w:rsidR="008F2C04" w:rsidRPr="00CA30A5">
          <w:rPr>
            <w:rStyle w:val="Hipersaitas"/>
            <w:rFonts w:ascii="Times New Roman" w:hAnsi="Times New Roman" w:cs="Times New Roman"/>
            <w:lang w:val="lt-LT"/>
          </w:rPr>
          <w:t>http://ec.europa.eu/environment/life/toolkit/pmtools/life2014_2020/documents/LIFE2015_Model_Grant_Agreement_for_integrated_projects.pdf</w:t>
        </w:r>
      </w:hyperlink>
    </w:p>
    <w:p w14:paraId="5042175E" w14:textId="04CB04C5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Techniniai reikalavimai</w:t>
      </w:r>
      <w:r w:rsidRPr="00CA30A5">
        <w:rPr>
          <w:rFonts w:ascii="Times New Roman" w:hAnsi="Times New Roman" w:cs="Times New Roman"/>
          <w:b/>
          <w:lang w:val="lt-LT"/>
        </w:rPr>
        <w:t xml:space="preserve"> </w:t>
      </w:r>
      <w:r w:rsidRPr="00CA30A5">
        <w:rPr>
          <w:rFonts w:ascii="Times New Roman" w:hAnsi="Times New Roman" w:cs="Times New Roman"/>
          <w:bCs/>
          <w:lang w:val="lt-LT"/>
        </w:rPr>
        <w:t>galvijams pateikiami lentelėje:</w:t>
      </w:r>
    </w:p>
    <w:tbl>
      <w:tblPr>
        <w:tblpPr w:leftFromText="180" w:rightFromText="180" w:bottomFromText="160" w:vertAnchor="text" w:horzAnchor="margin" w:tblpY="3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820"/>
        <w:gridCol w:w="2976"/>
      </w:tblGrid>
      <w:tr w:rsidR="00176A7E" w:rsidRPr="005816EC" w14:paraId="33D104B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44FF" w14:textId="2A5B0328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Eil. Nr.</w:t>
            </w:r>
            <w:r w:rsidR="002147E3" w:rsidRPr="00CA30A5">
              <w:rPr>
                <w:rFonts w:ascii="Times New Roman" w:hAnsi="Times New Roman" w:cs="Times New Roman"/>
                <w:b/>
                <w:lang w:val="lt-LT"/>
              </w:rPr>
              <w:t xml:space="preserve"> ir objekto 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A7ED" w14:textId="7777777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Techniniai reikalavimai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F44" w14:textId="54CAC84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Pildo tiekėjas**(Taip/Ne  ir nurodoma konkreti reikšmė</w:t>
            </w:r>
            <w:r w:rsidR="00CA30A5" w:rsidRPr="00CA30A5">
              <w:rPr>
                <w:rFonts w:ascii="Times New Roman" w:hAnsi="Times New Roman" w:cs="Times New Roman"/>
                <w:b/>
                <w:lang w:val="lt-LT"/>
              </w:rPr>
              <w:t>,</w:t>
            </w:r>
            <w:r w:rsidRPr="00CA30A5">
              <w:rPr>
                <w:rFonts w:ascii="Times New Roman" w:hAnsi="Times New Roman" w:cs="Times New Roman"/>
                <w:b/>
                <w:lang w:val="lt-LT"/>
              </w:rPr>
              <w:t xml:space="preserve"> kur reikalinga</w:t>
            </w:r>
            <w:r w:rsidRPr="00CA30A5">
              <w:rPr>
                <w:rFonts w:ascii="Times New Roman" w:hAnsi="Times New Roman" w:cs="Times New Roman"/>
                <w:b/>
                <w:bCs/>
                <w:lang w:val="fi-FI"/>
              </w:rPr>
              <w:t>)</w:t>
            </w:r>
          </w:p>
          <w:p w14:paraId="08154A53" w14:textId="7777777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76A7E" w:rsidRPr="00CA30A5" w14:paraId="54567595" w14:textId="77777777">
        <w:trPr>
          <w:trHeight w:val="1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44B6" w14:textId="77777777" w:rsidR="00176A7E" w:rsidRPr="00CA30A5" w:rsidRDefault="00176A7E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DE9A" w14:textId="77777777" w:rsidR="00176A7E" w:rsidRPr="00CA30A5" w:rsidRDefault="00176A7E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D63" w14:textId="06B975A3" w:rsidR="00176A7E" w:rsidRPr="00CA30A5" w:rsidRDefault="00E823AA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3</w:t>
            </w:r>
          </w:p>
        </w:tc>
      </w:tr>
      <w:tr w:rsidR="00176A7E" w:rsidRPr="00105DA2" w14:paraId="25DA1D19" w14:textId="77777777">
        <w:trPr>
          <w:trHeight w:val="5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C513" w14:textId="0CB989BB" w:rsidR="00176A7E" w:rsidRPr="00CA30A5" w:rsidRDefault="00176A7E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87F53" w:rsidRPr="00CA30A5">
              <w:rPr>
                <w:rFonts w:ascii="Times New Roman" w:hAnsi="Times New Roman" w:cs="Times New Roman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galvijų, iš jų: 2</w:t>
            </w:r>
            <w:r w:rsidR="002147E3" w:rsidRPr="00CA30A5">
              <w:rPr>
                <w:rFonts w:ascii="Times New Roman" w:hAnsi="Times New Roman" w:cs="Times New Roman"/>
              </w:rPr>
              <w:t>4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telyčios ir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147E3" w:rsidRPr="00CA30A5">
              <w:rPr>
                <w:rFonts w:ascii="Times New Roman" w:hAnsi="Times New Roman" w:cs="Times New Roman"/>
              </w:rPr>
              <w:t>1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D07" w14:textId="6E1BDBC1" w:rsidR="00D87F53" w:rsidRPr="00CA30A5" w:rsidRDefault="00176A7E" w:rsidP="00CA30A5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8F2C04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grynaveisliai </w:t>
            </w:r>
            <w:proofErr w:type="spellStart"/>
            <w:r w:rsidR="008F2C04" w:rsidRPr="00CA30A5">
              <w:rPr>
                <w:rFonts w:ascii="Times New Roman" w:hAnsi="Times New Roman" w:cs="Times New Roman"/>
                <w:lang w:val="lt-LT"/>
              </w:rPr>
              <w:t>Angus</w:t>
            </w:r>
            <w:proofErr w:type="spellEnd"/>
            <w:r w:rsidRPr="00CA30A5">
              <w:rPr>
                <w:rFonts w:ascii="Times New Roman" w:hAnsi="Times New Roman" w:cs="Times New Roman"/>
                <w:lang w:val="lt-LT"/>
              </w:rPr>
              <w:t xml:space="preserve"> veislės (100 % kraujo grynumo laipsnis)*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, geros fizinės būklės (konkrečiam amžiui būdingo svorio ir dydžio), telyčios turi būti veršingos, </w:t>
            </w:r>
            <w:r w:rsidR="00105DA2">
              <w:rPr>
                <w:rFonts w:ascii="Times New Roman" w:hAnsi="Times New Roman" w:cs="Times New Roman"/>
                <w:lang w:val="lt-LT"/>
              </w:rPr>
              <w:t>sukergtos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>, 19-36 mėnesių amžiaus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>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 negali būti gimining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 telyčioms, 14-30 mėnesių amžiaus.</w:t>
            </w:r>
          </w:p>
          <w:p w14:paraId="74A80B5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24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18D5045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9F2" w14:textId="1EB89FAF" w:rsidR="00176A7E" w:rsidRPr="00CA30A5" w:rsidRDefault="00CA30A5" w:rsidP="00176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55CA" w14:textId="3B52965D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Visų galvijų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kokybė turi atitikti veislės standartus: </w:t>
            </w:r>
            <w:proofErr w:type="spellStart"/>
            <w:r w:rsidRPr="00CA30A5">
              <w:rPr>
                <w:rFonts w:ascii="Times New Roman" w:hAnsi="Times New Roman" w:cs="Times New Roman"/>
                <w:lang w:val="lt-LT"/>
              </w:rPr>
              <w:t>tipingumas</w:t>
            </w:r>
            <w:proofErr w:type="spellEnd"/>
            <w:r w:rsidRPr="00CA30A5">
              <w:rPr>
                <w:rFonts w:ascii="Times New Roman" w:hAnsi="Times New Roman" w:cs="Times New Roman"/>
                <w:lang w:val="lt-LT"/>
              </w:rPr>
              <w:t>, produktyvumas, sveikatingumas.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E29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5816EC" w14:paraId="0B89A2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E4B" w14:textId="618E365A" w:rsidR="00176A7E" w:rsidRPr="00CA30A5" w:rsidRDefault="00CA30A5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0A6D" w14:textId="40A1E24A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paženklinti, turėti galvijo pasą, galvijų kilmės pažymėjimus.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6DD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5816EC" w14:paraId="7E0FB0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A6A" w14:textId="16FB46E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D6AB" w14:textId="467AC961" w:rsidR="00176A7E" w:rsidRPr="00CA30A5" w:rsidRDefault="002147E3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Telyčių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(2</w:t>
            </w:r>
            <w:r w:rsidRPr="00CA30A5">
              <w:rPr>
                <w:rFonts w:ascii="Times New Roman" w:hAnsi="Times New Roman" w:cs="Times New Roman"/>
                <w:lang w:val="lt-LT"/>
              </w:rPr>
              <w:t>4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vnt.) amžius turi būti nuo  1</w:t>
            </w:r>
            <w:r w:rsidRPr="00CA30A5">
              <w:rPr>
                <w:rFonts w:ascii="Times New Roman" w:hAnsi="Times New Roman" w:cs="Times New Roman"/>
                <w:lang w:val="lt-LT"/>
              </w:rPr>
              <w:t>9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 mėnesių iki 3</w:t>
            </w:r>
            <w:r w:rsidRPr="00CA30A5">
              <w:rPr>
                <w:rFonts w:ascii="Times New Roman" w:hAnsi="Times New Roman" w:cs="Times New Roman"/>
                <w:lang w:val="lt-LT"/>
              </w:rPr>
              <w:t>6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mėnesių.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6DE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31D2D6F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B15" w14:textId="55D2470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8F7B" w14:textId="3994F89A" w:rsidR="00176A7E" w:rsidRPr="00CA30A5" w:rsidRDefault="002147E3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Telyčios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(2</w:t>
            </w:r>
            <w:r w:rsidRPr="00CA30A5">
              <w:rPr>
                <w:rFonts w:ascii="Times New Roman" w:hAnsi="Times New Roman" w:cs="Times New Roman"/>
                <w:lang w:val="lt-LT"/>
              </w:rPr>
              <w:t>4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vnt.) turi būti negiminingos buli</w:t>
            </w:r>
            <w:r w:rsidRPr="00CA30A5">
              <w:rPr>
                <w:rFonts w:ascii="Times New Roman" w:hAnsi="Times New Roman" w:cs="Times New Roman"/>
                <w:lang w:val="lt-LT"/>
              </w:rPr>
              <w:t>ui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Pr="00CA30A5">
              <w:rPr>
                <w:rFonts w:ascii="Times New Roman" w:hAnsi="Times New Roman" w:cs="Times New Roman"/>
                <w:lang w:val="lt-LT"/>
              </w:rPr>
              <w:t>ui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keturiose kartose.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D2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4323EE8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B65" w14:textId="24EB82DD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B4DE" w14:textId="4047DD53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1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negimining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siūlomoms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telyčioms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keturiose kartose.  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amžius turi būti nuo 14  mėnesių iki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30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mėnesių.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4D0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5816EC" w14:paraId="3151604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8D7" w14:textId="22CBFD1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6F99" w14:textId="01AB4AC1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CA30A5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sveiki, be klinikinių ligos požymių,</w:t>
            </w:r>
            <w:r w:rsidR="00FC3179" w:rsidRPr="00CA30A5">
              <w:rPr>
                <w:rFonts w:ascii="Times New Roman" w:hAnsi="Times New Roman" w:cs="Times New Roman"/>
                <w:lang w:val="lt-LT"/>
              </w:rPr>
              <w:t xml:space="preserve"> pristatomi iš laisvų nuo galvijų bruceliozės, leukozės ir tuberkuliozės bandų,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atitikti gyvūnų gerovės reikalavimus.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53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B0F49AB" w14:textId="77777777" w:rsidR="00FC3179" w:rsidRPr="00CA30A5" w:rsidRDefault="00FC3179" w:rsidP="00176A7E">
      <w:pPr>
        <w:rPr>
          <w:rFonts w:ascii="Times New Roman" w:hAnsi="Times New Roman" w:cs="Times New Roman"/>
          <w:bCs/>
          <w:lang w:val="lt-LT"/>
        </w:rPr>
      </w:pPr>
    </w:p>
    <w:p w14:paraId="36F27309" w14:textId="282636D3" w:rsidR="00176A7E" w:rsidRPr="00CA30A5" w:rsidRDefault="00176A7E" w:rsidP="00CA30A5">
      <w:pPr>
        <w:jc w:val="both"/>
        <w:rPr>
          <w:rFonts w:ascii="Times New Roman" w:hAnsi="Times New Roman" w:cs="Times New Roman"/>
          <w:bCs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*</w:t>
      </w:r>
      <w:r w:rsidR="00CA30A5">
        <w:rPr>
          <w:rFonts w:ascii="Times New Roman" w:hAnsi="Times New Roman" w:cs="Times New Roman"/>
          <w:bCs/>
          <w:lang w:val="lt-LT"/>
        </w:rPr>
        <w:t xml:space="preserve"> </w:t>
      </w:r>
      <w:r w:rsidR="00CA30A5">
        <w:rPr>
          <w:rFonts w:ascii="Times New Roman" w:hAnsi="Times New Roman" w:cs="Times New Roman"/>
          <w:b/>
          <w:lang w:val="lt-LT"/>
        </w:rPr>
        <w:t>p</w:t>
      </w:r>
      <w:r w:rsidRPr="00CA30A5">
        <w:rPr>
          <w:rFonts w:ascii="Times New Roman" w:hAnsi="Times New Roman" w:cs="Times New Roman"/>
          <w:b/>
          <w:lang w:val="lt-LT"/>
        </w:rPr>
        <w:t xml:space="preserve">erkami </w:t>
      </w:r>
      <w:proofErr w:type="spellStart"/>
      <w:r w:rsidR="008F2C04" w:rsidRPr="00CA30A5">
        <w:rPr>
          <w:rFonts w:ascii="Times New Roman" w:hAnsi="Times New Roman" w:cs="Times New Roman"/>
          <w:b/>
          <w:lang w:val="lt-LT"/>
        </w:rPr>
        <w:t>Angus</w:t>
      </w:r>
      <w:proofErr w:type="spellEnd"/>
      <w:r w:rsidRPr="00CA30A5">
        <w:rPr>
          <w:rFonts w:ascii="Times New Roman" w:hAnsi="Times New Roman" w:cs="Times New Roman"/>
          <w:b/>
          <w:lang w:val="lt-LT"/>
        </w:rPr>
        <w:t xml:space="preserve"> veislės galvijai dėl jau turimų tokios veislės galvijų, siekiant pratęsti turimą veislę.</w:t>
      </w:r>
    </w:p>
    <w:p w14:paraId="79B8C53B" w14:textId="25FD86E3" w:rsidR="00176A7E" w:rsidRPr="00CA30A5" w:rsidRDefault="00176A7E" w:rsidP="00CA30A5">
      <w:pPr>
        <w:jc w:val="both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*</w:t>
      </w:r>
      <w:r w:rsidRPr="00CA30A5">
        <w:rPr>
          <w:rFonts w:ascii="Times New Roman" w:hAnsi="Times New Roman" w:cs="Times New Roman"/>
          <w:b/>
          <w:lang w:val="lt-LT"/>
        </w:rPr>
        <w:t>* užpildydamas kiekvieną punktą tiekėjas kartu turi pateikti atitiktį nurodytiems techniniams reikalavimams patvirtinančius dokumentus</w:t>
      </w:r>
      <w:r w:rsidR="00CA30A5" w:rsidRPr="00CA30A5">
        <w:rPr>
          <w:rFonts w:ascii="Times New Roman" w:hAnsi="Times New Roman" w:cs="Times New Roman"/>
          <w:b/>
          <w:lang w:val="lt-LT"/>
        </w:rPr>
        <w:t xml:space="preserve"> </w:t>
      </w:r>
      <w:r w:rsidRPr="00CA30A5">
        <w:rPr>
          <w:rFonts w:ascii="Times New Roman" w:hAnsi="Times New Roman" w:cs="Times New Roman"/>
          <w:b/>
          <w:lang w:val="lt-LT"/>
        </w:rPr>
        <w:t xml:space="preserve">- parengtus techninių charakteristikų aprašymus, </w:t>
      </w:r>
      <w:r w:rsidR="00CA30A5" w:rsidRPr="00CA30A5">
        <w:rPr>
          <w:rFonts w:ascii="Times New Roman" w:hAnsi="Times New Roman" w:cs="Times New Roman"/>
          <w:b/>
          <w:lang w:val="lt-LT"/>
        </w:rPr>
        <w:t xml:space="preserve">kilmės pažymėjimus, pasus, sėklinimo veterinarinę pažymą, </w:t>
      </w:r>
      <w:proofErr w:type="spellStart"/>
      <w:r w:rsidR="00CA30A5" w:rsidRPr="00CA30A5">
        <w:rPr>
          <w:rFonts w:ascii="Times New Roman" w:hAnsi="Times New Roman" w:cs="Times New Roman"/>
          <w:b/>
          <w:lang w:val="lt-LT"/>
        </w:rPr>
        <w:t>seksuotos</w:t>
      </w:r>
      <w:proofErr w:type="spellEnd"/>
      <w:r w:rsidR="00CA30A5" w:rsidRPr="00CA30A5">
        <w:rPr>
          <w:rFonts w:ascii="Times New Roman" w:hAnsi="Times New Roman" w:cs="Times New Roman"/>
          <w:b/>
          <w:lang w:val="lt-LT"/>
        </w:rPr>
        <w:t xml:space="preserve"> spermos sertifikatą, veterinarinius sertifikatus, galiojančius Europos Sąjungoje</w:t>
      </w:r>
      <w:r w:rsidRPr="00CA30A5">
        <w:rPr>
          <w:rFonts w:ascii="Times New Roman" w:hAnsi="Times New Roman" w:cs="Times New Roman"/>
          <w:b/>
          <w:lang w:val="lt-LT"/>
        </w:rPr>
        <w:t xml:space="preserve">, tiekėjo, jo atstovo deklaraciją ar kt. lygiaverčius dokumentus. Neužpildžius bent vieno iš punktų ir (ar) neapteikus patvirtinančių dokumentų ar jais nepagrindus atitikties nurodytiems reikalavimams, laikoma, kad siūlomas objektas neatitinka nustatytų reikalavimų.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0"/>
        <w:gridCol w:w="649"/>
        <w:gridCol w:w="2128"/>
        <w:gridCol w:w="753"/>
        <w:gridCol w:w="2807"/>
        <w:gridCol w:w="697"/>
      </w:tblGrid>
      <w:tr w:rsidR="00176A7E" w:rsidRPr="005816EC" w14:paraId="3B65ADAB" w14:textId="77777777">
        <w:trPr>
          <w:trHeight w:val="169"/>
        </w:trPr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4285" w14:textId="77777777" w:rsidR="00CA30A5" w:rsidRDefault="00CA30A5" w:rsidP="00176A7E">
            <w:pPr>
              <w:rPr>
                <w:rFonts w:ascii="Times New Roman" w:hAnsi="Times New Roman" w:cs="Times New Roman"/>
                <w:lang w:val="lt-LT"/>
              </w:rPr>
            </w:pPr>
          </w:p>
          <w:p w14:paraId="40735FDF" w14:textId="77777777" w:rsidR="00CA30A5" w:rsidRPr="00CA30A5" w:rsidRDefault="00CA30A5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9" w:type="dxa"/>
          </w:tcPr>
          <w:p w14:paraId="2531B62B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666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53" w:type="dxa"/>
          </w:tcPr>
          <w:p w14:paraId="7F32CAD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C8314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97" w:type="dxa"/>
          </w:tcPr>
          <w:p w14:paraId="415D828A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0B592FE1" w14:textId="77777777">
        <w:trPr>
          <w:trHeight w:val="110"/>
        </w:trPr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C4422D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(tiekėjo arba jo įgalioto asmens pareigų pavadinimas)</w:t>
            </w:r>
          </w:p>
        </w:tc>
        <w:tc>
          <w:tcPr>
            <w:tcW w:w="649" w:type="dxa"/>
          </w:tcPr>
          <w:p w14:paraId="722B9601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6A684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(parašas)</w:t>
            </w:r>
            <w:r w:rsidRPr="00CA30A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753" w:type="dxa"/>
          </w:tcPr>
          <w:p w14:paraId="1ECEDD10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370C1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(vardas ir pavardė)</w:t>
            </w:r>
            <w:r w:rsidRPr="00CA30A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697" w:type="dxa"/>
          </w:tcPr>
          <w:p w14:paraId="7C094997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92AAC3B" w14:textId="18FFBCDF" w:rsidR="0088618F" w:rsidRDefault="0088618F" w:rsidP="00CA30A5"/>
    <w:sectPr w:rsidR="0088618F" w:rsidSect="00CA30A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C30"/>
    <w:multiLevelType w:val="hybridMultilevel"/>
    <w:tmpl w:val="244A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145C"/>
    <w:multiLevelType w:val="hybridMultilevel"/>
    <w:tmpl w:val="9F086CB4"/>
    <w:lvl w:ilvl="0" w:tplc="7F94AEB4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-3096" w:hanging="360"/>
      </w:pPr>
    </w:lvl>
    <w:lvl w:ilvl="2" w:tplc="0427001B">
      <w:start w:val="1"/>
      <w:numFmt w:val="lowerRoman"/>
      <w:lvlText w:val="%3."/>
      <w:lvlJc w:val="right"/>
      <w:pPr>
        <w:ind w:left="-2376" w:hanging="180"/>
      </w:pPr>
    </w:lvl>
    <w:lvl w:ilvl="3" w:tplc="0427000F">
      <w:start w:val="1"/>
      <w:numFmt w:val="decimal"/>
      <w:lvlText w:val="%4."/>
      <w:lvlJc w:val="left"/>
      <w:pPr>
        <w:ind w:left="-1656" w:hanging="360"/>
      </w:pPr>
    </w:lvl>
    <w:lvl w:ilvl="4" w:tplc="04270019">
      <w:start w:val="1"/>
      <w:numFmt w:val="lowerLetter"/>
      <w:lvlText w:val="%5."/>
      <w:lvlJc w:val="left"/>
      <w:pPr>
        <w:ind w:left="-936" w:hanging="360"/>
      </w:pPr>
    </w:lvl>
    <w:lvl w:ilvl="5" w:tplc="0427001B">
      <w:start w:val="1"/>
      <w:numFmt w:val="lowerRoman"/>
      <w:lvlText w:val="%6."/>
      <w:lvlJc w:val="right"/>
      <w:pPr>
        <w:ind w:left="-216" w:hanging="180"/>
      </w:pPr>
    </w:lvl>
    <w:lvl w:ilvl="6" w:tplc="0427000F">
      <w:start w:val="1"/>
      <w:numFmt w:val="decimal"/>
      <w:lvlText w:val="%7."/>
      <w:lvlJc w:val="left"/>
      <w:pPr>
        <w:ind w:left="504" w:hanging="360"/>
      </w:pPr>
    </w:lvl>
    <w:lvl w:ilvl="7" w:tplc="04270019">
      <w:start w:val="1"/>
      <w:numFmt w:val="lowerLetter"/>
      <w:lvlText w:val="%8."/>
      <w:lvlJc w:val="left"/>
      <w:pPr>
        <w:ind w:left="1224" w:hanging="360"/>
      </w:pPr>
    </w:lvl>
    <w:lvl w:ilvl="8" w:tplc="0427001B">
      <w:start w:val="1"/>
      <w:numFmt w:val="lowerRoman"/>
      <w:lvlText w:val="%9."/>
      <w:lvlJc w:val="right"/>
      <w:pPr>
        <w:ind w:left="1944" w:hanging="180"/>
      </w:pPr>
    </w:lvl>
  </w:abstractNum>
  <w:num w:numId="1" w16cid:durableId="122390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7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7E"/>
    <w:rsid w:val="00105DA2"/>
    <w:rsid w:val="00176A7E"/>
    <w:rsid w:val="002147E3"/>
    <w:rsid w:val="00264E65"/>
    <w:rsid w:val="002F58F2"/>
    <w:rsid w:val="00487771"/>
    <w:rsid w:val="005816EC"/>
    <w:rsid w:val="00710707"/>
    <w:rsid w:val="007606EF"/>
    <w:rsid w:val="0088618F"/>
    <w:rsid w:val="008F2C04"/>
    <w:rsid w:val="009B1819"/>
    <w:rsid w:val="00A019EB"/>
    <w:rsid w:val="00CA30A5"/>
    <w:rsid w:val="00CB4600"/>
    <w:rsid w:val="00D73DA6"/>
    <w:rsid w:val="00D87F53"/>
    <w:rsid w:val="00E823AA"/>
    <w:rsid w:val="00FC3179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E2F2"/>
  <w15:chartTrackingRefBased/>
  <w15:docId w15:val="{32977B41-EFC3-4CFC-8B95-D53B7612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6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6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6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6A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6A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6A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6A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6A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6A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6A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6A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6A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6A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6A7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76A7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7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environment/life/toolkit/pmtools/life2014_2020/documents/LIFE2015_Model_Grant_Agreement_for_integrated_projec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Agnė  Vaišytė</cp:lastModifiedBy>
  <cp:revision>7</cp:revision>
  <dcterms:created xsi:type="dcterms:W3CDTF">2026-02-18T11:28:00Z</dcterms:created>
  <dcterms:modified xsi:type="dcterms:W3CDTF">2026-05-15T11:08:00Z</dcterms:modified>
</cp:coreProperties>
</file>