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606D67BA" w14:textId="77777777" w:rsidR="00637CB1" w:rsidRPr="00FD44A0" w:rsidRDefault="00637CB1" w:rsidP="00637CB1">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Pr="00FD44A0">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507E2EA4"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6F76B5" w:rsidRPr="006F76B5">
                <w:rPr>
                  <w:rFonts w:ascii="Arial" w:hAnsi="Arial" w:cs="Arial"/>
                  <w:b/>
                  <w:bCs/>
                  <w:caps/>
                  <w:sz w:val="24"/>
                  <w:szCs w:val="24"/>
                </w:rPr>
                <w:t>Tauragės m. Dobilo g. 9, 11 kito inžinerinio statinio kiemo aikštelės ir inžinerinių lietaus nuotekų šalinimo tinklų statyb</w:t>
              </w:r>
              <w:r w:rsidR="0090791F">
                <w:rPr>
                  <w:rFonts w:ascii="Arial" w:hAnsi="Arial" w:cs="Arial"/>
                  <w:b/>
                  <w:bCs/>
                  <w:caps/>
                  <w:sz w:val="24"/>
                  <w:szCs w:val="24"/>
                </w:rPr>
                <w:t>a</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68E47FBC"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D443C2">
        <w:rPr>
          <w:rFonts w:ascii="Arial" w:eastAsia="Calibri" w:hAnsi="Arial" w:cs="Arial"/>
          <w:sz w:val="24"/>
          <w:szCs w:val="24"/>
          <w:lang w:eastAsia="en-US"/>
        </w:rPr>
        <w:t>3</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00E41BC3">
        <w:rPr>
          <w:rFonts w:ascii="Arial" w:hAnsi="Arial" w:cs="Arial"/>
          <w:color w:val="000000" w:themeColor="text1"/>
          <w:sz w:val="24"/>
          <w:szCs w:val="24"/>
        </w:rPr>
        <w:t>;</w:t>
      </w:r>
    </w:p>
    <w:p w14:paraId="77F22692" w14:textId="21D9E197"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w:t>
      </w:r>
      <w:r w:rsidR="002502B9">
        <w:rPr>
          <w:rFonts w:ascii="Arial" w:hAnsi="Arial" w:cs="Arial"/>
          <w:color w:val="000000" w:themeColor="text1"/>
          <w:sz w:val="24"/>
          <w:szCs w:val="24"/>
        </w:rPr>
        <w:t>Jolanta Makaraitė</w:t>
      </w:r>
      <w:r w:rsidRPr="002C3FE2">
        <w:rPr>
          <w:rFonts w:ascii="Arial" w:hAnsi="Arial" w:cs="Arial"/>
          <w:color w:val="000000" w:themeColor="text1"/>
          <w:sz w:val="24"/>
          <w:szCs w:val="24"/>
        </w:rPr>
        <w:t xml:space="preserve">, Tauragės rajono savivaldybės administracijos Viešųjų pirkimų skyriaus </w:t>
      </w:r>
      <w:r w:rsidR="002502B9">
        <w:rPr>
          <w:rFonts w:ascii="Arial" w:hAnsi="Arial" w:cs="Arial"/>
          <w:color w:val="000000" w:themeColor="text1"/>
          <w:sz w:val="24"/>
          <w:szCs w:val="24"/>
        </w:rPr>
        <w:t>specialistė</w:t>
      </w:r>
      <w:r w:rsidRPr="002C3FE2">
        <w:rPr>
          <w:rFonts w:ascii="Arial" w:hAnsi="Arial" w:cs="Arial"/>
          <w:color w:val="000000" w:themeColor="text1"/>
          <w:sz w:val="24"/>
          <w:szCs w:val="24"/>
        </w:rPr>
        <w:t>, tel. +370</w:t>
      </w:r>
      <w:r w:rsidR="002502B9">
        <w:rPr>
          <w:rFonts w:ascii="Arial" w:hAnsi="Arial" w:cs="Arial"/>
          <w:color w:val="000000" w:themeColor="text1"/>
          <w:sz w:val="24"/>
          <w:szCs w:val="24"/>
        </w:rPr>
        <w:t> </w:t>
      </w:r>
      <w:r w:rsidRPr="002C3FE2">
        <w:rPr>
          <w:rFonts w:ascii="Arial" w:hAnsi="Arial" w:cs="Arial"/>
          <w:color w:val="000000" w:themeColor="text1"/>
          <w:sz w:val="24"/>
          <w:szCs w:val="24"/>
        </w:rPr>
        <w:t>6</w:t>
      </w:r>
      <w:r w:rsidR="002502B9">
        <w:rPr>
          <w:rFonts w:ascii="Arial" w:hAnsi="Arial" w:cs="Arial"/>
          <w:color w:val="000000" w:themeColor="text1"/>
          <w:sz w:val="24"/>
          <w:szCs w:val="24"/>
        </w:rPr>
        <w:t>55 94828</w:t>
      </w:r>
      <w:r w:rsidRPr="002C3FE2">
        <w:rPr>
          <w:rFonts w:ascii="Arial" w:hAnsi="Arial" w:cs="Arial"/>
          <w:color w:val="000000" w:themeColor="text1"/>
          <w:sz w:val="24"/>
          <w:szCs w:val="24"/>
        </w:rPr>
        <w:t xml:space="preserve">, el. p. </w:t>
      </w:r>
      <w:proofErr w:type="spellStart"/>
      <w:r w:rsidR="002502B9">
        <w:rPr>
          <w:rFonts w:ascii="Arial" w:hAnsi="Arial" w:cs="Arial"/>
          <w:color w:val="000000" w:themeColor="text1"/>
          <w:sz w:val="24"/>
          <w:szCs w:val="24"/>
        </w:rPr>
        <w:t>jolanta.makaraite</w:t>
      </w:r>
      <w:r w:rsidRPr="002C3FE2">
        <w:rPr>
          <w:rFonts w:ascii="Arial" w:hAnsi="Arial" w:cs="Arial"/>
          <w:color w:val="000000" w:themeColor="text1"/>
          <w:sz w:val="24"/>
          <w:szCs w:val="24"/>
        </w:rPr>
        <w:t>@taurage.lt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07A5B6E1"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096308" w:rsidRPr="00096308">
        <w:rPr>
          <w:rFonts w:ascii="Arial" w:eastAsia="Calibri" w:hAnsi="Arial" w:cs="Arial"/>
          <w:b/>
          <w:bCs/>
          <w:color w:val="000000" w:themeColor="text1"/>
          <w:sz w:val="24"/>
          <w:szCs w:val="24"/>
        </w:rPr>
        <w:t>Tauragės m. Dobilo g. 9, 11 kito inžinerinio statinio kiemo aikštelės ir inžinerinių lietaus nuotekų šalinimo tinklų statyb</w:t>
      </w:r>
      <w:r w:rsidR="00096308">
        <w:rPr>
          <w:rFonts w:ascii="Arial" w:eastAsia="Calibri" w:hAnsi="Arial" w:cs="Arial"/>
          <w:b/>
          <w:bCs/>
          <w:color w:val="000000" w:themeColor="text1"/>
          <w:sz w:val="24"/>
          <w:szCs w:val="24"/>
        </w:rPr>
        <w:t>os darbus</w:t>
      </w:r>
      <w:r w:rsidR="003E56E7" w:rsidRPr="003E56E7">
        <w:rPr>
          <w:rFonts w:ascii="Arial" w:eastAsia="Calibri" w:hAnsi="Arial" w:cs="Arial"/>
          <w:b/>
          <w:bCs/>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096308">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44C081A8" w14:textId="0BC38A98"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xml:space="preserve">. Darbus atliekant skirtingiems rangovams sutartinių įsipareigojimų vykdymas taptų itin sudėtingas, taptų neįmanoma pasiekti darbų nuoseklumo, kokybės, užtikrinti darbų </w:t>
      </w:r>
      <w:r w:rsidR="00E41BC3" w:rsidRPr="00E41BC3">
        <w:rPr>
          <w:rFonts w:ascii="Arial" w:hAnsi="Arial" w:cs="Arial"/>
          <w:sz w:val="24"/>
          <w:szCs w:val="24"/>
        </w:rPr>
        <w:lastRenderedPageBreak/>
        <w:t>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w:t>
      </w:r>
      <w:r w:rsidR="00091E84">
        <w:rPr>
          <w:rFonts w:ascii="Arial" w:hAnsi="Arial" w:cs="Arial"/>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DBDA5BC"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w:t>
      </w:r>
      <w:r w:rsidR="00091E84">
        <w:rPr>
          <w:rFonts w:ascii="Arial" w:hAnsi="Arial" w:cs="Arial"/>
          <w:sz w:val="24"/>
          <w:szCs w:val="24"/>
        </w:rPr>
        <w:t>im</w:t>
      </w:r>
      <w:r w:rsidR="000A2949" w:rsidRPr="002C3FE2">
        <w:rPr>
          <w:rFonts w:ascii="Arial" w:hAnsi="Arial" w:cs="Arial"/>
          <w:sz w:val="24"/>
          <w:szCs w:val="24"/>
        </w:rPr>
        <w:t xml:space="preserve">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091E84">
      <w:pPr>
        <w:pStyle w:val="Antrat1"/>
        <w:tabs>
          <w:tab w:val="left" w:pos="567"/>
        </w:tabs>
        <w:spacing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21998E05" w14:textId="094BCB3C" w:rsidR="00E41BC3" w:rsidRPr="005A1D19" w:rsidRDefault="00D24970" w:rsidP="00091E84">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w:t>
      </w:r>
      <w:r w:rsidR="00091E84">
        <w:rPr>
          <w:rFonts w:ascii="Arial" w:hAnsi="Arial" w:cs="Arial"/>
          <w:color w:val="000000" w:themeColor="text1"/>
          <w:sz w:val="24"/>
          <w:szCs w:val="24"/>
        </w:rPr>
        <w:t>ne</w:t>
      </w:r>
      <w:r w:rsidR="00E41BC3" w:rsidRPr="005A1D19">
        <w:rPr>
          <w:rFonts w:ascii="Arial" w:hAnsi="Arial" w:cs="Arial"/>
          <w:color w:val="000000" w:themeColor="text1"/>
          <w:sz w:val="24"/>
          <w:szCs w:val="24"/>
        </w:rPr>
        <w:t xml:space="preserve">taikomos Reglamento nuostatos.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lastRenderedPageBreak/>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7684E826"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24F806D0"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w:t>
      </w:r>
      <w:r w:rsidR="00B71E56">
        <w:rPr>
          <w:rFonts w:ascii="Arial" w:hAnsi="Arial" w:cs="Arial"/>
          <w:sz w:val="24"/>
          <w:szCs w:val="24"/>
        </w:rPr>
        <w:t>Pateikdamas ir p</w:t>
      </w:r>
      <w:r w:rsidRPr="002C3FE2">
        <w:rPr>
          <w:rFonts w:ascii="Arial" w:hAnsi="Arial" w:cs="Arial"/>
          <w:sz w:val="24"/>
          <w:szCs w:val="24"/>
        </w:rPr>
        <w:t xml:space="preserve">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20D20C71"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dokumentas, patvirtinantis, kad asmuo, kuris</w:t>
      </w:r>
      <w:r w:rsidR="00B71E56">
        <w:rPr>
          <w:rFonts w:ascii="Arial" w:hAnsi="Arial" w:cs="Arial"/>
          <w:sz w:val="24"/>
          <w:szCs w:val="24"/>
        </w:rPr>
        <w:t xml:space="preserve"> pateikė ir</w:t>
      </w:r>
      <w:r w:rsidRPr="002C3FE2">
        <w:rPr>
          <w:rFonts w:ascii="Arial" w:hAnsi="Arial" w:cs="Arial"/>
          <w:sz w:val="24"/>
          <w:szCs w:val="24"/>
        </w:rPr>
        <w:t xml:space="preserve">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w:t>
      </w:r>
      <w:r w:rsidR="00B71E56">
        <w:rPr>
          <w:rFonts w:ascii="Arial" w:hAnsi="Arial" w:cs="Arial"/>
          <w:sz w:val="24"/>
          <w:szCs w:val="24"/>
        </w:rPr>
        <w:t xml:space="preserve"> pateikti ir</w:t>
      </w:r>
      <w:r w:rsidRPr="002C3FE2">
        <w:rPr>
          <w:rFonts w:ascii="Arial" w:hAnsi="Arial" w:cs="Arial"/>
          <w:sz w:val="24"/>
          <w:szCs w:val="24"/>
        </w:rPr>
        <w:t xml:space="preserve">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763AB979"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w:t>
      </w:r>
      <w:r w:rsidR="00064515">
        <w:rPr>
          <w:rFonts w:ascii="Arial" w:hAnsi="Arial" w:cs="Arial"/>
          <w:sz w:val="24"/>
          <w:szCs w:val="24"/>
        </w:rPr>
        <w:t xml:space="preserve"> arba anglų</w:t>
      </w:r>
      <w:r w:rsidR="0048587E" w:rsidRPr="002C3FE2">
        <w:rPr>
          <w:rFonts w:ascii="Arial" w:hAnsi="Arial" w:cs="Arial"/>
          <w:sz w:val="24"/>
          <w:szCs w:val="24"/>
        </w:rPr>
        <w:t xml:space="preserve">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lastRenderedPageBreak/>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618D3439"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0861C4">
        <w:rPr>
          <w:rFonts w:ascii="Arial" w:hAnsi="Arial" w:cs="Arial"/>
          <w:b/>
          <w:bCs/>
          <w:sz w:val="24"/>
          <w:szCs w:val="24"/>
        </w:rPr>
        <w:t>1</w:t>
      </w:r>
      <w:r w:rsidR="00A36926" w:rsidRPr="00A36926">
        <w:rPr>
          <w:rFonts w:ascii="Arial" w:hAnsi="Arial" w:cs="Arial"/>
          <w:b/>
          <w:bCs/>
          <w:sz w:val="24"/>
          <w:szCs w:val="24"/>
        </w:rPr>
        <w:t xml:space="preserve"> </w:t>
      </w:r>
      <w:r w:rsidR="00D40F56">
        <w:rPr>
          <w:rFonts w:ascii="Arial" w:hAnsi="Arial" w:cs="Arial"/>
          <w:b/>
          <w:bCs/>
          <w:sz w:val="24"/>
          <w:szCs w:val="24"/>
        </w:rPr>
        <w:t>5</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lastRenderedPageBreak/>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B3BF7E8"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9B4A9D" w14:paraId="2D433157"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D79ED1A" w14:textId="77777777" w:rsidR="009B4A9D" w:rsidRPr="00D608AF" w:rsidRDefault="009B4A9D" w:rsidP="007D2363">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89DDFA" w14:textId="77777777" w:rsidR="009B4A9D" w:rsidRPr="00D608AF" w:rsidRDefault="009B4A9D" w:rsidP="007D2363">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15B05E" w14:textId="77777777" w:rsidR="009B4A9D" w:rsidRPr="00D608AF" w:rsidRDefault="009B4A9D" w:rsidP="007D2363">
            <w:pPr>
              <w:spacing w:after="0"/>
              <w:jc w:val="center"/>
              <w:rPr>
                <w:rFonts w:ascii="Arial" w:hAnsi="Arial" w:cs="Arial"/>
                <w:b/>
                <w:sz w:val="24"/>
                <w:szCs w:val="24"/>
              </w:rPr>
            </w:pPr>
            <w:r w:rsidRPr="00D608AF">
              <w:rPr>
                <w:rFonts w:ascii="Arial" w:hAnsi="Arial" w:cs="Arial"/>
                <w:b/>
                <w:sz w:val="24"/>
                <w:szCs w:val="24"/>
              </w:rPr>
              <w:t>DATA/DIENŲ SKAIČIUS/ LAIKAS</w:t>
            </w:r>
          </w:p>
          <w:p w14:paraId="701BB2E1" w14:textId="77777777" w:rsidR="009B4A9D" w:rsidRPr="00D608AF" w:rsidRDefault="009B4A9D" w:rsidP="007D2363">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1AA4C6F" w14:textId="77777777" w:rsidR="009B4A9D" w:rsidRPr="00D608AF" w:rsidRDefault="009B4A9D" w:rsidP="007D2363">
            <w:pPr>
              <w:spacing w:after="0"/>
              <w:jc w:val="center"/>
              <w:rPr>
                <w:rFonts w:ascii="Arial" w:hAnsi="Arial" w:cs="Arial"/>
                <w:b/>
                <w:sz w:val="24"/>
                <w:szCs w:val="24"/>
              </w:rPr>
            </w:pPr>
            <w:r w:rsidRPr="00D608AF">
              <w:rPr>
                <w:rFonts w:ascii="Arial" w:hAnsi="Arial" w:cs="Arial"/>
                <w:b/>
                <w:sz w:val="24"/>
                <w:szCs w:val="24"/>
              </w:rPr>
              <w:t>PASTABOS</w:t>
            </w:r>
          </w:p>
        </w:tc>
      </w:tr>
      <w:tr w:rsidR="009B4A9D" w14:paraId="2D9FB3B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8A98E"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D62FB" w14:textId="77777777" w:rsidR="009B4A9D" w:rsidRPr="00D608AF" w:rsidRDefault="009B4A9D" w:rsidP="007D2363">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B3271"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AEB3F" w14:textId="77777777" w:rsidR="009B4A9D" w:rsidRPr="00D608AF" w:rsidRDefault="009B4A9D" w:rsidP="007D2363">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9B4A9D" w14:paraId="0E5D70C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D650A"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A2560" w14:textId="77777777" w:rsidR="009B4A9D" w:rsidRPr="00D608AF" w:rsidRDefault="009B4A9D" w:rsidP="007D2363">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88733"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799A1" w14:textId="77777777" w:rsidR="009B4A9D" w:rsidRPr="00D608AF" w:rsidRDefault="009B4A9D" w:rsidP="007D2363">
            <w:pPr>
              <w:spacing w:after="0"/>
              <w:rPr>
                <w:rFonts w:ascii="Arial" w:hAnsi="Arial" w:cs="Arial"/>
                <w:iCs/>
                <w:sz w:val="24"/>
                <w:szCs w:val="24"/>
              </w:rPr>
            </w:pPr>
          </w:p>
        </w:tc>
      </w:tr>
      <w:tr w:rsidR="009B4A9D" w14:paraId="54FC086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B8FF4"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E5671" w14:textId="77777777" w:rsidR="009B4A9D" w:rsidRPr="00D608AF" w:rsidRDefault="009B4A9D" w:rsidP="007D2363">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6D584"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DFB9"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p w14:paraId="3B58B3F1" w14:textId="77777777" w:rsidR="009B4A9D" w:rsidRPr="00D608AF" w:rsidRDefault="009B4A9D" w:rsidP="007D2363">
            <w:pPr>
              <w:spacing w:after="0"/>
              <w:rPr>
                <w:rFonts w:ascii="Arial" w:hAnsi="Arial" w:cs="Arial"/>
                <w:iCs/>
                <w:color w:val="7030A0"/>
                <w:sz w:val="24"/>
                <w:szCs w:val="24"/>
              </w:rPr>
            </w:pPr>
          </w:p>
        </w:tc>
      </w:tr>
      <w:tr w:rsidR="009B4A9D" w14:paraId="7DF3949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42AB" w14:textId="77777777" w:rsidR="009B4A9D" w:rsidRPr="00D608AF" w:rsidRDefault="009B4A9D" w:rsidP="009B4A9D">
            <w:pPr>
              <w:pStyle w:val="Sraopastraipa"/>
              <w:numPr>
                <w:ilvl w:val="0"/>
                <w:numId w:val="77"/>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68ABE"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54EB9"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9F5C9"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p w14:paraId="4AF6ED1F" w14:textId="77777777" w:rsidR="009B4A9D" w:rsidRPr="00D608AF" w:rsidRDefault="009B4A9D" w:rsidP="007D2363">
            <w:pPr>
              <w:spacing w:after="0"/>
              <w:rPr>
                <w:rFonts w:ascii="Arial" w:hAnsi="Arial" w:cs="Arial"/>
                <w:sz w:val="24"/>
                <w:szCs w:val="24"/>
              </w:rPr>
            </w:pPr>
          </w:p>
        </w:tc>
      </w:tr>
      <w:tr w:rsidR="009B4A9D" w:rsidRPr="003E56E7" w14:paraId="0FC4E4A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7D533" w14:textId="77777777" w:rsidR="009B4A9D" w:rsidRPr="00D608AF" w:rsidRDefault="009B4A9D" w:rsidP="009B4A9D">
            <w:pPr>
              <w:pStyle w:val="Sraopastraipa"/>
              <w:numPr>
                <w:ilvl w:val="0"/>
                <w:numId w:val="78"/>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ABA80" w14:textId="77777777" w:rsidR="009B4A9D" w:rsidRPr="00D608AF" w:rsidRDefault="009B4A9D" w:rsidP="007D2363">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1AA74" w14:textId="77777777" w:rsidR="009B4A9D" w:rsidRPr="00D608AF" w:rsidRDefault="009B4A9D" w:rsidP="007D2363">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D179" w14:textId="77777777" w:rsidR="009B4A9D" w:rsidRPr="00D608AF" w:rsidRDefault="009B4A9D" w:rsidP="007D2363">
            <w:pPr>
              <w:spacing w:after="0"/>
              <w:rPr>
                <w:rFonts w:ascii="Arial" w:hAnsi="Arial" w:cs="Arial"/>
                <w:color w:val="000000" w:themeColor="text1"/>
                <w:sz w:val="24"/>
                <w:szCs w:val="24"/>
              </w:rPr>
            </w:pPr>
          </w:p>
        </w:tc>
      </w:tr>
      <w:tr w:rsidR="009B4A9D" w14:paraId="0A4CEA0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92E6"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13110"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3EC6F" w14:textId="77777777" w:rsidR="009B4A9D" w:rsidRPr="00D608AF" w:rsidRDefault="009B4A9D" w:rsidP="007D2363">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2BF3" w14:textId="77777777" w:rsidR="009B4A9D" w:rsidRPr="00D608AF" w:rsidRDefault="009B4A9D" w:rsidP="007D2363">
            <w:pPr>
              <w:spacing w:after="0"/>
              <w:rPr>
                <w:rFonts w:ascii="Arial" w:hAnsi="Arial" w:cs="Arial"/>
                <w:sz w:val="24"/>
                <w:szCs w:val="24"/>
              </w:rPr>
            </w:pPr>
          </w:p>
        </w:tc>
      </w:tr>
      <w:tr w:rsidR="009B4A9D" w14:paraId="6519228A"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A3BBF"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2F33D"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A57BB" w14:textId="77777777" w:rsidR="009B4A9D" w:rsidRPr="00D608AF" w:rsidRDefault="009B4A9D" w:rsidP="007D2363">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8258" w14:textId="77777777" w:rsidR="009B4A9D" w:rsidRPr="00D608AF" w:rsidRDefault="009B4A9D" w:rsidP="007D2363">
            <w:pPr>
              <w:spacing w:after="0"/>
              <w:rPr>
                <w:rFonts w:ascii="Arial" w:hAnsi="Arial" w:cs="Arial"/>
                <w:sz w:val="24"/>
                <w:szCs w:val="24"/>
              </w:rPr>
            </w:pPr>
          </w:p>
        </w:tc>
      </w:tr>
      <w:tr w:rsidR="009B4A9D" w14:paraId="17E1B542"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EE74C"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BF5F2"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72C9D" w14:textId="77777777" w:rsidR="009B4A9D" w:rsidRPr="00D608AF" w:rsidRDefault="009B4A9D" w:rsidP="007D2363">
            <w:pPr>
              <w:spacing w:after="0"/>
              <w:jc w:val="both"/>
              <w:rPr>
                <w:rFonts w:ascii="Arial" w:hAnsi="Arial" w:cs="Arial"/>
                <w:iCs/>
                <w:sz w:val="24"/>
                <w:szCs w:val="24"/>
              </w:rPr>
            </w:pPr>
            <w:r w:rsidRPr="00D608AF">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6BDD" w14:textId="77777777" w:rsidR="009B4A9D" w:rsidRPr="00D608AF" w:rsidRDefault="009B4A9D" w:rsidP="007D2363">
            <w:pPr>
              <w:spacing w:after="0"/>
              <w:rPr>
                <w:rFonts w:ascii="Arial" w:hAnsi="Arial" w:cs="Arial"/>
                <w:sz w:val="24"/>
                <w:szCs w:val="24"/>
              </w:rPr>
            </w:pPr>
          </w:p>
        </w:tc>
      </w:tr>
      <w:tr w:rsidR="009B4A9D" w14:paraId="72A7C48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72C0" w14:textId="77777777" w:rsidR="009B4A9D" w:rsidRPr="00D608AF" w:rsidRDefault="009B4A9D" w:rsidP="009B4A9D">
            <w:pPr>
              <w:pStyle w:val="Sraopastraipa"/>
              <w:numPr>
                <w:ilvl w:val="0"/>
                <w:numId w:val="78"/>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61E6B" w14:textId="77777777" w:rsidR="009B4A9D" w:rsidRPr="00D608AF" w:rsidRDefault="009B4A9D" w:rsidP="007D2363">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D393" w14:textId="77777777" w:rsidR="009B4A9D" w:rsidRPr="00D608AF" w:rsidRDefault="009B4A9D" w:rsidP="007D2363">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3D468D0A" w14:textId="77777777" w:rsidR="009B4A9D" w:rsidRPr="00D608AF" w:rsidRDefault="009B4A9D" w:rsidP="007D2363">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7BEB" w14:textId="77777777" w:rsidR="009B4A9D" w:rsidRPr="00D608AF" w:rsidRDefault="009B4A9D" w:rsidP="007D2363">
            <w:pPr>
              <w:spacing w:after="0"/>
              <w:rPr>
                <w:rFonts w:ascii="Arial" w:hAnsi="Arial" w:cs="Arial"/>
                <w:sz w:val="24"/>
                <w:szCs w:val="24"/>
              </w:rPr>
            </w:pPr>
          </w:p>
        </w:tc>
      </w:tr>
      <w:tr w:rsidR="009B4A9D" w14:paraId="75AFB79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C61CA"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052EF" w14:textId="77777777" w:rsidR="009B4A9D" w:rsidRPr="00D608AF" w:rsidRDefault="009B4A9D" w:rsidP="007D2363">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86A" w14:textId="77777777" w:rsidR="009B4A9D" w:rsidRPr="00D608AF" w:rsidRDefault="009B4A9D" w:rsidP="007D2363">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C02F" w14:textId="77777777" w:rsidR="009B4A9D" w:rsidRPr="00D608AF" w:rsidRDefault="009B4A9D" w:rsidP="007D2363">
            <w:pPr>
              <w:spacing w:after="0"/>
              <w:rPr>
                <w:rFonts w:ascii="Arial" w:hAnsi="Arial" w:cs="Arial"/>
                <w:sz w:val="24"/>
                <w:szCs w:val="24"/>
              </w:rPr>
            </w:pPr>
          </w:p>
        </w:tc>
      </w:tr>
      <w:tr w:rsidR="009B4A9D" w14:paraId="2C294796"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2367A"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0C973"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D269A"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EDC61" w14:textId="77777777" w:rsidR="009B4A9D" w:rsidRPr="00D608AF" w:rsidRDefault="009B4A9D" w:rsidP="007D2363">
            <w:pPr>
              <w:spacing w:after="0"/>
              <w:rPr>
                <w:rFonts w:ascii="Arial" w:hAnsi="Arial" w:cs="Arial"/>
                <w:bCs/>
                <w:sz w:val="24"/>
                <w:szCs w:val="24"/>
              </w:rPr>
            </w:pPr>
          </w:p>
        </w:tc>
      </w:tr>
      <w:tr w:rsidR="009B4A9D" w14:paraId="2152B7E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C10DF"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00A83"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012B7"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C921" w14:textId="77777777" w:rsidR="009B4A9D" w:rsidRPr="00D608AF" w:rsidRDefault="009B4A9D" w:rsidP="007D2363">
            <w:pPr>
              <w:spacing w:after="0"/>
              <w:rPr>
                <w:rFonts w:ascii="Arial" w:hAnsi="Arial" w:cs="Arial"/>
                <w:sz w:val="24"/>
                <w:szCs w:val="24"/>
              </w:rPr>
            </w:pPr>
          </w:p>
        </w:tc>
      </w:tr>
      <w:tr w:rsidR="009B4A9D" w14:paraId="024089B8"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4F1C0"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B60BE"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1497"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CE35" w14:textId="77777777" w:rsidR="009B4A9D" w:rsidRPr="00D608AF" w:rsidRDefault="009B4A9D" w:rsidP="007D2363">
            <w:pPr>
              <w:pStyle w:val="tajtip"/>
              <w:shd w:val="clear" w:color="auto" w:fill="FFFFFF"/>
              <w:spacing w:before="0" w:beforeAutospacing="0" w:after="0" w:afterAutospacing="0" w:line="276" w:lineRule="auto"/>
              <w:ind w:firstLine="313"/>
              <w:rPr>
                <w:rFonts w:ascii="Arial" w:hAnsi="Arial" w:cs="Arial"/>
              </w:rPr>
            </w:pPr>
          </w:p>
        </w:tc>
      </w:tr>
      <w:tr w:rsidR="009B4A9D" w14:paraId="2B301D02"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0FBF"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8B2D6" w14:textId="77777777" w:rsidR="009B4A9D" w:rsidRPr="00D608AF" w:rsidRDefault="009B4A9D" w:rsidP="007D2363">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178CE"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5 (penkias) darbo  dienas nuo </w:t>
            </w:r>
            <w:r w:rsidRPr="00D608AF">
              <w:rPr>
                <w:rFonts w:ascii="Arial" w:eastAsia="Arial" w:hAnsi="Arial" w:cs="Arial"/>
                <w:sz w:val="24"/>
                <w:szCs w:val="24"/>
              </w:rPr>
              <w:t>perkančiosios organizacijos</w:t>
            </w:r>
            <w:r w:rsidRPr="00D608AF">
              <w:rPr>
                <w:rFonts w:ascii="Arial" w:hAnsi="Arial" w:cs="Arial"/>
                <w:sz w:val="24"/>
                <w:szCs w:val="24"/>
              </w:rPr>
              <w:t xml:space="preserve"> pranešimo raštu apie jos priimtą sprendimą išsiuntimo tiekėjams dienos arba nuo paskelbimo apie </w:t>
            </w:r>
            <w:r w:rsidRPr="00D608AF">
              <w:rPr>
                <w:rFonts w:ascii="Arial" w:eastAsia="Arial" w:hAnsi="Arial" w:cs="Arial"/>
                <w:sz w:val="24"/>
                <w:szCs w:val="24"/>
              </w:rPr>
              <w:t>perkančiosios organizacijos</w:t>
            </w:r>
            <w:r w:rsidRPr="00D608AF">
              <w:rPr>
                <w:rFonts w:ascii="Arial" w:hAnsi="Arial" w:cs="Arial"/>
                <w:sz w:val="24"/>
                <w:szCs w:val="24"/>
              </w:rPr>
              <w:t xml:space="preserve"> priimtus sprendimus dienos, jei VPĮ nenumato reikalavimo raštu informuoti tiekėjus apie </w:t>
            </w:r>
            <w:r w:rsidRPr="00D608AF">
              <w:rPr>
                <w:rFonts w:ascii="Arial" w:eastAsia="Arial" w:hAnsi="Arial" w:cs="Arial"/>
                <w:sz w:val="24"/>
                <w:szCs w:val="24"/>
              </w:rPr>
              <w:t xml:space="preserve"> perkančiosios organizacijos</w:t>
            </w:r>
            <w:r w:rsidRPr="00D608AF">
              <w:rPr>
                <w:rFonts w:ascii="Arial" w:hAnsi="Arial" w:cs="Arial"/>
                <w:sz w:val="24"/>
                <w:szCs w:val="24"/>
              </w:rPr>
              <w:t xml:space="preserve"> priimtus sprendimus;</w:t>
            </w:r>
          </w:p>
          <w:p w14:paraId="56543EF9"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0B517"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Vykdomas supaprastintas pirkimas</w:t>
            </w:r>
          </w:p>
        </w:tc>
      </w:tr>
      <w:tr w:rsidR="009B4A9D" w14:paraId="629F6BF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58DB2" w14:textId="77777777" w:rsidR="009B4A9D" w:rsidRPr="00D608AF" w:rsidRDefault="009B4A9D" w:rsidP="009B4A9D">
            <w:pPr>
              <w:pStyle w:val="Sraopastraipa"/>
              <w:numPr>
                <w:ilvl w:val="0"/>
                <w:numId w:val="78"/>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9D9CD"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57C4C"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E159A" w14:textId="77777777" w:rsidR="009B4A9D" w:rsidRPr="00D608AF" w:rsidRDefault="009B4A9D" w:rsidP="007D2363">
            <w:pPr>
              <w:spacing w:after="0"/>
              <w:rPr>
                <w:rFonts w:ascii="Arial" w:hAnsi="Arial" w:cs="Arial"/>
                <w:sz w:val="24"/>
                <w:szCs w:val="24"/>
              </w:rPr>
            </w:pPr>
          </w:p>
        </w:tc>
      </w:tr>
      <w:tr w:rsidR="009B4A9D" w14:paraId="6BCD3997"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CE2D5" w14:textId="77777777" w:rsidR="009B4A9D" w:rsidRPr="00D608AF" w:rsidRDefault="009B4A9D" w:rsidP="009B4A9D">
            <w:pPr>
              <w:pStyle w:val="Sraopastraipa"/>
              <w:numPr>
                <w:ilvl w:val="0"/>
                <w:numId w:val="7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6B688" w14:textId="77777777" w:rsidR="009B4A9D" w:rsidRPr="00D608AF" w:rsidRDefault="009B4A9D" w:rsidP="007D2363">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55F3E"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38D36" w14:textId="77777777" w:rsidR="009B4A9D" w:rsidRPr="00D608AF" w:rsidRDefault="009B4A9D" w:rsidP="007D2363">
            <w:pPr>
              <w:spacing w:after="0"/>
              <w:rPr>
                <w:rFonts w:ascii="Arial" w:hAnsi="Arial" w:cs="Arial"/>
                <w:sz w:val="24"/>
                <w:szCs w:val="24"/>
              </w:rPr>
            </w:pPr>
          </w:p>
        </w:tc>
      </w:tr>
      <w:tr w:rsidR="009B4A9D" w14:paraId="06B6BA2B"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7420D" w14:textId="77777777" w:rsidR="009B4A9D" w:rsidRPr="00D608AF" w:rsidRDefault="009B4A9D" w:rsidP="009B4A9D">
            <w:pPr>
              <w:pStyle w:val="Sraopastraipa"/>
              <w:numPr>
                <w:ilvl w:val="0"/>
                <w:numId w:val="78"/>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D1A6"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0C0D8" w14:textId="77777777" w:rsidR="009B4A9D" w:rsidRPr="00D608AF" w:rsidRDefault="009B4A9D" w:rsidP="007D2363">
            <w:pPr>
              <w:spacing w:after="0"/>
              <w:jc w:val="both"/>
              <w:rPr>
                <w:rFonts w:ascii="Arial" w:hAnsi="Arial" w:cs="Arial"/>
                <w:sz w:val="24"/>
                <w:szCs w:val="24"/>
              </w:rPr>
            </w:pPr>
            <w:r w:rsidRPr="00D608AF">
              <w:rPr>
                <w:rFonts w:ascii="Arial" w:hAnsi="Arial" w:cs="Arial"/>
                <w:bCs/>
                <w:sz w:val="24"/>
                <w:szCs w:val="24"/>
              </w:rPr>
              <w:t>5 (penkių) darbo dienų</w:t>
            </w:r>
            <w:r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2FBE7"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tc>
      </w:tr>
      <w:tr w:rsidR="009B4A9D" w14:paraId="1D7E2E1D"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B0CE" w14:textId="77777777" w:rsidR="009B4A9D" w:rsidRPr="00D608AF" w:rsidRDefault="009B4A9D" w:rsidP="009B4A9D">
            <w:pPr>
              <w:pStyle w:val="Sraopastraipa"/>
              <w:numPr>
                <w:ilvl w:val="0"/>
                <w:numId w:val="78"/>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B969E"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E05AF"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D060E" w14:textId="77777777" w:rsidR="009B4A9D" w:rsidRPr="00D608AF" w:rsidRDefault="009B4A9D" w:rsidP="007D2363">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6B40ACAE" w14:textId="2B2D7EC8" w:rsidR="00043F54" w:rsidRDefault="00043F54" w:rsidP="00FD6131">
      <w:pPr>
        <w:spacing w:after="0"/>
        <w:jc w:val="center"/>
        <w:rPr>
          <w:rFonts w:ascii="Arial" w:hAnsi="Arial" w:cs="Arial"/>
          <w:b/>
          <w:sz w:val="24"/>
          <w:szCs w:val="24"/>
        </w:rPr>
      </w:pPr>
    </w:p>
    <w:p w14:paraId="74F751E8" w14:textId="77777777" w:rsidR="000861C4" w:rsidRPr="001D6438" w:rsidRDefault="000861C4" w:rsidP="000861C4">
      <w:pPr>
        <w:spacing w:after="0" w:line="240" w:lineRule="auto"/>
        <w:jc w:val="center"/>
        <w:rPr>
          <w:rFonts w:ascii="Arial" w:hAnsi="Arial" w:cs="Arial"/>
          <w:b/>
          <w:sz w:val="24"/>
          <w:szCs w:val="24"/>
        </w:rPr>
      </w:pPr>
      <w:r w:rsidRPr="001D6438">
        <w:rPr>
          <w:rFonts w:ascii="Arial" w:hAnsi="Arial" w:cs="Arial"/>
          <w:b/>
          <w:sz w:val="24"/>
          <w:szCs w:val="24"/>
        </w:rPr>
        <w:t>TECHNINĖ SPECIFIKACIJA</w:t>
      </w:r>
    </w:p>
    <w:p w14:paraId="4F0E3382" w14:textId="77777777" w:rsidR="000861C4" w:rsidRPr="001D6438" w:rsidRDefault="000861C4" w:rsidP="000861C4">
      <w:pPr>
        <w:spacing w:after="0" w:line="240" w:lineRule="auto"/>
        <w:rPr>
          <w:rFonts w:ascii="Arial" w:hAnsi="Arial" w:cs="Arial"/>
          <w:b/>
          <w:caps/>
          <w:sz w:val="24"/>
          <w:szCs w:val="24"/>
          <w:highlight w:val="yellow"/>
        </w:rPr>
      </w:pPr>
    </w:p>
    <w:p w14:paraId="6EDAE74D" w14:textId="0C2D9A15" w:rsidR="000861C4" w:rsidRPr="001D6438" w:rsidRDefault="000861C4" w:rsidP="00012A00">
      <w:pPr>
        <w:spacing w:after="0"/>
        <w:jc w:val="both"/>
        <w:rPr>
          <w:rFonts w:ascii="Arial" w:hAnsi="Arial" w:cs="Arial"/>
          <w:b/>
          <w:sz w:val="24"/>
          <w:szCs w:val="24"/>
        </w:rPr>
      </w:pPr>
      <w:r w:rsidRPr="001D6438">
        <w:rPr>
          <w:rFonts w:ascii="Arial" w:hAnsi="Arial" w:cs="Arial"/>
          <w:sz w:val="24"/>
          <w:szCs w:val="24"/>
        </w:rPr>
        <w:t xml:space="preserve">Adresas: </w:t>
      </w:r>
      <w:r w:rsidRPr="001D6438">
        <w:rPr>
          <w:rFonts w:ascii="Arial" w:eastAsiaTheme="minorHAnsi" w:hAnsi="Arial" w:cs="Arial"/>
          <w:sz w:val="24"/>
          <w:szCs w:val="24"/>
          <w:lang w:eastAsia="en-US"/>
        </w:rPr>
        <w:t xml:space="preserve"> </w:t>
      </w:r>
      <w:r>
        <w:rPr>
          <w:rFonts w:ascii="Arial" w:eastAsiaTheme="minorHAnsi" w:hAnsi="Arial" w:cs="Arial"/>
          <w:sz w:val="24"/>
          <w:szCs w:val="24"/>
          <w:lang w:eastAsia="en-US"/>
        </w:rPr>
        <w:t>DOBIL</w:t>
      </w:r>
      <w:r w:rsidR="009147C9">
        <w:rPr>
          <w:rFonts w:ascii="Arial" w:eastAsiaTheme="minorHAnsi" w:hAnsi="Arial" w:cs="Arial"/>
          <w:sz w:val="24"/>
          <w:szCs w:val="24"/>
          <w:lang w:eastAsia="en-US"/>
        </w:rPr>
        <w:t>O</w:t>
      </w:r>
      <w:r w:rsidRPr="001D6438">
        <w:rPr>
          <w:rFonts w:ascii="Arial" w:eastAsiaTheme="minorHAnsi" w:hAnsi="Arial" w:cs="Arial"/>
          <w:sz w:val="24"/>
          <w:szCs w:val="24"/>
          <w:lang w:eastAsia="en-US"/>
        </w:rPr>
        <w:t xml:space="preserve"> G.</w:t>
      </w:r>
      <w:r>
        <w:rPr>
          <w:rFonts w:ascii="Arial" w:eastAsiaTheme="minorHAnsi" w:hAnsi="Arial" w:cs="Arial"/>
          <w:sz w:val="24"/>
          <w:szCs w:val="24"/>
          <w:lang w:eastAsia="en-US"/>
        </w:rPr>
        <w:t xml:space="preserve"> Nr. 9 ir 11</w:t>
      </w:r>
      <w:r w:rsidRPr="001D6438">
        <w:rPr>
          <w:rFonts w:ascii="Arial" w:eastAsiaTheme="minorHAnsi" w:hAnsi="Arial" w:cs="Arial"/>
          <w:sz w:val="24"/>
          <w:szCs w:val="24"/>
          <w:lang w:eastAsia="en-US"/>
        </w:rPr>
        <w:t>, TAURAGĖS M</w:t>
      </w:r>
      <w:r w:rsidRPr="001D6438">
        <w:rPr>
          <w:rFonts w:ascii="Arial" w:hAnsi="Arial" w:cs="Arial"/>
          <w:bCs/>
          <w:sz w:val="24"/>
          <w:szCs w:val="24"/>
        </w:rPr>
        <w:t>.</w:t>
      </w:r>
    </w:p>
    <w:p w14:paraId="5EE87672" w14:textId="77777777" w:rsidR="000861C4" w:rsidRPr="001D6438" w:rsidRDefault="000861C4" w:rsidP="00012A00">
      <w:pPr>
        <w:spacing w:after="0"/>
        <w:jc w:val="both"/>
        <w:rPr>
          <w:rFonts w:ascii="Arial" w:hAnsi="Arial" w:cs="Arial"/>
          <w:sz w:val="24"/>
          <w:szCs w:val="24"/>
        </w:rPr>
      </w:pPr>
      <w:r w:rsidRPr="001D6438">
        <w:rPr>
          <w:rFonts w:ascii="Arial" w:hAnsi="Arial" w:cs="Arial"/>
          <w:sz w:val="24"/>
          <w:szCs w:val="24"/>
        </w:rPr>
        <w:t xml:space="preserve">Statybos rūšis – </w:t>
      </w:r>
      <w:r>
        <w:rPr>
          <w:rFonts w:ascii="Arial" w:hAnsi="Arial" w:cs="Arial"/>
          <w:bCs/>
          <w:caps/>
          <w:sz w:val="24"/>
          <w:szCs w:val="24"/>
        </w:rPr>
        <w:t xml:space="preserve"> NAUJA STATYBA</w:t>
      </w:r>
      <w:r w:rsidRPr="001D6438">
        <w:rPr>
          <w:rFonts w:ascii="Arial" w:hAnsi="Arial" w:cs="Arial"/>
          <w:bCs/>
          <w:caps/>
          <w:sz w:val="24"/>
          <w:szCs w:val="24"/>
        </w:rPr>
        <w:t>.</w:t>
      </w:r>
    </w:p>
    <w:p w14:paraId="191ACE5A" w14:textId="07D003D5" w:rsidR="000861C4" w:rsidRPr="00AD5A84" w:rsidRDefault="000861C4" w:rsidP="00012A00">
      <w:pPr>
        <w:spacing w:after="0"/>
        <w:jc w:val="both"/>
        <w:rPr>
          <w:rFonts w:ascii="Arial" w:eastAsia="TimesNewRomanPSMT" w:hAnsi="Arial" w:cs="Arial"/>
          <w:sz w:val="24"/>
          <w:szCs w:val="24"/>
        </w:rPr>
      </w:pPr>
      <w:r w:rsidRPr="001D6438">
        <w:rPr>
          <w:rFonts w:ascii="Arial" w:hAnsi="Arial" w:cs="Arial"/>
          <w:sz w:val="24"/>
          <w:szCs w:val="24"/>
        </w:rPr>
        <w:t xml:space="preserve">Statinio paskirtis – </w:t>
      </w:r>
      <w:r w:rsidRPr="00AD5A84">
        <w:rPr>
          <w:rFonts w:ascii="Arial" w:eastAsia="TimesNewRomanPSMT" w:hAnsi="Arial" w:cs="Arial"/>
          <w:sz w:val="24"/>
          <w:szCs w:val="24"/>
        </w:rPr>
        <w:t>KITI INŽINERINIAI STATINIAI: KITOS PASKIRTIES (KIEMO</w:t>
      </w:r>
      <w:r w:rsidR="009147C9">
        <w:rPr>
          <w:rFonts w:ascii="Arial" w:eastAsia="TimesNewRomanPSMT" w:hAnsi="Arial" w:cs="Arial"/>
          <w:sz w:val="24"/>
          <w:szCs w:val="24"/>
        </w:rPr>
        <w:t xml:space="preserve"> </w:t>
      </w:r>
      <w:r w:rsidRPr="00AD5A84">
        <w:rPr>
          <w:rFonts w:ascii="Arial" w:eastAsia="TimesNewRomanPSMT" w:hAnsi="Arial" w:cs="Arial"/>
          <w:sz w:val="24"/>
          <w:szCs w:val="24"/>
        </w:rPr>
        <w:t>AIKŠTELĖ).</w:t>
      </w:r>
    </w:p>
    <w:p w14:paraId="346B00ED" w14:textId="2625C7D2" w:rsidR="000861C4" w:rsidRPr="001D6438" w:rsidRDefault="000861C4" w:rsidP="00012A00">
      <w:pPr>
        <w:spacing w:after="0"/>
        <w:jc w:val="both"/>
        <w:rPr>
          <w:rFonts w:ascii="Arial" w:hAnsi="Arial" w:cs="Arial"/>
          <w:sz w:val="24"/>
          <w:szCs w:val="24"/>
        </w:rPr>
      </w:pPr>
      <w:r w:rsidRPr="00AD5A84">
        <w:rPr>
          <w:rFonts w:ascii="Arial" w:eastAsia="TimesNewRomanPSMT" w:hAnsi="Arial" w:cs="Arial"/>
          <w:sz w:val="24"/>
          <w:szCs w:val="24"/>
        </w:rPr>
        <w:t>INŽINERINIAI TINKLAI: NUOTEKŲ ŠALINIMO TINKLAI.</w:t>
      </w:r>
    </w:p>
    <w:p w14:paraId="080F60B6" w14:textId="77777777" w:rsidR="000861C4" w:rsidRPr="001D6438" w:rsidRDefault="000861C4" w:rsidP="00012A00">
      <w:pPr>
        <w:spacing w:after="0"/>
        <w:jc w:val="both"/>
        <w:rPr>
          <w:rFonts w:ascii="Arial" w:hAnsi="Arial" w:cs="Arial"/>
          <w:sz w:val="24"/>
          <w:szCs w:val="24"/>
        </w:rPr>
      </w:pPr>
      <w:r w:rsidRPr="001D6438">
        <w:rPr>
          <w:rFonts w:ascii="Arial" w:hAnsi="Arial" w:cs="Arial"/>
          <w:sz w:val="24"/>
          <w:szCs w:val="24"/>
        </w:rPr>
        <w:t xml:space="preserve">Statinio kategorija –  </w:t>
      </w:r>
      <w:r>
        <w:rPr>
          <w:rFonts w:ascii="Arial" w:hAnsi="Arial" w:cs="Arial"/>
          <w:sz w:val="24"/>
          <w:szCs w:val="24"/>
        </w:rPr>
        <w:t xml:space="preserve">NESUDĖTINGAS II GRUPĖS STATINYS, </w:t>
      </w:r>
      <w:r w:rsidRPr="001D6438">
        <w:rPr>
          <w:rFonts w:ascii="Arial" w:hAnsi="Arial" w:cs="Arial"/>
          <w:sz w:val="24"/>
          <w:szCs w:val="24"/>
        </w:rPr>
        <w:t>NEYPATINGASIS</w:t>
      </w:r>
      <w:r w:rsidRPr="001D6438">
        <w:rPr>
          <w:rFonts w:ascii="Arial" w:eastAsia="TimesNewRomanPSMT" w:hAnsi="Arial" w:cs="Arial"/>
          <w:sz w:val="24"/>
          <w:szCs w:val="24"/>
        </w:rPr>
        <w:t xml:space="preserve"> STATINYS.</w:t>
      </w:r>
    </w:p>
    <w:p w14:paraId="50FDED13" w14:textId="77777777" w:rsidR="000861C4" w:rsidRPr="001D6438" w:rsidRDefault="000861C4" w:rsidP="00012A00">
      <w:pPr>
        <w:autoSpaceDE w:val="0"/>
        <w:autoSpaceDN w:val="0"/>
        <w:adjustRightInd w:val="0"/>
        <w:spacing w:after="0"/>
        <w:jc w:val="both"/>
        <w:rPr>
          <w:rFonts w:ascii="Arial" w:hAnsi="Arial" w:cs="Arial"/>
          <w:sz w:val="24"/>
          <w:szCs w:val="24"/>
        </w:rPr>
      </w:pPr>
      <w:r w:rsidRPr="001D6438">
        <w:rPr>
          <w:rFonts w:ascii="Arial" w:hAnsi="Arial" w:cs="Arial"/>
          <w:sz w:val="24"/>
          <w:szCs w:val="24"/>
        </w:rPr>
        <w:t xml:space="preserve">Statybos darbai atliekami vadovaujantis </w:t>
      </w:r>
      <w:r>
        <w:rPr>
          <w:rFonts w:ascii="Arial" w:hAnsi="Arial" w:cs="Arial"/>
          <w:sz w:val="24"/>
          <w:szCs w:val="24"/>
        </w:rPr>
        <w:t>Techniniu darbo projektu</w:t>
      </w:r>
      <w:r w:rsidRPr="001D6438">
        <w:rPr>
          <w:rFonts w:ascii="Arial" w:hAnsi="Arial" w:cs="Arial"/>
          <w:sz w:val="24"/>
          <w:szCs w:val="24"/>
        </w:rPr>
        <w:t xml:space="preserve"> – </w:t>
      </w:r>
      <w:r w:rsidRPr="001D6438">
        <w:rPr>
          <w:rFonts w:ascii="Arial" w:hAnsi="Arial" w:cs="Arial"/>
          <w:sz w:val="24"/>
          <w:szCs w:val="24"/>
          <w:lang w:eastAsia="en-US"/>
        </w:rPr>
        <w:t>„</w:t>
      </w:r>
      <w:r w:rsidRPr="00AD5A84">
        <w:rPr>
          <w:rFonts w:ascii="Arial" w:eastAsiaTheme="minorHAnsi" w:hAnsi="Arial" w:cs="Arial"/>
          <w:sz w:val="24"/>
          <w:szCs w:val="24"/>
          <w:lang w:eastAsia="en-US"/>
        </w:rPr>
        <w:t>TAURAGĖS M. DOBILO G. 9, 11 KITO INŽINERINIO STATINIO</w:t>
      </w:r>
      <w:r>
        <w:rPr>
          <w:rFonts w:ascii="Arial" w:eastAsiaTheme="minorHAnsi" w:hAnsi="Arial" w:cs="Arial"/>
          <w:sz w:val="24"/>
          <w:szCs w:val="24"/>
          <w:lang w:eastAsia="en-US"/>
        </w:rPr>
        <w:t xml:space="preserve"> </w:t>
      </w:r>
      <w:r w:rsidRPr="00AD5A84">
        <w:rPr>
          <w:rFonts w:ascii="Arial" w:eastAsiaTheme="minorHAnsi" w:hAnsi="Arial" w:cs="Arial"/>
          <w:sz w:val="24"/>
          <w:szCs w:val="24"/>
          <w:lang w:eastAsia="en-US"/>
        </w:rPr>
        <w:t>KIEMO AIKŠTELĖS IR INŽINERINIŲ LIETAUS NUOTEKŲ</w:t>
      </w:r>
      <w:r>
        <w:rPr>
          <w:rFonts w:ascii="Arial" w:eastAsiaTheme="minorHAnsi" w:hAnsi="Arial" w:cs="Arial"/>
          <w:sz w:val="24"/>
          <w:szCs w:val="24"/>
          <w:lang w:eastAsia="en-US"/>
        </w:rPr>
        <w:t xml:space="preserve"> </w:t>
      </w:r>
      <w:r w:rsidRPr="00AD5A84">
        <w:rPr>
          <w:rFonts w:ascii="Arial" w:eastAsiaTheme="minorHAnsi" w:hAnsi="Arial" w:cs="Arial"/>
          <w:sz w:val="24"/>
          <w:szCs w:val="24"/>
          <w:lang w:eastAsia="en-US"/>
        </w:rPr>
        <w:t>ŠALINIMO TINKLŲ STATYBOS PROJEKTAS</w:t>
      </w:r>
      <w:r w:rsidRPr="001D6438">
        <w:rPr>
          <w:rFonts w:ascii="Arial" w:hAnsi="Arial" w:cs="Arial"/>
          <w:sz w:val="24"/>
          <w:szCs w:val="24"/>
          <w:lang w:eastAsia="en-US"/>
        </w:rPr>
        <w:t>“.</w:t>
      </w:r>
    </w:p>
    <w:p w14:paraId="387CCC44" w14:textId="77777777" w:rsidR="000861C4" w:rsidRPr="001D6438" w:rsidRDefault="000861C4" w:rsidP="00012A00">
      <w:pPr>
        <w:spacing w:after="0"/>
        <w:jc w:val="both"/>
        <w:rPr>
          <w:rFonts w:ascii="Arial" w:eastAsia="Calibri" w:hAnsi="Arial" w:cs="Arial"/>
          <w:sz w:val="24"/>
          <w:szCs w:val="24"/>
        </w:rPr>
      </w:pPr>
      <w:r>
        <w:rPr>
          <w:rFonts w:ascii="Arial" w:hAnsi="Arial" w:cs="Arial"/>
          <w:sz w:val="24"/>
          <w:szCs w:val="24"/>
        </w:rPr>
        <w:t>Techninio darbo projektai</w:t>
      </w:r>
      <w:r w:rsidRPr="001D6438">
        <w:rPr>
          <w:rFonts w:ascii="Arial" w:hAnsi="Arial" w:cs="Arial"/>
          <w:sz w:val="24"/>
          <w:szCs w:val="24"/>
        </w:rPr>
        <w:t xml:space="preserve"> Nr.: </w:t>
      </w:r>
      <w:r w:rsidRPr="001D6438">
        <w:rPr>
          <w:rFonts w:ascii="Arial" w:eastAsia="Calibri" w:hAnsi="Arial" w:cs="Arial"/>
          <w:sz w:val="24"/>
          <w:szCs w:val="24"/>
        </w:rPr>
        <w:t>P25-</w:t>
      </w:r>
      <w:r>
        <w:rPr>
          <w:rFonts w:ascii="Arial" w:eastAsia="Calibri" w:hAnsi="Arial" w:cs="Arial"/>
          <w:sz w:val="24"/>
          <w:szCs w:val="24"/>
        </w:rPr>
        <w:t>32</w:t>
      </w:r>
      <w:r w:rsidRPr="001D6438">
        <w:rPr>
          <w:rFonts w:ascii="Arial" w:eastAsia="Calibri" w:hAnsi="Arial" w:cs="Arial"/>
          <w:sz w:val="24"/>
          <w:szCs w:val="24"/>
        </w:rPr>
        <w:t>.</w:t>
      </w:r>
      <w:r>
        <w:rPr>
          <w:rFonts w:ascii="Arial" w:eastAsia="Calibri" w:hAnsi="Arial" w:cs="Arial"/>
          <w:sz w:val="24"/>
          <w:szCs w:val="24"/>
        </w:rPr>
        <w:t xml:space="preserve"> </w:t>
      </w:r>
      <w:r w:rsidRPr="00F46CF4">
        <w:rPr>
          <w:rFonts w:ascii="Arial" w:eastAsia="Calibri" w:hAnsi="Arial" w:cs="Arial"/>
          <w:sz w:val="24"/>
          <w:szCs w:val="24"/>
        </w:rPr>
        <w:t>P25-32_NS_TDP_NŠ</w:t>
      </w:r>
      <w:r>
        <w:rPr>
          <w:rFonts w:ascii="Arial" w:eastAsia="Calibri" w:hAnsi="Arial" w:cs="Arial"/>
          <w:sz w:val="24"/>
          <w:szCs w:val="24"/>
        </w:rPr>
        <w:t xml:space="preserve"> ir Nr.</w:t>
      </w:r>
      <w:r w:rsidRPr="00F46CF4">
        <w:rPr>
          <w:rFonts w:ascii="ArialMT" w:eastAsiaTheme="minorHAnsi" w:hAnsi="ArialMT" w:cs="ArialMT"/>
          <w:sz w:val="24"/>
          <w:szCs w:val="24"/>
          <w:lang w:eastAsia="en-US"/>
        </w:rPr>
        <w:t xml:space="preserve"> </w:t>
      </w:r>
      <w:r w:rsidRPr="00F46CF4">
        <w:rPr>
          <w:rFonts w:ascii="Arial" w:eastAsia="Calibri" w:hAnsi="Arial" w:cs="Arial"/>
          <w:sz w:val="24"/>
          <w:szCs w:val="24"/>
        </w:rPr>
        <w:t>P25-32_NS_TDP_BD.S</w:t>
      </w:r>
    </w:p>
    <w:p w14:paraId="26B528CB" w14:textId="77777777" w:rsidR="000861C4" w:rsidRPr="001D6438" w:rsidRDefault="000861C4" w:rsidP="00012A00">
      <w:pPr>
        <w:spacing w:after="0"/>
        <w:jc w:val="both"/>
        <w:rPr>
          <w:rFonts w:ascii="Arial" w:eastAsia="Calibri" w:hAnsi="Arial" w:cs="Arial"/>
          <w:sz w:val="24"/>
          <w:szCs w:val="24"/>
        </w:rPr>
      </w:pPr>
      <w:r>
        <w:rPr>
          <w:rFonts w:ascii="Arial" w:eastAsia="Calibri" w:hAnsi="Arial" w:cs="Arial"/>
          <w:sz w:val="24"/>
          <w:szCs w:val="24"/>
        </w:rPr>
        <w:t>Plotas</w:t>
      </w:r>
      <w:r w:rsidRPr="001D6438">
        <w:rPr>
          <w:rFonts w:ascii="Arial" w:eastAsia="Calibri" w:hAnsi="Arial" w:cs="Arial"/>
          <w:sz w:val="24"/>
          <w:szCs w:val="24"/>
        </w:rPr>
        <w:t xml:space="preserve"> – </w:t>
      </w:r>
      <w:r>
        <w:rPr>
          <w:rFonts w:ascii="Arial" w:eastAsia="Calibri" w:hAnsi="Arial" w:cs="Arial"/>
          <w:sz w:val="24"/>
          <w:szCs w:val="24"/>
        </w:rPr>
        <w:t>1073</w:t>
      </w:r>
      <w:r w:rsidRPr="001D6438">
        <w:rPr>
          <w:rFonts w:ascii="Arial" w:eastAsia="Calibri" w:hAnsi="Arial" w:cs="Arial"/>
          <w:sz w:val="24"/>
          <w:szCs w:val="24"/>
        </w:rPr>
        <w:t xml:space="preserve"> k</w:t>
      </w:r>
      <w:r>
        <w:rPr>
          <w:rFonts w:ascii="Arial" w:eastAsia="Calibri" w:hAnsi="Arial" w:cs="Arial"/>
          <w:sz w:val="24"/>
          <w:szCs w:val="24"/>
        </w:rPr>
        <w:t>v</w:t>
      </w:r>
      <w:r w:rsidRPr="001D6438">
        <w:rPr>
          <w:rFonts w:ascii="Arial" w:eastAsia="Calibri" w:hAnsi="Arial" w:cs="Arial"/>
          <w:sz w:val="24"/>
          <w:szCs w:val="24"/>
        </w:rPr>
        <w:t>.</w:t>
      </w:r>
      <w:r>
        <w:rPr>
          <w:rFonts w:ascii="Arial" w:eastAsia="Calibri" w:hAnsi="Arial" w:cs="Arial"/>
          <w:sz w:val="24"/>
          <w:szCs w:val="24"/>
        </w:rPr>
        <w:t xml:space="preserve"> m</w:t>
      </w:r>
    </w:p>
    <w:p w14:paraId="0EEAB04B" w14:textId="77777777" w:rsidR="000861C4" w:rsidRPr="001D6438" w:rsidRDefault="000861C4" w:rsidP="00012A00">
      <w:pPr>
        <w:spacing w:after="0"/>
        <w:jc w:val="both"/>
        <w:rPr>
          <w:rFonts w:ascii="Arial" w:eastAsia="Calibri" w:hAnsi="Arial" w:cs="Arial"/>
          <w:sz w:val="24"/>
          <w:szCs w:val="24"/>
        </w:rPr>
      </w:pPr>
      <w:r>
        <w:rPr>
          <w:rFonts w:ascii="Arial" w:eastAsia="Calibri" w:hAnsi="Arial" w:cs="Arial"/>
          <w:sz w:val="24"/>
          <w:szCs w:val="24"/>
        </w:rPr>
        <w:t>Lietaus nuotekų šalinimo tinklų ilgis</w:t>
      </w:r>
      <w:r w:rsidRPr="001D6438">
        <w:rPr>
          <w:rFonts w:ascii="Arial" w:eastAsia="Calibri" w:hAnsi="Arial" w:cs="Arial"/>
          <w:sz w:val="24"/>
          <w:szCs w:val="24"/>
        </w:rPr>
        <w:t xml:space="preserve"> – </w:t>
      </w:r>
      <w:r>
        <w:rPr>
          <w:rFonts w:ascii="Arial" w:eastAsia="Calibri" w:hAnsi="Arial" w:cs="Arial"/>
          <w:sz w:val="24"/>
          <w:szCs w:val="24"/>
        </w:rPr>
        <w:t>115</w:t>
      </w:r>
      <w:r w:rsidRPr="001D6438">
        <w:rPr>
          <w:rFonts w:ascii="Arial" w:eastAsia="Calibri" w:hAnsi="Arial" w:cs="Arial"/>
          <w:sz w:val="24"/>
          <w:szCs w:val="24"/>
        </w:rPr>
        <w:t xml:space="preserve"> m.</w:t>
      </w:r>
    </w:p>
    <w:p w14:paraId="5C79D7BB" w14:textId="77777777" w:rsidR="000861C4" w:rsidRPr="001D6438" w:rsidRDefault="000861C4" w:rsidP="00012A00">
      <w:pPr>
        <w:spacing w:after="0"/>
        <w:jc w:val="both"/>
        <w:rPr>
          <w:rFonts w:ascii="Arial" w:hAnsi="Arial" w:cs="Arial"/>
          <w:sz w:val="24"/>
          <w:szCs w:val="24"/>
        </w:rPr>
      </w:pPr>
      <w:r>
        <w:rPr>
          <w:rFonts w:ascii="Arial" w:hAnsi="Arial" w:cs="Arial"/>
          <w:sz w:val="24"/>
          <w:szCs w:val="24"/>
        </w:rPr>
        <w:t>Techninis darbo projektas</w:t>
      </w:r>
      <w:r w:rsidRPr="001D6438">
        <w:rPr>
          <w:rFonts w:ascii="Arial" w:hAnsi="Arial" w:cs="Arial"/>
          <w:sz w:val="24"/>
          <w:szCs w:val="24"/>
        </w:rPr>
        <w:t xml:space="preserve"> parengtas 202</w:t>
      </w:r>
      <w:r>
        <w:rPr>
          <w:rFonts w:ascii="Arial" w:hAnsi="Arial" w:cs="Arial"/>
          <w:sz w:val="24"/>
          <w:szCs w:val="24"/>
        </w:rPr>
        <w:t>6</w:t>
      </w:r>
      <w:r w:rsidRPr="001D6438">
        <w:rPr>
          <w:rFonts w:ascii="Arial" w:hAnsi="Arial" w:cs="Arial"/>
          <w:sz w:val="24"/>
          <w:szCs w:val="24"/>
        </w:rPr>
        <w:t xml:space="preserve"> m.</w:t>
      </w:r>
    </w:p>
    <w:p w14:paraId="0273F041" w14:textId="51B77E04" w:rsidR="000861C4" w:rsidRPr="001D6438" w:rsidRDefault="000861C4" w:rsidP="00012A00">
      <w:pPr>
        <w:spacing w:after="0"/>
        <w:jc w:val="both"/>
        <w:rPr>
          <w:rFonts w:ascii="Arial" w:hAnsi="Arial" w:cs="Arial"/>
          <w:sz w:val="24"/>
          <w:szCs w:val="24"/>
        </w:rPr>
      </w:pPr>
    </w:p>
    <w:p w14:paraId="34D48EE2" w14:textId="77777777" w:rsidR="000861C4" w:rsidRPr="001D6438" w:rsidRDefault="000861C4" w:rsidP="00012A00">
      <w:pPr>
        <w:spacing w:after="0"/>
        <w:jc w:val="both"/>
        <w:rPr>
          <w:rFonts w:ascii="Arial" w:hAnsi="Arial" w:cs="Arial"/>
          <w:sz w:val="24"/>
          <w:szCs w:val="24"/>
        </w:rPr>
      </w:pPr>
    </w:p>
    <w:p w14:paraId="597A4074" w14:textId="77777777" w:rsidR="000861C4" w:rsidRPr="001D6438" w:rsidRDefault="000861C4" w:rsidP="00012A00">
      <w:pPr>
        <w:tabs>
          <w:tab w:val="left" w:pos="1134"/>
        </w:tabs>
        <w:spacing w:after="0"/>
        <w:ind w:firstLine="567"/>
        <w:jc w:val="both"/>
        <w:rPr>
          <w:rFonts w:ascii="Arial" w:hAnsi="Arial" w:cs="Arial"/>
          <w:sz w:val="24"/>
          <w:szCs w:val="24"/>
        </w:rPr>
      </w:pPr>
      <w:r w:rsidRPr="001D6438">
        <w:rPr>
          <w:rFonts w:ascii="Arial" w:hAnsi="Arial" w:cs="Arial"/>
          <w:sz w:val="24"/>
          <w:szCs w:val="24"/>
        </w:rPr>
        <w:t>BENDROSIOS PASTABOS:</w:t>
      </w:r>
    </w:p>
    <w:p w14:paraId="42079681" w14:textId="53F6A0AE" w:rsidR="000861C4" w:rsidRPr="009147C9" w:rsidRDefault="000861C4" w:rsidP="00012A00">
      <w:pPr>
        <w:pStyle w:val="Sraopastraipa"/>
        <w:numPr>
          <w:ilvl w:val="1"/>
          <w:numId w:val="63"/>
        </w:numPr>
        <w:tabs>
          <w:tab w:val="left" w:pos="1134"/>
        </w:tabs>
        <w:spacing w:after="0"/>
        <w:ind w:firstLine="566"/>
        <w:jc w:val="both"/>
        <w:rPr>
          <w:rFonts w:ascii="Arial" w:hAnsi="Arial" w:cs="Arial"/>
          <w:sz w:val="24"/>
          <w:szCs w:val="24"/>
        </w:rPr>
      </w:pPr>
      <w:r w:rsidRPr="009147C9">
        <w:rPr>
          <w:rFonts w:ascii="Arial"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825B013" w14:textId="77777777" w:rsidR="000861C4" w:rsidRPr="001D6438" w:rsidRDefault="000861C4" w:rsidP="00012A00">
      <w:pPr>
        <w:pStyle w:val="Sraopastraipa"/>
        <w:numPr>
          <w:ilvl w:val="1"/>
          <w:numId w:val="63"/>
        </w:numPr>
        <w:tabs>
          <w:tab w:val="left" w:pos="1134"/>
        </w:tabs>
        <w:spacing w:after="0"/>
        <w:ind w:firstLine="566"/>
        <w:jc w:val="both"/>
        <w:rPr>
          <w:rFonts w:ascii="Arial" w:hAnsi="Arial" w:cs="Arial"/>
          <w:sz w:val="24"/>
          <w:szCs w:val="24"/>
        </w:rPr>
      </w:pPr>
      <w:r w:rsidRPr="00510553">
        <w:rPr>
          <w:rFonts w:ascii="Arial" w:hAnsi="Arial" w:cs="Arial"/>
          <w:sz w:val="24"/>
          <w:szCs w:val="24"/>
        </w:rPr>
        <w:t>Technini</w:t>
      </w:r>
      <w:r>
        <w:rPr>
          <w:rFonts w:ascii="Arial" w:hAnsi="Arial" w:cs="Arial"/>
          <w:sz w:val="24"/>
          <w:szCs w:val="24"/>
        </w:rPr>
        <w:t xml:space="preserve">ame </w:t>
      </w:r>
      <w:r w:rsidRPr="00510553">
        <w:rPr>
          <w:rFonts w:ascii="Arial" w:hAnsi="Arial" w:cs="Arial"/>
          <w:sz w:val="24"/>
          <w:szCs w:val="24"/>
        </w:rPr>
        <w:t xml:space="preserve"> darbo projekt</w:t>
      </w:r>
      <w:r>
        <w:rPr>
          <w:rFonts w:ascii="Arial" w:hAnsi="Arial" w:cs="Arial"/>
          <w:sz w:val="24"/>
          <w:szCs w:val="24"/>
        </w:rPr>
        <w:t>e</w:t>
      </w:r>
      <w:r w:rsidRPr="00510553">
        <w:rPr>
          <w:rFonts w:ascii="Arial" w:hAnsi="Arial" w:cs="Arial"/>
          <w:sz w:val="24"/>
          <w:szCs w:val="24"/>
        </w:rPr>
        <w:t xml:space="preserve"> </w:t>
      </w:r>
      <w:r>
        <w:rPr>
          <w:rFonts w:ascii="Arial" w:hAnsi="Arial" w:cs="Arial"/>
          <w:sz w:val="24"/>
          <w:szCs w:val="24"/>
        </w:rPr>
        <w:t xml:space="preserve"> </w:t>
      </w:r>
      <w:r w:rsidRPr="001D6438">
        <w:rPr>
          <w:rFonts w:ascii="Arial" w:hAnsi="Arial" w:cs="Arial"/>
          <w:sz w:val="24"/>
          <w:szCs w:val="24"/>
        </w:rPr>
        <w:t xml:space="preserve"> paminėti gaminių pavadinimai yra orientacinio pobūdžio ir gali būti pakeisti analogiškais tos pačios kokybės kitų gamintojų produktais.</w:t>
      </w:r>
    </w:p>
    <w:p w14:paraId="18E0A13F" w14:textId="58BFCF39" w:rsidR="000861C4" w:rsidRPr="001D6438" w:rsidRDefault="000861C4" w:rsidP="00012A00">
      <w:pPr>
        <w:pStyle w:val="Sraopastraipa"/>
        <w:numPr>
          <w:ilvl w:val="1"/>
          <w:numId w:val="63"/>
        </w:numPr>
        <w:tabs>
          <w:tab w:val="left" w:pos="1134"/>
        </w:tabs>
        <w:spacing w:after="0"/>
        <w:ind w:firstLine="566"/>
        <w:jc w:val="both"/>
        <w:rPr>
          <w:rFonts w:ascii="Arial" w:hAnsi="Arial" w:cs="Arial"/>
          <w:sz w:val="24"/>
          <w:szCs w:val="24"/>
        </w:rPr>
      </w:pPr>
      <w:r w:rsidRPr="001D6438">
        <w:rPr>
          <w:rFonts w:ascii="Arial" w:hAnsi="Arial" w:cs="Arial"/>
          <w:sz w:val="24"/>
          <w:szCs w:val="24"/>
        </w:rPr>
        <w:t>Rengdamas</w:t>
      </w:r>
      <w:r w:rsidR="00CE0BC6">
        <w:rPr>
          <w:rFonts w:ascii="Arial" w:hAnsi="Arial" w:cs="Arial"/>
          <w:sz w:val="24"/>
          <w:szCs w:val="24"/>
        </w:rPr>
        <w:t xml:space="preserve"> </w:t>
      </w:r>
      <w:r w:rsidRPr="001D6438">
        <w:rPr>
          <w:rFonts w:ascii="Arial" w:hAnsi="Arial" w:cs="Arial"/>
          <w:sz w:val="24"/>
          <w:szCs w:val="24"/>
        </w:rPr>
        <w:t>pasiūlymą</w:t>
      </w:r>
      <w:r w:rsidR="00CE0BC6">
        <w:rPr>
          <w:rFonts w:ascii="Arial" w:hAnsi="Arial" w:cs="Arial"/>
          <w:sz w:val="24"/>
          <w:szCs w:val="24"/>
        </w:rPr>
        <w:t xml:space="preserve"> </w:t>
      </w:r>
      <w:r w:rsidRPr="001D6438">
        <w:rPr>
          <w:rFonts w:ascii="Arial" w:hAnsi="Arial" w:cs="Arial"/>
          <w:sz w:val="24"/>
          <w:szCs w:val="24"/>
        </w:rPr>
        <w:t>tiekėjas</w:t>
      </w:r>
      <w:r w:rsidR="00CE0BC6">
        <w:rPr>
          <w:rFonts w:ascii="Arial" w:hAnsi="Arial" w:cs="Arial"/>
          <w:sz w:val="24"/>
          <w:szCs w:val="24"/>
        </w:rPr>
        <w:t xml:space="preserve"> </w:t>
      </w:r>
      <w:r w:rsidRPr="001D6438">
        <w:rPr>
          <w:rFonts w:ascii="Arial" w:hAnsi="Arial" w:cs="Arial"/>
          <w:sz w:val="24"/>
          <w:szCs w:val="24"/>
        </w:rPr>
        <w:t>vadovaujasi</w:t>
      </w:r>
      <w:r w:rsidR="00CE0BC6">
        <w:rPr>
          <w:rFonts w:ascii="Arial" w:hAnsi="Arial" w:cs="Arial"/>
          <w:sz w:val="24"/>
          <w:szCs w:val="24"/>
        </w:rPr>
        <w:t xml:space="preserve"> </w:t>
      </w:r>
      <w:r w:rsidRPr="00510553">
        <w:rPr>
          <w:rFonts w:ascii="Arial" w:hAnsi="Arial" w:cs="Arial"/>
          <w:sz w:val="24"/>
          <w:szCs w:val="24"/>
        </w:rPr>
        <w:t>Technini</w:t>
      </w:r>
      <w:r>
        <w:rPr>
          <w:rFonts w:ascii="Arial" w:hAnsi="Arial" w:cs="Arial"/>
          <w:sz w:val="24"/>
          <w:szCs w:val="24"/>
        </w:rPr>
        <w:t xml:space="preserve">u </w:t>
      </w:r>
      <w:r w:rsidRPr="00510553">
        <w:rPr>
          <w:rFonts w:ascii="Arial" w:hAnsi="Arial" w:cs="Arial"/>
          <w:sz w:val="24"/>
          <w:szCs w:val="24"/>
        </w:rPr>
        <w:t>darbo projekt</w:t>
      </w:r>
      <w:r>
        <w:rPr>
          <w:rFonts w:ascii="Arial" w:hAnsi="Arial" w:cs="Arial"/>
          <w:sz w:val="24"/>
          <w:szCs w:val="24"/>
        </w:rPr>
        <w:t>u</w:t>
      </w:r>
      <w:r w:rsidRPr="001D6438">
        <w:rPr>
          <w:rFonts w:ascii="Arial" w:hAnsi="Arial" w:cs="Arial"/>
          <w:sz w:val="24"/>
          <w:szCs w:val="24"/>
        </w:rPr>
        <w:t>, šiomis techninėmis specifikacijomis.</w:t>
      </w:r>
    </w:p>
    <w:p w14:paraId="7C96A747" w14:textId="58CB866B" w:rsidR="000861C4" w:rsidRPr="001D6438" w:rsidRDefault="000861C4" w:rsidP="00012A00">
      <w:pPr>
        <w:pStyle w:val="Sraopastraipa"/>
        <w:numPr>
          <w:ilvl w:val="1"/>
          <w:numId w:val="63"/>
        </w:numPr>
        <w:tabs>
          <w:tab w:val="left" w:pos="1134"/>
        </w:tabs>
        <w:spacing w:after="0"/>
        <w:ind w:firstLine="566"/>
        <w:jc w:val="both"/>
        <w:rPr>
          <w:rFonts w:ascii="Arial" w:hAnsi="Arial" w:cs="Arial"/>
          <w:sz w:val="24"/>
          <w:szCs w:val="24"/>
        </w:rPr>
      </w:pPr>
      <w:r w:rsidRPr="00510553">
        <w:rPr>
          <w:rFonts w:ascii="Arial" w:hAnsi="Arial" w:cs="Arial"/>
          <w:sz w:val="24"/>
          <w:szCs w:val="24"/>
        </w:rPr>
        <w:t>Technini</w:t>
      </w:r>
      <w:r>
        <w:rPr>
          <w:rFonts w:ascii="Arial" w:hAnsi="Arial" w:cs="Arial"/>
          <w:sz w:val="24"/>
          <w:szCs w:val="24"/>
        </w:rPr>
        <w:t xml:space="preserve">ame </w:t>
      </w:r>
      <w:r w:rsidRPr="00510553">
        <w:rPr>
          <w:rFonts w:ascii="Arial" w:hAnsi="Arial" w:cs="Arial"/>
          <w:sz w:val="24"/>
          <w:szCs w:val="24"/>
        </w:rPr>
        <w:t>darbo projekt</w:t>
      </w:r>
      <w:r>
        <w:rPr>
          <w:rFonts w:ascii="Arial" w:hAnsi="Arial" w:cs="Arial"/>
          <w:sz w:val="24"/>
          <w:szCs w:val="24"/>
        </w:rPr>
        <w:t>e</w:t>
      </w:r>
      <w:r w:rsidRPr="001D6438">
        <w:rPr>
          <w:rFonts w:ascii="Arial" w:hAnsi="Arial" w:cs="Arial"/>
          <w:sz w:val="24"/>
          <w:szCs w:val="24"/>
        </w:rPr>
        <w:t xml:space="preserve"> </w:t>
      </w:r>
      <w:r>
        <w:rPr>
          <w:rFonts w:ascii="Arial" w:hAnsi="Arial" w:cs="Arial"/>
          <w:sz w:val="24"/>
          <w:szCs w:val="24"/>
        </w:rPr>
        <w:t>s</w:t>
      </w:r>
      <w:r w:rsidRPr="001D6438">
        <w:rPr>
          <w:rFonts w:ascii="Arial" w:hAnsi="Arial" w:cs="Arial"/>
          <w:sz w:val="24"/>
          <w:szCs w:val="24"/>
        </w:rPr>
        <w:t>utinkamos nuorodos į standartus, techninius liudijimus ar bendrąsias technines specifikacijas reiškia taip pat ir lygiaverčius standartus, techninius liudijimus ar bendrąsias technines specifikacijas.</w:t>
      </w:r>
    </w:p>
    <w:p w14:paraId="3A9C543E" w14:textId="77777777" w:rsidR="000861C4" w:rsidRPr="001D6438" w:rsidRDefault="000861C4" w:rsidP="00012A00">
      <w:pPr>
        <w:pStyle w:val="Sraopastraipa"/>
        <w:numPr>
          <w:ilvl w:val="1"/>
          <w:numId w:val="63"/>
        </w:numPr>
        <w:shd w:val="clear" w:color="auto" w:fill="FFFFFF"/>
        <w:tabs>
          <w:tab w:val="left" w:pos="1134"/>
        </w:tabs>
        <w:spacing w:after="0"/>
        <w:ind w:firstLine="566"/>
        <w:jc w:val="both"/>
        <w:rPr>
          <w:rFonts w:ascii="Arial" w:hAnsi="Arial" w:cs="Arial"/>
          <w:spacing w:val="-3"/>
          <w:sz w:val="24"/>
          <w:szCs w:val="24"/>
        </w:rPr>
      </w:pPr>
      <w:r w:rsidRPr="001D6438">
        <w:rPr>
          <w:rFonts w:ascii="Arial" w:hAnsi="Arial" w:cs="Arial"/>
          <w:spacing w:val="-3"/>
          <w:sz w:val="24"/>
          <w:szCs w:val="24"/>
        </w:rPr>
        <w:t xml:space="preserve">Teikdamas pasiūlymą tiekėjas turi numatyti lėšas darbo brėžinių parengimui (jei reikia), konstrukcijų tyrimams (jei reikia), statinio konstrukcijoms, jų mazgams bei detalėms, kurių nėra ar jų sprendiniai nėra pakankamai detalizuoti </w:t>
      </w:r>
      <w:r w:rsidRPr="00510553">
        <w:rPr>
          <w:rFonts w:ascii="Arial" w:hAnsi="Arial" w:cs="Arial"/>
          <w:sz w:val="24"/>
          <w:szCs w:val="24"/>
        </w:rPr>
        <w:t>Technini</w:t>
      </w:r>
      <w:r>
        <w:rPr>
          <w:rFonts w:ascii="Arial" w:hAnsi="Arial" w:cs="Arial"/>
          <w:sz w:val="24"/>
          <w:szCs w:val="24"/>
        </w:rPr>
        <w:t xml:space="preserve">ame </w:t>
      </w:r>
      <w:r w:rsidRPr="00510553">
        <w:rPr>
          <w:rFonts w:ascii="Arial" w:hAnsi="Arial" w:cs="Arial"/>
          <w:sz w:val="24"/>
          <w:szCs w:val="24"/>
        </w:rPr>
        <w:t xml:space="preserve"> darbo projekt</w:t>
      </w:r>
      <w:r>
        <w:rPr>
          <w:rFonts w:ascii="Arial" w:hAnsi="Arial" w:cs="Arial"/>
          <w:sz w:val="24"/>
          <w:szCs w:val="24"/>
        </w:rPr>
        <w:t>e</w:t>
      </w:r>
      <w:r w:rsidRPr="00510553">
        <w:rPr>
          <w:rFonts w:ascii="Arial" w:hAnsi="Arial" w:cs="Arial"/>
          <w:sz w:val="24"/>
          <w:szCs w:val="24"/>
        </w:rPr>
        <w:t xml:space="preserve"> </w:t>
      </w:r>
      <w:r>
        <w:rPr>
          <w:rFonts w:ascii="Arial" w:hAnsi="Arial" w:cs="Arial"/>
          <w:sz w:val="24"/>
          <w:szCs w:val="24"/>
        </w:rPr>
        <w:t xml:space="preserve"> </w:t>
      </w:r>
      <w:r w:rsidRPr="001D6438">
        <w:rPr>
          <w:rFonts w:ascii="Arial" w:hAnsi="Arial" w:cs="Arial"/>
          <w:spacing w:val="-3"/>
          <w:sz w:val="24"/>
          <w:szCs w:val="24"/>
        </w:rPr>
        <w:t xml:space="preserve">ir kurie būtini tinkamam projekto įgyvendinimui (jei reikia). </w:t>
      </w:r>
    </w:p>
    <w:p w14:paraId="1A589555" w14:textId="77777777" w:rsidR="000861C4" w:rsidRDefault="000861C4" w:rsidP="00012A00">
      <w:pPr>
        <w:pStyle w:val="Sraopastraipa"/>
        <w:numPr>
          <w:ilvl w:val="1"/>
          <w:numId w:val="63"/>
        </w:numPr>
        <w:spacing w:after="0"/>
        <w:ind w:firstLine="566"/>
        <w:jc w:val="both"/>
        <w:rPr>
          <w:rFonts w:ascii="Arial" w:eastAsia="Times New Roman" w:hAnsi="Arial" w:cs="Arial"/>
          <w:sz w:val="24"/>
          <w:szCs w:val="24"/>
        </w:rPr>
      </w:pPr>
      <w:r w:rsidRPr="001D6438">
        <w:rPr>
          <w:rFonts w:ascii="Arial" w:eastAsia="Times New Roman" w:hAnsi="Arial" w:cs="Arial"/>
          <w:sz w:val="24"/>
          <w:szCs w:val="24"/>
        </w:rPr>
        <w:t xml:space="preserve">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w:t>
      </w:r>
    </w:p>
    <w:p w14:paraId="199115C0" w14:textId="5B2E52DD" w:rsidR="000861C4" w:rsidRDefault="009306B5" w:rsidP="00012A00">
      <w:pPr>
        <w:pStyle w:val="Sraopastraipa"/>
        <w:numPr>
          <w:ilvl w:val="1"/>
          <w:numId w:val="63"/>
        </w:numPr>
        <w:spacing w:after="0"/>
        <w:ind w:firstLine="566"/>
        <w:jc w:val="both"/>
        <w:rPr>
          <w:rFonts w:ascii="Arial" w:eastAsia="Times New Roman" w:hAnsi="Arial" w:cs="Arial"/>
          <w:sz w:val="24"/>
          <w:szCs w:val="24"/>
        </w:rPr>
      </w:pPr>
      <w:r w:rsidRPr="00EA242A">
        <w:rPr>
          <w:rFonts w:ascii="Arial" w:eastAsia="Times New Roman" w:hAnsi="Arial" w:cs="Arial"/>
          <w:sz w:val="24"/>
          <w:szCs w:val="24"/>
        </w:rPr>
        <w:lastRenderedPageBreak/>
        <w:t>Statybos užbaigimas atliekamas tiekėjo sąskaita (t. y. su šių statybos užbaigimo dokumentų gavimu susijusias išlaidas apmoka tiekėjas).</w:t>
      </w:r>
    </w:p>
    <w:p w14:paraId="5CD978A8" w14:textId="77777777" w:rsidR="001271AC" w:rsidRDefault="001271AC" w:rsidP="001271AC">
      <w:pPr>
        <w:spacing w:after="0"/>
        <w:jc w:val="both"/>
        <w:rPr>
          <w:rFonts w:ascii="Arial" w:eastAsia="Times New Roman" w:hAnsi="Arial" w:cs="Arial"/>
          <w:sz w:val="24"/>
          <w:szCs w:val="24"/>
        </w:rPr>
      </w:pPr>
    </w:p>
    <w:p w14:paraId="0DDA1BFC" w14:textId="44216F4C" w:rsidR="001271AC" w:rsidRPr="001D6438" w:rsidRDefault="001271AC" w:rsidP="001271AC">
      <w:pPr>
        <w:spacing w:after="0"/>
        <w:ind w:firstLine="567"/>
        <w:jc w:val="both"/>
        <w:rPr>
          <w:rFonts w:ascii="Arial" w:hAnsi="Arial" w:cs="Arial"/>
          <w:sz w:val="24"/>
          <w:szCs w:val="24"/>
        </w:rPr>
      </w:pPr>
      <w:r>
        <w:rPr>
          <w:rFonts w:ascii="Arial" w:eastAsia="Times New Roman" w:hAnsi="Arial" w:cs="Arial"/>
          <w:sz w:val="24"/>
          <w:szCs w:val="24"/>
        </w:rPr>
        <w:t xml:space="preserve">PRIDEDAMA. </w:t>
      </w:r>
      <w:r>
        <w:rPr>
          <w:rFonts w:ascii="Arial" w:hAnsi="Arial" w:cs="Arial"/>
          <w:sz w:val="24"/>
          <w:szCs w:val="24"/>
        </w:rPr>
        <w:t xml:space="preserve">Techninio darbo projekto bylos </w:t>
      </w:r>
      <w:r w:rsidRPr="001D6438">
        <w:rPr>
          <w:rFonts w:ascii="Arial" w:hAnsi="Arial" w:cs="Arial"/>
          <w:sz w:val="24"/>
          <w:szCs w:val="24"/>
        </w:rPr>
        <w:t>pateikiam</w:t>
      </w:r>
      <w:r>
        <w:rPr>
          <w:rFonts w:ascii="Arial" w:hAnsi="Arial" w:cs="Arial"/>
          <w:sz w:val="24"/>
          <w:szCs w:val="24"/>
        </w:rPr>
        <w:t>o</w:t>
      </w:r>
      <w:r w:rsidRPr="001D6438">
        <w:rPr>
          <w:rFonts w:ascii="Arial" w:hAnsi="Arial" w:cs="Arial"/>
          <w:sz w:val="24"/>
          <w:szCs w:val="24"/>
        </w:rPr>
        <w:t>s atskir</w:t>
      </w:r>
      <w:r>
        <w:rPr>
          <w:rFonts w:ascii="Arial" w:hAnsi="Arial" w:cs="Arial"/>
          <w:sz w:val="24"/>
          <w:szCs w:val="24"/>
        </w:rPr>
        <w:t>ais</w:t>
      </w:r>
      <w:r w:rsidRPr="001D6438">
        <w:rPr>
          <w:rFonts w:ascii="Arial" w:hAnsi="Arial" w:cs="Arial"/>
          <w:sz w:val="24"/>
          <w:szCs w:val="24"/>
        </w:rPr>
        <w:t xml:space="preserve"> </w:t>
      </w:r>
      <w:r>
        <w:rPr>
          <w:rFonts w:ascii="Arial" w:hAnsi="Arial" w:cs="Arial"/>
          <w:sz w:val="24"/>
          <w:szCs w:val="24"/>
        </w:rPr>
        <w:t>dokumentais</w:t>
      </w:r>
      <w:r w:rsidRPr="001D6438">
        <w:rPr>
          <w:rFonts w:ascii="Arial" w:hAnsi="Arial" w:cs="Arial"/>
          <w:sz w:val="24"/>
          <w:szCs w:val="24"/>
        </w:rPr>
        <w:t xml:space="preserve"> (</w:t>
      </w:r>
      <w:proofErr w:type="spellStart"/>
      <w:r w:rsidRPr="001D6438">
        <w:rPr>
          <w:rFonts w:ascii="Arial" w:hAnsi="Arial" w:cs="Arial"/>
          <w:sz w:val="24"/>
          <w:szCs w:val="24"/>
        </w:rPr>
        <w:t>pdf</w:t>
      </w:r>
      <w:proofErr w:type="spellEnd"/>
      <w:r w:rsidRPr="001D6438">
        <w:rPr>
          <w:rFonts w:ascii="Arial" w:hAnsi="Arial" w:cs="Arial"/>
          <w:sz w:val="24"/>
          <w:szCs w:val="24"/>
        </w:rPr>
        <w:t xml:space="preserve">. formatu). </w:t>
      </w:r>
    </w:p>
    <w:p w14:paraId="17041B3E" w14:textId="03704AF9" w:rsidR="001271AC" w:rsidRPr="001271AC" w:rsidRDefault="001271AC" w:rsidP="001271AC">
      <w:pPr>
        <w:spacing w:after="0"/>
        <w:jc w:val="both"/>
        <w:rPr>
          <w:rFonts w:ascii="Arial" w:eastAsia="Times New Roman" w:hAnsi="Arial" w:cs="Arial"/>
          <w:sz w:val="24"/>
          <w:szCs w:val="24"/>
        </w:rPr>
      </w:pPr>
    </w:p>
    <w:p w14:paraId="6DFC27DC" w14:textId="77777777" w:rsidR="000861C4" w:rsidRPr="001D6438" w:rsidRDefault="000861C4" w:rsidP="000861C4">
      <w:pPr>
        <w:tabs>
          <w:tab w:val="left" w:pos="1134"/>
        </w:tabs>
        <w:spacing w:after="0" w:line="240" w:lineRule="auto"/>
        <w:jc w:val="center"/>
        <w:rPr>
          <w:rFonts w:ascii="Arial" w:eastAsia="Times New Roman" w:hAnsi="Arial" w:cs="Arial"/>
          <w:bCs/>
          <w:sz w:val="24"/>
          <w:szCs w:val="24"/>
          <w:lang w:eastAsia="en-US"/>
        </w:rPr>
      </w:pPr>
      <w:r w:rsidRPr="001D6438">
        <w:rPr>
          <w:rFonts w:ascii="Arial" w:hAnsi="Arial" w:cs="Arial"/>
          <w:sz w:val="24"/>
          <w:szCs w:val="24"/>
        </w:rPr>
        <w:t>____________________</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8" w:name="_Ref38285444"/>
      <w:bookmarkStart w:id="49"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1"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6"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7"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6"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1"/>
      <w:bookmarkEnd w:id="52"/>
      <w:bookmarkEnd w:id="53"/>
    </w:p>
    <w:bookmarkEnd w:id="56"/>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8"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1832341C" w14:textId="1921D73D" w:rsidR="006B6FEC" w:rsidRPr="004633D9" w:rsidRDefault="003D6065" w:rsidP="006B6FEC">
            <w:pPr>
              <w:tabs>
                <w:tab w:val="left" w:pos="1560"/>
              </w:tabs>
              <w:jc w:val="both"/>
              <w:rPr>
                <w:sz w:val="24"/>
                <w:szCs w:val="24"/>
                <w:lang w:eastAsia="en-US"/>
              </w:rPr>
            </w:pPr>
            <w:r w:rsidRPr="003D606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6B6FEC" w:rsidRPr="006B6FEC">
              <w:rPr>
                <w:rFonts w:ascii="Arial" w:hAnsi="Arial" w:cs="Arial"/>
                <w:sz w:val="24"/>
                <w:szCs w:val="24"/>
                <w:lang w:eastAsia="en-US"/>
              </w:rPr>
              <w:t xml:space="preserve">naujos statybos ar rekonstrukcijos, ar kapitalinio remonto darbų, kurių vertė ne mažesnė nei </w:t>
            </w:r>
            <w:r w:rsidR="00207327">
              <w:rPr>
                <w:rFonts w:ascii="Arial" w:hAnsi="Arial" w:cs="Arial"/>
                <w:sz w:val="24"/>
                <w:szCs w:val="24"/>
                <w:lang w:eastAsia="en-US"/>
              </w:rPr>
              <w:t>61</w:t>
            </w:r>
            <w:r w:rsidR="006B6FEC" w:rsidRPr="006B6FEC">
              <w:rPr>
                <w:rFonts w:ascii="Arial" w:hAnsi="Arial" w:cs="Arial"/>
                <w:sz w:val="24"/>
                <w:szCs w:val="24"/>
                <w:lang w:eastAsia="en-US"/>
              </w:rPr>
              <w:t> 000,00 Eur be PVM.</w:t>
            </w:r>
            <w:r w:rsidR="006B6FEC" w:rsidRPr="004633D9">
              <w:rPr>
                <w:sz w:val="24"/>
                <w:szCs w:val="24"/>
                <w:lang w:eastAsia="en-US"/>
              </w:rPr>
              <w:t xml:space="preserve"> </w:t>
            </w:r>
          </w:p>
          <w:p w14:paraId="707F777B" w14:textId="5905D735" w:rsidR="003D6065" w:rsidRPr="003D606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Reikalavimai: </w:t>
            </w:r>
          </w:p>
          <w:p w14:paraId="7A73A7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3. subtiekėjams šis reikalavimas nenustatomas.</w:t>
            </w:r>
          </w:p>
          <w:p w14:paraId="27B7EE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Pastabos: </w:t>
            </w:r>
          </w:p>
          <w:p w14:paraId="7EAC328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8A72BE"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Default="00AC248D"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w:t>
            </w:r>
            <w:r>
              <w:rPr>
                <w:rFonts w:ascii="Arial" w:hAnsi="Arial" w:cs="Arial"/>
                <w:sz w:val="24"/>
                <w:szCs w:val="24"/>
                <w:lang w:eastAsia="en-US"/>
              </w:rPr>
              <w:t>s (</w:t>
            </w:r>
            <w:r w:rsidRPr="00AC248D">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r w:rsidRPr="00AC248D">
              <w:rPr>
                <w:rFonts w:ascii="Arial" w:hAnsi="Arial" w:cs="Arial"/>
                <w:sz w:val="24"/>
                <w:szCs w:val="24"/>
                <w:lang w:eastAsia="en-US"/>
              </w:rPr>
              <w:t>.</w:t>
            </w:r>
          </w:p>
          <w:p w14:paraId="4AF3533F" w14:textId="77777777" w:rsidR="003D6065" w:rsidRPr="003D606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7" w:name="_Toc156827381"/>
      <w:bookmarkStart w:id="58" w:name="_Ref38291379"/>
      <w:bookmarkStart w:id="59" w:name="_Ref38291394"/>
      <w:bookmarkStart w:id="60" w:name="_Ref38898251"/>
      <w:bookmarkStart w:id="61"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1"/>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2" w:name="_Toc156827382"/>
      <w:r w:rsidRPr="002C3FE2">
        <w:rPr>
          <w:rFonts w:ascii="Arial" w:eastAsia="Calibri" w:hAnsi="Arial" w:cs="Arial"/>
          <w:color w:val="auto"/>
          <w:sz w:val="24"/>
          <w:szCs w:val="24"/>
        </w:rPr>
        <w:t>„Europos bendrasis viešųjų pirkimų dokumentas“</w:t>
      </w:r>
      <w:bookmarkEnd w:id="62"/>
      <w:r w:rsidR="008D704D" w:rsidRPr="002C3FE2">
        <w:rPr>
          <w:rFonts w:ascii="Arial" w:eastAsia="Calibri" w:hAnsi="Arial" w:cs="Arial"/>
          <w:color w:val="auto"/>
          <w:sz w:val="24"/>
          <w:szCs w:val="24"/>
        </w:rPr>
        <w:t xml:space="preserve"> </w:t>
      </w:r>
      <w:bookmarkEnd w:id="58"/>
      <w:bookmarkEnd w:id="59"/>
      <w:bookmarkEnd w:id="60"/>
      <w:bookmarkEnd w:id="61"/>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2C3FE2">
        <w:rPr>
          <w:rFonts w:ascii="Arial" w:eastAsia="Calibri" w:hAnsi="Arial" w:cs="Arial"/>
          <w:color w:val="auto"/>
          <w:sz w:val="24"/>
          <w:szCs w:val="24"/>
        </w:rPr>
        <w:t>„Pasiūlymo forma“</w:t>
      </w:r>
      <w:bookmarkEnd w:id="64"/>
      <w:bookmarkEnd w:id="65"/>
      <w:bookmarkEnd w:id="66"/>
      <w:bookmarkEnd w:id="68"/>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4F908319" w14:textId="77777777" w:rsidR="00012A00" w:rsidRDefault="002262A5" w:rsidP="006B7279">
      <w:pPr>
        <w:shd w:val="clear" w:color="auto" w:fill="FFFFFF"/>
        <w:suppressAutoHyphens/>
        <w:spacing w:after="0" w:line="240" w:lineRule="auto"/>
        <w:jc w:val="center"/>
        <w:rPr>
          <w:rFonts w:ascii="Arial" w:eastAsia="Times New Roman" w:hAnsi="Arial" w:cs="Arial"/>
          <w:sz w:val="24"/>
          <w:szCs w:val="24"/>
          <w:lang w:eastAsia="ar-SA"/>
        </w:rPr>
      </w:pPr>
      <w:r w:rsidRPr="006F76B5">
        <w:rPr>
          <w:rFonts w:ascii="Arial" w:hAnsi="Arial" w:cs="Arial"/>
          <w:b/>
          <w:bCs/>
          <w:caps/>
          <w:sz w:val="24"/>
          <w:szCs w:val="24"/>
        </w:rPr>
        <w:t>Tauragės m. Dobilo g. 9, 11 kito inžinerinio statinio kiemo aikštelės ir inžinerinių lietaus nuotekų šalinimo tinklų statyb</w:t>
      </w:r>
      <w:r>
        <w:rPr>
          <w:rFonts w:ascii="Arial" w:hAnsi="Arial" w:cs="Arial"/>
          <w:b/>
          <w:bCs/>
          <w:caps/>
          <w:sz w:val="24"/>
          <w:szCs w:val="24"/>
        </w:rPr>
        <w:t>a</w:t>
      </w:r>
      <w:r w:rsidRPr="002C3FE2">
        <w:rPr>
          <w:rFonts w:ascii="Arial" w:eastAsia="Times New Roman" w:hAnsi="Arial" w:cs="Arial"/>
          <w:sz w:val="24"/>
          <w:szCs w:val="24"/>
          <w:lang w:eastAsia="ar-SA"/>
        </w:rPr>
        <w:t xml:space="preserve"> </w:t>
      </w:r>
    </w:p>
    <w:p w14:paraId="29BCE687" w14:textId="77777777" w:rsidR="00012A00" w:rsidRDefault="00012A00"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74F0A901"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C0B1F62" w14:textId="77777777" w:rsidR="004303E4" w:rsidRPr="002C3FE2" w:rsidRDefault="004303E4" w:rsidP="004303E4">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4303E4" w:rsidRPr="002C3FE2" w14:paraId="6E3A79A8" w14:textId="77777777" w:rsidTr="000D2BAE">
        <w:trPr>
          <w:cantSplit/>
          <w:trHeight w:val="917"/>
          <w:tblHeader/>
        </w:trPr>
        <w:tc>
          <w:tcPr>
            <w:tcW w:w="702" w:type="dxa"/>
            <w:vMerge w:val="restart"/>
            <w:vAlign w:val="center"/>
          </w:tcPr>
          <w:p w14:paraId="71BFAFBE" w14:textId="77777777" w:rsidR="004303E4" w:rsidRPr="002C3FE2" w:rsidRDefault="004303E4" w:rsidP="000D2BAE">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61C60541" w14:textId="77777777" w:rsidR="004303E4" w:rsidRPr="002C3FE2" w:rsidRDefault="004303E4" w:rsidP="000D2BAE">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4C48AEC" w14:textId="77777777" w:rsidR="004303E4" w:rsidRPr="002C3FE2" w:rsidRDefault="004303E4" w:rsidP="000D2BAE">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3124054" w14:textId="77777777" w:rsidR="004303E4" w:rsidRPr="002C3FE2" w:rsidRDefault="004303E4" w:rsidP="000D2BAE">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303E4" w:rsidRPr="002C3FE2" w14:paraId="422428F3" w14:textId="77777777" w:rsidTr="000D2BAE">
        <w:trPr>
          <w:cantSplit/>
          <w:trHeight w:val="276"/>
          <w:tblHeader/>
        </w:trPr>
        <w:tc>
          <w:tcPr>
            <w:tcW w:w="702" w:type="dxa"/>
            <w:vMerge/>
            <w:vAlign w:val="center"/>
          </w:tcPr>
          <w:p w14:paraId="545A0324" w14:textId="77777777" w:rsidR="004303E4" w:rsidRPr="002C3FE2" w:rsidRDefault="004303E4" w:rsidP="000D2BAE">
            <w:pPr>
              <w:spacing w:after="0" w:line="240" w:lineRule="auto"/>
              <w:ind w:right="-113"/>
              <w:rPr>
                <w:rFonts w:ascii="Arial" w:hAnsi="Arial" w:cs="Arial"/>
                <w:sz w:val="24"/>
                <w:szCs w:val="24"/>
              </w:rPr>
            </w:pPr>
          </w:p>
        </w:tc>
        <w:tc>
          <w:tcPr>
            <w:tcW w:w="6661" w:type="dxa"/>
            <w:vMerge/>
            <w:vAlign w:val="center"/>
          </w:tcPr>
          <w:p w14:paraId="1C375638" w14:textId="77777777" w:rsidR="004303E4" w:rsidRPr="002C3FE2" w:rsidRDefault="004303E4" w:rsidP="000D2BAE">
            <w:pPr>
              <w:spacing w:after="0" w:line="240" w:lineRule="auto"/>
              <w:rPr>
                <w:rFonts w:ascii="Arial" w:hAnsi="Arial" w:cs="Arial"/>
                <w:sz w:val="24"/>
                <w:szCs w:val="24"/>
              </w:rPr>
            </w:pPr>
          </w:p>
        </w:tc>
        <w:tc>
          <w:tcPr>
            <w:tcW w:w="2266" w:type="dxa"/>
            <w:vMerge/>
            <w:tcBorders>
              <w:left w:val="single" w:sz="4" w:space="0" w:color="auto"/>
            </w:tcBorders>
            <w:vAlign w:val="center"/>
          </w:tcPr>
          <w:p w14:paraId="11F36987" w14:textId="77777777" w:rsidR="004303E4" w:rsidRPr="002C3FE2" w:rsidRDefault="004303E4" w:rsidP="000D2BAE">
            <w:pPr>
              <w:spacing w:after="0" w:line="240" w:lineRule="auto"/>
              <w:rPr>
                <w:rFonts w:ascii="Arial" w:hAnsi="Arial" w:cs="Arial"/>
                <w:sz w:val="24"/>
                <w:szCs w:val="24"/>
              </w:rPr>
            </w:pPr>
          </w:p>
        </w:tc>
      </w:tr>
      <w:tr w:rsidR="00C04547" w:rsidRPr="00F47E51" w14:paraId="36736B33" w14:textId="77777777" w:rsidTr="000D2BAE">
        <w:trPr>
          <w:trHeight w:val="58"/>
        </w:trPr>
        <w:tc>
          <w:tcPr>
            <w:tcW w:w="702" w:type="dxa"/>
            <w:vAlign w:val="center"/>
          </w:tcPr>
          <w:p w14:paraId="0043C201" w14:textId="77777777" w:rsidR="00C04547" w:rsidRPr="002C3FE2" w:rsidRDefault="00C04547" w:rsidP="00C04547">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69" w:name="_Hlk181876652"/>
          </w:p>
        </w:tc>
        <w:tc>
          <w:tcPr>
            <w:tcW w:w="6661" w:type="dxa"/>
            <w:tcBorders>
              <w:right w:val="single" w:sz="4" w:space="0" w:color="auto"/>
            </w:tcBorders>
          </w:tcPr>
          <w:p w14:paraId="42765E08" w14:textId="6C1481DD" w:rsidR="00C04547" w:rsidRPr="0086335D" w:rsidRDefault="00C04547" w:rsidP="00C04547">
            <w:pPr>
              <w:spacing w:after="0" w:line="240" w:lineRule="auto"/>
              <w:rPr>
                <w:rFonts w:ascii="Arial" w:hAnsi="Arial" w:cs="Arial"/>
                <w:sz w:val="24"/>
                <w:szCs w:val="24"/>
              </w:rPr>
            </w:pPr>
            <w:r w:rsidRPr="0086335D">
              <w:rPr>
                <w:rFonts w:ascii="Arial" w:hAnsi="Arial" w:cs="Arial"/>
                <w:sz w:val="24"/>
                <w:szCs w:val="24"/>
              </w:rPr>
              <w:t>Kiemo aikštelės įrengimas</w:t>
            </w:r>
          </w:p>
        </w:tc>
        <w:tc>
          <w:tcPr>
            <w:tcW w:w="2266" w:type="dxa"/>
            <w:tcBorders>
              <w:left w:val="single" w:sz="4" w:space="0" w:color="auto"/>
            </w:tcBorders>
            <w:vAlign w:val="center"/>
          </w:tcPr>
          <w:p w14:paraId="52021F31" w14:textId="77777777" w:rsidR="00C04547" w:rsidRPr="00F47E51" w:rsidRDefault="00C04547" w:rsidP="00C04547">
            <w:pPr>
              <w:spacing w:after="0" w:line="240" w:lineRule="auto"/>
              <w:jc w:val="center"/>
              <w:rPr>
                <w:rFonts w:ascii="Arial" w:hAnsi="Arial" w:cs="Arial"/>
                <w:sz w:val="24"/>
                <w:szCs w:val="24"/>
              </w:rPr>
            </w:pPr>
          </w:p>
        </w:tc>
      </w:tr>
      <w:tr w:rsidR="00C04547" w:rsidRPr="00F47E51" w14:paraId="0BDA8419" w14:textId="77777777" w:rsidTr="000D2BAE">
        <w:trPr>
          <w:trHeight w:val="58"/>
        </w:trPr>
        <w:tc>
          <w:tcPr>
            <w:tcW w:w="702" w:type="dxa"/>
            <w:vAlign w:val="center"/>
          </w:tcPr>
          <w:p w14:paraId="04E4598D" w14:textId="77777777" w:rsidR="00C04547" w:rsidRPr="00F47E51" w:rsidRDefault="00C04547" w:rsidP="00C04547">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74C176A" w14:textId="4BDE0B99" w:rsidR="00C04547" w:rsidRPr="0086335D" w:rsidRDefault="00C04547" w:rsidP="00C04547">
            <w:pPr>
              <w:spacing w:after="0" w:line="240" w:lineRule="auto"/>
              <w:rPr>
                <w:rFonts w:ascii="Arial" w:hAnsi="Arial" w:cs="Arial"/>
                <w:sz w:val="24"/>
                <w:szCs w:val="24"/>
              </w:rPr>
            </w:pPr>
            <w:r w:rsidRPr="0086335D">
              <w:rPr>
                <w:rFonts w:ascii="Arial" w:hAnsi="Arial" w:cs="Arial"/>
                <w:sz w:val="24"/>
                <w:szCs w:val="24"/>
              </w:rPr>
              <w:t>Lietaus nuotekų šalinimo tinklų įrengimas</w:t>
            </w:r>
          </w:p>
        </w:tc>
        <w:tc>
          <w:tcPr>
            <w:tcW w:w="2266" w:type="dxa"/>
            <w:tcBorders>
              <w:left w:val="single" w:sz="4" w:space="0" w:color="auto"/>
            </w:tcBorders>
            <w:vAlign w:val="center"/>
          </w:tcPr>
          <w:p w14:paraId="4D2B2941" w14:textId="77777777" w:rsidR="00C04547" w:rsidRPr="00F47E51" w:rsidRDefault="00C04547" w:rsidP="00C04547">
            <w:pPr>
              <w:spacing w:after="0" w:line="240" w:lineRule="auto"/>
              <w:jc w:val="center"/>
              <w:rPr>
                <w:rFonts w:ascii="Arial" w:hAnsi="Arial" w:cs="Arial"/>
                <w:sz w:val="24"/>
                <w:szCs w:val="24"/>
              </w:rPr>
            </w:pPr>
          </w:p>
        </w:tc>
      </w:tr>
      <w:tr w:rsidR="00C04547" w:rsidRPr="00F47E51" w14:paraId="025C650B" w14:textId="77777777" w:rsidTr="000D2BAE">
        <w:trPr>
          <w:trHeight w:val="58"/>
        </w:trPr>
        <w:tc>
          <w:tcPr>
            <w:tcW w:w="702" w:type="dxa"/>
            <w:vAlign w:val="center"/>
          </w:tcPr>
          <w:p w14:paraId="590A729F" w14:textId="77777777" w:rsidR="00C04547" w:rsidRPr="00F47E51" w:rsidRDefault="00C04547" w:rsidP="00C04547">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0DC18CE" w14:textId="206FB8E6" w:rsidR="00C04547" w:rsidRPr="0086335D" w:rsidRDefault="00C04547" w:rsidP="00C04547">
            <w:pPr>
              <w:spacing w:after="0" w:line="240" w:lineRule="auto"/>
              <w:rPr>
                <w:rFonts w:ascii="Arial" w:hAnsi="Arial" w:cs="Arial"/>
                <w:sz w:val="24"/>
                <w:szCs w:val="24"/>
              </w:rPr>
            </w:pPr>
            <w:r w:rsidRPr="0086335D">
              <w:rPr>
                <w:rFonts w:ascii="Arial" w:hAnsi="Arial" w:cs="Arial"/>
                <w:sz w:val="24"/>
                <w:szCs w:val="24"/>
              </w:rPr>
              <w:t>Statinių kadastrinių bylų parengimas</w:t>
            </w:r>
          </w:p>
        </w:tc>
        <w:tc>
          <w:tcPr>
            <w:tcW w:w="2266" w:type="dxa"/>
            <w:tcBorders>
              <w:left w:val="single" w:sz="4" w:space="0" w:color="auto"/>
            </w:tcBorders>
            <w:vAlign w:val="center"/>
          </w:tcPr>
          <w:p w14:paraId="16B03E8D" w14:textId="77777777" w:rsidR="00C04547" w:rsidRPr="00F47E51" w:rsidRDefault="00C04547" w:rsidP="00C04547">
            <w:pPr>
              <w:spacing w:after="0" w:line="240" w:lineRule="auto"/>
              <w:jc w:val="center"/>
              <w:rPr>
                <w:rFonts w:ascii="Arial" w:hAnsi="Arial" w:cs="Arial"/>
                <w:sz w:val="24"/>
                <w:szCs w:val="24"/>
              </w:rPr>
            </w:pPr>
          </w:p>
        </w:tc>
      </w:tr>
      <w:tr w:rsidR="00C04547" w:rsidRPr="00F47E51" w14:paraId="7E810849" w14:textId="77777777" w:rsidTr="000D2BAE">
        <w:tc>
          <w:tcPr>
            <w:tcW w:w="702" w:type="dxa"/>
            <w:vAlign w:val="center"/>
          </w:tcPr>
          <w:p w14:paraId="2D9D105B" w14:textId="77777777" w:rsidR="00C04547" w:rsidRPr="00F47E51" w:rsidRDefault="00C04547" w:rsidP="00C04547">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D893B7A" w14:textId="79151649" w:rsidR="00C04547" w:rsidRPr="004303E4" w:rsidRDefault="00C04547" w:rsidP="00C04547">
            <w:pPr>
              <w:spacing w:after="0" w:line="240" w:lineRule="auto"/>
              <w:rPr>
                <w:rFonts w:ascii="Arial" w:hAnsi="Arial" w:cs="Arial"/>
                <w:sz w:val="24"/>
                <w:szCs w:val="24"/>
              </w:rPr>
            </w:pPr>
            <w:r w:rsidRPr="0086335D">
              <w:rPr>
                <w:rFonts w:ascii="Arial" w:hAnsi="Arial" w:cs="Arial"/>
                <w:sz w:val="24"/>
                <w:szCs w:val="24"/>
              </w:rPr>
              <w:t>Statybos užbaigimas (statybos užbaigimo dokumentų, nurodytų Lietuvos Respublikos statybos įstatymo 28 straipsnio 1 dalyje gavimas)</w:t>
            </w:r>
          </w:p>
        </w:tc>
        <w:tc>
          <w:tcPr>
            <w:tcW w:w="2266" w:type="dxa"/>
            <w:tcBorders>
              <w:left w:val="single" w:sz="4" w:space="0" w:color="auto"/>
            </w:tcBorders>
            <w:vAlign w:val="center"/>
          </w:tcPr>
          <w:p w14:paraId="14BBAA4D" w14:textId="77777777" w:rsidR="00C04547" w:rsidRPr="00F47E51" w:rsidRDefault="00C04547" w:rsidP="00C04547">
            <w:pPr>
              <w:spacing w:after="0" w:line="240" w:lineRule="auto"/>
              <w:jc w:val="center"/>
              <w:rPr>
                <w:rFonts w:ascii="Arial" w:hAnsi="Arial" w:cs="Arial"/>
                <w:sz w:val="24"/>
                <w:szCs w:val="24"/>
              </w:rPr>
            </w:pPr>
          </w:p>
        </w:tc>
      </w:tr>
      <w:bookmarkEnd w:id="69"/>
      <w:tr w:rsidR="00C04547" w:rsidRPr="002C3FE2" w14:paraId="3FB1EC32" w14:textId="77777777" w:rsidTr="000D2BAE">
        <w:trPr>
          <w:trHeight w:val="147"/>
        </w:trPr>
        <w:tc>
          <w:tcPr>
            <w:tcW w:w="7363" w:type="dxa"/>
            <w:gridSpan w:val="2"/>
          </w:tcPr>
          <w:p w14:paraId="30D4BD16" w14:textId="77777777" w:rsidR="00C04547" w:rsidRPr="002C3FE2" w:rsidRDefault="00C04547" w:rsidP="00C04547">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6C66D2CD" w14:textId="77777777" w:rsidR="00C04547" w:rsidRPr="002C3FE2" w:rsidRDefault="00C04547" w:rsidP="00C04547">
            <w:pPr>
              <w:spacing w:after="0" w:line="240" w:lineRule="auto"/>
              <w:jc w:val="center"/>
              <w:rPr>
                <w:rFonts w:ascii="Arial" w:hAnsi="Arial" w:cs="Arial"/>
                <w:sz w:val="24"/>
                <w:szCs w:val="24"/>
              </w:rPr>
            </w:pPr>
          </w:p>
        </w:tc>
      </w:tr>
      <w:tr w:rsidR="00C04547" w:rsidRPr="002C3FE2" w14:paraId="082DDE0B" w14:textId="77777777" w:rsidTr="000D2BAE">
        <w:trPr>
          <w:trHeight w:val="147"/>
        </w:trPr>
        <w:tc>
          <w:tcPr>
            <w:tcW w:w="7363" w:type="dxa"/>
            <w:gridSpan w:val="2"/>
          </w:tcPr>
          <w:p w14:paraId="27BF1F65" w14:textId="77777777" w:rsidR="00C04547" w:rsidRPr="002C3FE2" w:rsidRDefault="00C04547" w:rsidP="00C04547">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6A242860" w14:textId="77777777" w:rsidR="00C04547" w:rsidRPr="002C3FE2" w:rsidRDefault="00C04547" w:rsidP="00C04547">
            <w:pPr>
              <w:spacing w:after="0" w:line="240" w:lineRule="auto"/>
              <w:jc w:val="center"/>
              <w:rPr>
                <w:rFonts w:ascii="Arial" w:hAnsi="Arial" w:cs="Arial"/>
                <w:sz w:val="24"/>
                <w:szCs w:val="24"/>
              </w:rPr>
            </w:pPr>
          </w:p>
        </w:tc>
      </w:tr>
      <w:tr w:rsidR="00C04547" w:rsidRPr="002C3FE2" w14:paraId="5257EFB5" w14:textId="77777777" w:rsidTr="000D2BAE">
        <w:trPr>
          <w:trHeight w:val="147"/>
        </w:trPr>
        <w:tc>
          <w:tcPr>
            <w:tcW w:w="7363" w:type="dxa"/>
            <w:gridSpan w:val="2"/>
          </w:tcPr>
          <w:p w14:paraId="62AC0670" w14:textId="77777777" w:rsidR="00C04547" w:rsidRPr="002C3FE2" w:rsidRDefault="00C04547" w:rsidP="00C04547">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7C7FEA99" w14:textId="77777777" w:rsidR="00C04547" w:rsidRPr="002C3FE2" w:rsidRDefault="00C04547" w:rsidP="00C04547">
            <w:pPr>
              <w:spacing w:after="0" w:line="240" w:lineRule="auto"/>
              <w:jc w:val="center"/>
              <w:rPr>
                <w:rFonts w:ascii="Arial" w:hAnsi="Arial" w:cs="Arial"/>
                <w:b/>
                <w:bCs/>
                <w:sz w:val="24"/>
                <w:szCs w:val="24"/>
              </w:rPr>
            </w:pPr>
          </w:p>
        </w:tc>
      </w:tr>
    </w:tbl>
    <w:p w14:paraId="62F89CC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0"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36020316"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D1090F">
              <w:rPr>
                <w:rFonts w:ascii="Arial" w:hAnsi="Arial"/>
                <w:sz w:val="24"/>
                <w:szCs w:val="24"/>
                <w:lang w:val="lt-LT"/>
              </w:rPr>
              <w:t>4</w:t>
            </w:r>
            <w:r w:rsidRPr="00F47E51">
              <w:rPr>
                <w:rFonts w:ascii="Arial" w:hAnsi="Arial"/>
                <w:sz w:val="24"/>
                <w:szCs w:val="24"/>
                <w:lang w:val="lt-LT"/>
              </w:rPr>
              <w:t xml:space="preserve"> mėnesiai ir mažiau</w:t>
            </w:r>
          </w:p>
          <w:p w14:paraId="58E8F40E" w14:textId="724017FE"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D1090F">
              <w:rPr>
                <w:rFonts w:ascii="Arial" w:hAnsi="Arial"/>
                <w:sz w:val="24"/>
                <w:szCs w:val="24"/>
                <w:lang w:val="lt-LT"/>
              </w:rPr>
              <w:t>5</w:t>
            </w:r>
            <w:r w:rsidRPr="00F47E51">
              <w:rPr>
                <w:rFonts w:ascii="Arial" w:hAnsi="Arial"/>
                <w:sz w:val="24"/>
                <w:szCs w:val="24"/>
                <w:lang w:val="lt-LT"/>
              </w:rPr>
              <w:t xml:space="preserve"> mėnesiai </w:t>
            </w:r>
          </w:p>
          <w:p w14:paraId="7BE79CC4" w14:textId="3F3F1A4E"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D1090F">
              <w:rPr>
                <w:rFonts w:ascii="Arial" w:hAnsi="Arial"/>
                <w:sz w:val="24"/>
                <w:szCs w:val="24"/>
                <w:lang w:val="lt-LT"/>
              </w:rPr>
              <w:t>6</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0"/>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7"/>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1" w:name="_Ref39484039"/>
      <w:bookmarkStart w:id="72"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1"/>
      <w:bookmarkEnd w:id="72"/>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55EE63F2"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D1090F">
              <w:rPr>
                <w:rFonts w:ascii="Arial" w:hAnsi="Arial" w:cs="Arial"/>
                <w:sz w:val="24"/>
                <w:szCs w:val="24"/>
              </w:rPr>
              <w:t>8</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19C30B19"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D1090F">
              <w:rPr>
                <w:rFonts w:ascii="Arial" w:hAnsi="Arial" w:cs="Arial"/>
                <w:sz w:val="24"/>
                <w:szCs w:val="24"/>
              </w:rPr>
              <w:t>2</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D1090F">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5579B2A1" w14:textId="77777777" w:rsidTr="00D1090F">
        <w:trPr>
          <w:jc w:val="center"/>
        </w:trPr>
        <w:tc>
          <w:tcPr>
            <w:tcW w:w="5403" w:type="dxa"/>
            <w:tcMar>
              <w:top w:w="0" w:type="dxa"/>
              <w:left w:w="108" w:type="dxa"/>
              <w:bottom w:w="0" w:type="dxa"/>
              <w:right w:w="108" w:type="dxa"/>
            </w:tcMar>
            <w:vAlign w:val="center"/>
            <w:hideMark/>
          </w:tcPr>
          <w:p w14:paraId="0276DF99" w14:textId="13181D79" w:rsidR="00184A8D" w:rsidRPr="00C05530" w:rsidRDefault="00D1090F"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256CAEC6" w14:textId="6183E164" w:rsidR="00184A8D" w:rsidRPr="00184A8D" w:rsidRDefault="00D1090F"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F47E51" w:rsidRPr="00184A8D" w14:paraId="7A19E448" w14:textId="77777777" w:rsidTr="00D1090F">
        <w:trPr>
          <w:jc w:val="center"/>
        </w:trPr>
        <w:tc>
          <w:tcPr>
            <w:tcW w:w="5403" w:type="dxa"/>
            <w:tcMar>
              <w:top w:w="0" w:type="dxa"/>
              <w:left w:w="108" w:type="dxa"/>
              <w:bottom w:w="0" w:type="dxa"/>
              <w:right w:w="108" w:type="dxa"/>
            </w:tcMar>
            <w:vAlign w:val="center"/>
          </w:tcPr>
          <w:p w14:paraId="3CE835C1" w14:textId="60D5609E" w:rsidR="00F47E51" w:rsidRDefault="00D1090F"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F47E5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33630DEC" w14:textId="66AD3B7A" w:rsidR="00F47E51" w:rsidRPr="00184A8D" w:rsidRDefault="00D1090F"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184A8D" w:rsidRPr="00184A8D" w14:paraId="47B19225" w14:textId="77777777" w:rsidTr="00D1090F">
        <w:trPr>
          <w:jc w:val="center"/>
        </w:trPr>
        <w:tc>
          <w:tcPr>
            <w:tcW w:w="5403" w:type="dxa"/>
            <w:tcMar>
              <w:top w:w="0" w:type="dxa"/>
              <w:left w:w="108" w:type="dxa"/>
              <w:bottom w:w="0" w:type="dxa"/>
              <w:right w:w="108" w:type="dxa"/>
            </w:tcMar>
            <w:vAlign w:val="center"/>
            <w:hideMark/>
          </w:tcPr>
          <w:p w14:paraId="38C6AD05" w14:textId="68464166" w:rsidR="00184A8D" w:rsidRPr="00C05530" w:rsidRDefault="00D1090F"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4</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 ir mažiau</w:t>
            </w:r>
          </w:p>
        </w:tc>
        <w:tc>
          <w:tcPr>
            <w:tcW w:w="4226" w:type="dxa"/>
            <w:tcMar>
              <w:top w:w="0" w:type="dxa"/>
              <w:left w:w="108" w:type="dxa"/>
              <w:bottom w:w="0" w:type="dxa"/>
              <w:right w:w="108" w:type="dxa"/>
            </w:tcMar>
            <w:vAlign w:val="center"/>
          </w:tcPr>
          <w:p w14:paraId="38E86D30" w14:textId="1C961CD8" w:rsidR="00184A8D" w:rsidRPr="00184A8D" w:rsidRDefault="00D1090F"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bl>
    <w:p w14:paraId="341EEB2E" w14:textId="6F609420"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A00D58">
        <w:rPr>
          <w:rFonts w:ascii="Arial" w:eastAsia="Calibri" w:hAnsi="Arial" w:cs="Arial"/>
          <w:sz w:val="24"/>
          <w:szCs w:val="24"/>
        </w:rPr>
        <w:t>6</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w:t>
      </w:r>
      <w:r w:rsidR="00A00D58">
        <w:rPr>
          <w:rFonts w:ascii="Arial" w:eastAsia="Calibri" w:hAnsi="Arial" w:cs="Arial"/>
          <w:sz w:val="24"/>
          <w:szCs w:val="24"/>
        </w:rPr>
        <w:t>S</w:t>
      </w:r>
      <w:r w:rsidRPr="00BE5B8C">
        <w:rPr>
          <w:rFonts w:ascii="Arial" w:eastAsia="Calibri" w:hAnsi="Arial" w:cs="Arial"/>
          <w:sz w:val="24"/>
          <w:szCs w:val="24"/>
        </w:rPr>
        <w:t>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3" w:name="_Toc156827385"/>
      <w:bookmarkStart w:id="74" w:name="_Ref39586171"/>
      <w:bookmarkStart w:id="75" w:name="_Ref39673580"/>
      <w:bookmarkStart w:id="76" w:name="_Ref39674283"/>
      <w:r w:rsidRPr="002C3FE2">
        <w:rPr>
          <w:rFonts w:ascii="Arial" w:hAnsi="Arial" w:cs="Arial"/>
          <w:color w:val="auto"/>
          <w:sz w:val="24"/>
          <w:szCs w:val="24"/>
        </w:rPr>
        <w:lastRenderedPageBreak/>
        <w:t>Pirkimo sąlygų 8 priedas</w:t>
      </w:r>
      <w:bookmarkEnd w:id="73"/>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6"/>
      <w:r w:rsidRPr="002C3FE2">
        <w:rPr>
          <w:rFonts w:ascii="Arial" w:hAnsi="Arial" w:cs="Arial"/>
          <w:color w:val="auto"/>
          <w:sz w:val="24"/>
          <w:szCs w:val="24"/>
        </w:rPr>
        <w:t>„Tiekėjo deklaracija dėl atitikties Reglamento nuostatoms“</w:t>
      </w:r>
      <w:bookmarkEnd w:id="77"/>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8"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8"/>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79"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4"/>
      <w:bookmarkEnd w:id="75"/>
      <w:bookmarkEnd w:id="76"/>
      <w:bookmarkEnd w:id="79"/>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5EDD3A09" w14:textId="77777777" w:rsidR="00012A00" w:rsidRDefault="00012A00" w:rsidP="00012A00">
      <w:pPr>
        <w:shd w:val="clear" w:color="auto" w:fill="FFFFFF"/>
        <w:suppressAutoHyphens/>
        <w:spacing w:after="0" w:line="240" w:lineRule="auto"/>
        <w:jc w:val="center"/>
        <w:rPr>
          <w:rFonts w:ascii="Arial" w:eastAsia="Times New Roman" w:hAnsi="Arial" w:cs="Arial"/>
          <w:sz w:val="24"/>
          <w:szCs w:val="24"/>
          <w:lang w:eastAsia="ar-SA"/>
        </w:rPr>
      </w:pPr>
      <w:r w:rsidRPr="006F76B5">
        <w:rPr>
          <w:rFonts w:ascii="Arial" w:hAnsi="Arial" w:cs="Arial"/>
          <w:b/>
          <w:bCs/>
          <w:caps/>
          <w:sz w:val="24"/>
          <w:szCs w:val="24"/>
        </w:rPr>
        <w:t>Tauragės m. Dobilo g. 9, 11 kito inžinerinio statinio kiemo aikštelės ir inžinerinių lietaus nuotekų šalinimo tinklų statyb</w:t>
      </w:r>
      <w:r>
        <w:rPr>
          <w:rFonts w:ascii="Arial" w:hAnsi="Arial" w:cs="Arial"/>
          <w:b/>
          <w:bCs/>
          <w:caps/>
          <w:sz w:val="24"/>
          <w:szCs w:val="24"/>
        </w:rPr>
        <w:t>a</w:t>
      </w:r>
      <w:r w:rsidRPr="002C3FE2">
        <w:rPr>
          <w:rFonts w:ascii="Arial" w:eastAsia="Times New Roman" w:hAnsi="Arial" w:cs="Arial"/>
          <w:sz w:val="24"/>
          <w:szCs w:val="24"/>
          <w:lang w:eastAsia="ar-SA"/>
        </w:rPr>
        <w:t xml:space="preserve"> </w:t>
      </w:r>
    </w:p>
    <w:p w14:paraId="4D91D646" w14:textId="77777777" w:rsidR="003E56E7" w:rsidRPr="00570428" w:rsidRDefault="003E56E7"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9623579" w14:textId="77777777" w:rsid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p w14:paraId="7E6EC4C7" w14:textId="46FDB1EC" w:rsidR="007F6BF8" w:rsidRPr="00570428" w:rsidRDefault="007F6BF8" w:rsidP="00F47E51">
            <w:pPr>
              <w:suppressAutoHyphens/>
              <w:spacing w:before="240" w:after="100" w:afterAutospacing="1" w:line="240" w:lineRule="auto"/>
              <w:jc w:val="both"/>
              <w:rPr>
                <w:rFonts w:ascii="Arial" w:eastAsia="Times New Roman" w:hAnsi="Arial" w:cs="Arial"/>
                <w:sz w:val="22"/>
                <w:szCs w:val="22"/>
                <w:lang w:eastAsia="ar-SA"/>
              </w:rPr>
            </w:pP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3DFCA1B8"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7E5AD3" w:rsidRPr="007E5AD3">
              <w:rPr>
                <w:rFonts w:ascii="Arial" w:eastAsia="Times New Roman" w:hAnsi="Arial" w:cs="Arial"/>
                <w:b/>
                <w:bCs/>
                <w:sz w:val="22"/>
                <w:szCs w:val="22"/>
                <w:lang w:eastAsia="ar-SA"/>
              </w:rPr>
              <w:t>Tauragės m. Dobilo g. 9, 11 kito inžinerinio statinio kiemo aikštelės ir inžinerinių lietaus nuotekų šalinimo tinklų statyb</w:t>
            </w:r>
            <w:r w:rsidR="007E5AD3">
              <w:rPr>
                <w:rFonts w:ascii="Arial" w:eastAsia="Times New Roman" w:hAnsi="Arial" w:cs="Arial"/>
                <w:b/>
                <w:bCs/>
                <w:sz w:val="22"/>
                <w:szCs w:val="22"/>
                <w:lang w:eastAsia="ar-SA"/>
              </w:rPr>
              <w:t>os 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w:t>
            </w:r>
            <w:r w:rsidR="00EF77A9">
              <w:rPr>
                <w:rFonts w:ascii="Arial" w:eastAsia="Times New Roman" w:hAnsi="Arial" w:cs="Arial"/>
                <w:sz w:val="22"/>
                <w:szCs w:val="22"/>
                <w:lang w:eastAsia="en-US"/>
              </w:rPr>
              <w:t xml:space="preserve"> Užsakovas</w:t>
            </w:r>
            <w:r w:rsidRPr="00570428">
              <w:rPr>
                <w:rFonts w:ascii="Arial" w:eastAsia="Times New Roman" w:hAnsi="Arial" w:cs="Arial"/>
                <w:sz w:val="22"/>
                <w:szCs w:val="22"/>
                <w:lang w:eastAsia="en-US"/>
              </w:rPr>
              <w:t xml:space="preserve"> įsipareigoja sudaryti </w:t>
            </w:r>
            <w:r w:rsidR="00EF77A9">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būtinas sąlygas Darbams atlikti, Sutartyje numatyta tvarka priimti tinkamai atliktų Darbų rezultatą ir sumokėti </w:t>
            </w:r>
            <w:r w:rsidR="00EF77A9">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0"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rsidP="00B16B0D">
            <w:pPr>
              <w:numPr>
                <w:ilvl w:val="0"/>
                <w:numId w:val="35"/>
              </w:numPr>
              <w:suppressAutoHyphens/>
              <w:spacing w:after="0" w:line="240" w:lineRule="auto"/>
              <w:ind w:left="316" w:firstLine="44"/>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tcPr>
                <w:p w14:paraId="00100119" w14:textId="220F4129"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A409F8">
                    <w:rPr>
                      <w:rFonts w:ascii="Arial" w:eastAsia="Times New Roman" w:hAnsi="Arial" w:cs="Arial"/>
                      <w:i/>
                      <w:iCs/>
                      <w:sz w:val="22"/>
                      <w:szCs w:val="22"/>
                      <w:lang w:eastAsia="en-US"/>
                    </w:rPr>
                    <w:t>6</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tcPr>
                <w:p w14:paraId="17AD6401" w14:textId="41615C7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w:t>
                  </w:r>
                  <w:r w:rsidR="00A409F8">
                    <w:rPr>
                      <w:rFonts w:ascii="Arial" w:eastAsia="Times New Roman" w:hAnsi="Arial" w:cs="Arial"/>
                      <w:sz w:val="22"/>
                      <w:szCs w:val="22"/>
                      <w:lang w:eastAsia="en-US"/>
                    </w:rPr>
                    <w:t>5</w:t>
                  </w:r>
                  <w:r w:rsidRPr="007A3111">
                    <w:rPr>
                      <w:rFonts w:ascii="Arial" w:eastAsia="Times New Roman" w:hAnsi="Arial" w:cs="Arial"/>
                      <w:sz w:val="22"/>
                      <w:szCs w:val="22"/>
                      <w:lang w:eastAsia="en-US"/>
                    </w:rPr>
                    <w:t xml:space="preserve">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tcPr>
                <w:p w14:paraId="74AE44B6" w14:textId="7F588DF0"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w:t>
                  </w:r>
                  <w:r w:rsidR="00A409F8">
                    <w:rPr>
                      <w:rFonts w:ascii="Arial" w:eastAsia="Times New Roman" w:hAnsi="Arial" w:cs="Arial"/>
                      <w:sz w:val="22"/>
                      <w:szCs w:val="22"/>
                      <w:lang w:eastAsia="en-US"/>
                    </w:rPr>
                    <w:t>5</w:t>
                  </w:r>
                  <w:r w:rsidRPr="007A3111">
                    <w:rPr>
                      <w:rFonts w:ascii="Arial" w:eastAsia="Times New Roman" w:hAnsi="Arial" w:cs="Arial"/>
                      <w:sz w:val="22"/>
                      <w:szCs w:val="22"/>
                      <w:lang w:eastAsia="en-US"/>
                    </w:rPr>
                    <w:t xml:space="preserve">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w:t>
            </w:r>
            <w:r w:rsidRPr="00570428">
              <w:rPr>
                <w:rFonts w:ascii="Arial" w:eastAsia="Times New Roman" w:hAnsi="Arial" w:cs="Arial"/>
                <w:sz w:val="22"/>
                <w:szCs w:val="22"/>
                <w:lang w:eastAsia="en-US"/>
              </w:rPr>
              <w:lastRenderedPageBreak/>
              <w:t>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 xml:space="preserve">Jeigu Projekte ar Veiklų sąraše yra nurodyti konkretūs modeliai, konkretus procesas ar prekės ženklas, patentas, tipas, konkretaus gamintojo ar kilmės Medžiagos, Įranga ar </w:t>
            </w:r>
            <w:r w:rsidRPr="00570428">
              <w:rPr>
                <w:rFonts w:ascii="Arial" w:eastAsia="Times New Roman" w:hAnsi="Arial" w:cs="Arial"/>
                <w:sz w:val="22"/>
                <w:szCs w:val="22"/>
                <w:lang w:eastAsia="en-US"/>
              </w:rPr>
              <w:lastRenderedPageBreak/>
              <w:t>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w:t>
            </w:r>
            <w:r w:rsidRPr="00570428">
              <w:rPr>
                <w:rFonts w:ascii="Arial" w:eastAsia="Times New Roman" w:hAnsi="Arial" w:cs="Arial"/>
                <w:sz w:val="22"/>
                <w:szCs w:val="22"/>
                <w:lang w:eastAsia="en-US"/>
              </w:rPr>
              <w:lastRenderedPageBreak/>
              <w:t>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w:t>
            </w:r>
            <w:r w:rsidRPr="00570428">
              <w:rPr>
                <w:rFonts w:ascii="Arial" w:eastAsia="Times New Roman" w:hAnsi="Arial" w:cs="Arial"/>
                <w:sz w:val="22"/>
                <w:szCs w:val="22"/>
                <w:lang w:eastAsia="en-US"/>
              </w:rPr>
              <w:lastRenderedPageBreak/>
              <w:t xml:space="preserve">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nesumoka sumos, kurią privalo sumokėti Užsakovui pagal Sutartį, įskaitant netesybas už Darbų vėlavimą, per 30 dienų po Užsakovo rašytinio reikalavimo </w:t>
            </w:r>
            <w:r w:rsidRPr="00FD6131">
              <w:rPr>
                <w:rFonts w:ascii="Arial" w:eastAsia="Times New Roman" w:hAnsi="Arial" w:cs="Arial"/>
                <w:color w:val="000000" w:themeColor="text1"/>
                <w:sz w:val="22"/>
                <w:szCs w:val="22"/>
                <w:lang w:eastAsia="en-US"/>
              </w:rPr>
              <w:lastRenderedPageBreak/>
              <w:t>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D719F8">
            <w:pPr>
              <w:spacing w:before="200" w:after="240" w:line="240" w:lineRule="auto"/>
              <w:ind w:hanging="109"/>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w:t>
            </w:r>
            <w:r w:rsidRPr="00570428">
              <w:rPr>
                <w:rFonts w:ascii="Arial" w:eastAsia="Times New Roman" w:hAnsi="Arial" w:cs="Arial"/>
                <w:bCs/>
                <w:sz w:val="22"/>
                <w:szCs w:val="22"/>
                <w:lang w:eastAsia="en-US"/>
              </w:rPr>
              <w:lastRenderedPageBreak/>
              <w:t>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2" o:title=""/>
                </v:shape>
                <o:OLEObject Type="Embed" ProgID="Equation.3" ShapeID="_x0000_i1025" DrawAspect="Content" ObjectID="_1840617518" r:id="rId23"/>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4" o:title=""/>
                </v:shape>
                <o:OLEObject Type="Embed" ProgID="Equation.3" ShapeID="_x0000_i1026" DrawAspect="Content" ObjectID="_1840617519" r:id="rId25"/>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6" o:title=""/>
                </v:shape>
                <o:OLEObject Type="Embed" ProgID="Equation.3" ShapeID="_x0000_i1027" DrawAspect="Content" ObjectID="_1840617520" r:id="rId27"/>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28" o:title=""/>
                </v:shape>
                <o:OLEObject Type="Embed" ProgID="Equation.3" ShapeID="_x0000_i1028" DrawAspect="Content" ObjectID="_1840617521" r:id="rId29"/>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0" o:title=""/>
                </v:shape>
                <o:OLEObject Type="Embed" ProgID="Equation.3" ShapeID="_x0000_i1029" DrawAspect="Content" ObjectID="_1840617522" r:id="rId31"/>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lastRenderedPageBreak/>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w:t>
            </w:r>
            <w:r w:rsidRPr="00570428">
              <w:rPr>
                <w:rFonts w:ascii="Arial" w:hAnsi="Arial" w:cs="Arial"/>
                <w:sz w:val="22"/>
                <w:szCs w:val="22"/>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0"/>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38AF97A0" w14:textId="77777777" w:rsidR="000372C5" w:rsidRDefault="000372C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A33D052" w14:textId="627E8AFC" w:rsidR="00F873D3" w:rsidRDefault="00122A44" w:rsidP="000372C5">
      <w:pPr>
        <w:shd w:val="clear" w:color="auto" w:fill="FFFFFF"/>
        <w:suppressAutoHyphens/>
        <w:spacing w:after="0" w:line="240" w:lineRule="auto"/>
        <w:jc w:val="center"/>
        <w:rPr>
          <w:rFonts w:ascii="Arial" w:hAnsi="Arial" w:cs="Arial"/>
          <w:b/>
          <w:bCs/>
          <w:sz w:val="24"/>
          <w:szCs w:val="24"/>
        </w:rPr>
      </w:pPr>
      <w:r>
        <w:rPr>
          <w:rFonts w:ascii="Arial" w:hAnsi="Arial" w:cs="Arial"/>
          <w:b/>
          <w:bCs/>
          <w:sz w:val="24"/>
          <w:szCs w:val="24"/>
        </w:rPr>
        <w:t>„</w:t>
      </w:r>
      <w:r w:rsidR="000372C5" w:rsidRPr="000372C5">
        <w:rPr>
          <w:rFonts w:ascii="Arial" w:hAnsi="Arial" w:cs="Arial"/>
          <w:b/>
          <w:bCs/>
          <w:sz w:val="24"/>
          <w:szCs w:val="24"/>
        </w:rPr>
        <w:t>Tauragės m. Dobilo g. 9, 11 kito inžinerinio statinio kiemo aikštelės ir inžinerinių lietaus nuotekų šalinimo tinklų statyba</w:t>
      </w:r>
      <w:r>
        <w:rPr>
          <w:rFonts w:ascii="Arial" w:hAnsi="Arial" w:cs="Arial"/>
          <w:b/>
          <w:bCs/>
          <w:sz w:val="24"/>
          <w:szCs w:val="24"/>
        </w:rPr>
        <w:t>“</w:t>
      </w:r>
    </w:p>
    <w:p w14:paraId="3D5F5E57" w14:textId="77777777" w:rsidR="000372C5" w:rsidRPr="000372C5" w:rsidRDefault="000372C5" w:rsidP="000372C5">
      <w:pPr>
        <w:shd w:val="clear" w:color="auto" w:fill="FFFFFF"/>
        <w:suppressAutoHyphens/>
        <w:spacing w:after="0" w:line="240" w:lineRule="auto"/>
        <w:jc w:val="center"/>
        <w:rPr>
          <w:rFonts w:ascii="Arial" w:eastAsia="Times New Roman" w:hAnsi="Arial" w:cs="Arial"/>
          <w:sz w:val="24"/>
          <w:szCs w:val="24"/>
          <w:lang w:eastAsia="ar-SA"/>
        </w:rPr>
      </w:pP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7"/>
        <w:gridCol w:w="3258"/>
        <w:gridCol w:w="567"/>
        <w:gridCol w:w="567"/>
        <w:gridCol w:w="567"/>
        <w:gridCol w:w="567"/>
        <w:gridCol w:w="566"/>
        <w:gridCol w:w="567"/>
        <w:gridCol w:w="567"/>
        <w:gridCol w:w="1858"/>
      </w:tblGrid>
      <w:tr w:rsidR="00E775EC" w:rsidRPr="002C3FE2" w14:paraId="1AABFF8A" w14:textId="77777777" w:rsidTr="000B18A1">
        <w:trPr>
          <w:cantSplit/>
          <w:trHeight w:val="917"/>
          <w:tblHeader/>
        </w:trPr>
        <w:tc>
          <w:tcPr>
            <w:tcW w:w="707" w:type="dxa"/>
            <w:vMerge w:val="restart"/>
            <w:vAlign w:val="center"/>
          </w:tcPr>
          <w:p w14:paraId="6851F19B" w14:textId="77777777" w:rsidR="00E775EC" w:rsidRPr="002C3FE2" w:rsidRDefault="00E775EC"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8" w:type="dxa"/>
            <w:vMerge w:val="restart"/>
            <w:vAlign w:val="center"/>
          </w:tcPr>
          <w:p w14:paraId="2AAEA665" w14:textId="77777777" w:rsidR="00E775EC" w:rsidRPr="002C3FE2" w:rsidRDefault="00E775EC"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3968" w:type="dxa"/>
            <w:gridSpan w:val="7"/>
            <w:tcBorders>
              <w:right w:val="single" w:sz="4" w:space="0" w:color="auto"/>
            </w:tcBorders>
          </w:tcPr>
          <w:p w14:paraId="0932376D" w14:textId="0ED018A4" w:rsidR="00E775EC" w:rsidRPr="00871F08" w:rsidRDefault="00E775EC"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E775EC" w:rsidRPr="00871F08" w:rsidRDefault="00E775EC"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491474" w:rsidRPr="002C3FE2" w14:paraId="6FC7C14E" w14:textId="77777777" w:rsidTr="004303E4">
        <w:trPr>
          <w:cantSplit/>
          <w:trHeight w:val="1278"/>
          <w:tblHeader/>
        </w:trPr>
        <w:tc>
          <w:tcPr>
            <w:tcW w:w="707" w:type="dxa"/>
            <w:vMerge/>
            <w:vAlign w:val="center"/>
          </w:tcPr>
          <w:p w14:paraId="53770C8D" w14:textId="77777777" w:rsidR="00491474" w:rsidRPr="002C3FE2" w:rsidRDefault="00491474" w:rsidP="006E562F">
            <w:pPr>
              <w:spacing w:after="0" w:line="240" w:lineRule="auto"/>
              <w:ind w:right="-113"/>
              <w:rPr>
                <w:rFonts w:ascii="Arial" w:eastAsia="Times New Roman" w:hAnsi="Arial" w:cs="Arial"/>
                <w:sz w:val="24"/>
                <w:szCs w:val="24"/>
                <w:lang w:eastAsia="en-US"/>
              </w:rPr>
            </w:pPr>
          </w:p>
        </w:tc>
        <w:tc>
          <w:tcPr>
            <w:tcW w:w="3258" w:type="dxa"/>
            <w:vMerge/>
            <w:vAlign w:val="center"/>
          </w:tcPr>
          <w:p w14:paraId="192958A3" w14:textId="77777777" w:rsidR="00491474" w:rsidRPr="002C3FE2" w:rsidRDefault="00491474"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567" w:type="dxa"/>
            <w:textDirection w:val="btLr"/>
            <w:vAlign w:val="center"/>
          </w:tcPr>
          <w:p w14:paraId="6D476823"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567" w:type="dxa"/>
            <w:textDirection w:val="btLr"/>
            <w:vAlign w:val="center"/>
          </w:tcPr>
          <w:p w14:paraId="6773032B"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424D7D96" w14:textId="77777777" w:rsidR="00491474" w:rsidRPr="00871F08" w:rsidRDefault="00491474"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566" w:type="dxa"/>
            <w:textDirection w:val="btLr"/>
          </w:tcPr>
          <w:p w14:paraId="5B70B6E7" w14:textId="7C705908" w:rsidR="00491474" w:rsidRPr="00871F08" w:rsidRDefault="00122A44"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00491474" w:rsidRPr="00871F08">
              <w:rPr>
                <w:rFonts w:ascii="Arial" w:eastAsia="Times New Roman" w:hAnsi="Arial" w:cs="Arial"/>
                <w:sz w:val="24"/>
                <w:szCs w:val="24"/>
                <w:lang w:eastAsia="en-US"/>
              </w:rPr>
              <w:t>mėnuo</w:t>
            </w:r>
          </w:p>
        </w:tc>
        <w:tc>
          <w:tcPr>
            <w:tcW w:w="567" w:type="dxa"/>
            <w:textDirection w:val="btLr"/>
          </w:tcPr>
          <w:p w14:paraId="47241CBA" w14:textId="6F858D23" w:rsidR="00491474" w:rsidRPr="007A3111" w:rsidRDefault="004303E4" w:rsidP="00491474">
            <w:pPr>
              <w:spacing w:after="0" w:line="240" w:lineRule="auto"/>
              <w:ind w:left="113" w:right="113"/>
              <w:rPr>
                <w:rFonts w:ascii="Arial" w:eastAsia="Times New Roman" w:hAnsi="Arial" w:cs="Arial"/>
                <w:sz w:val="24"/>
                <w:szCs w:val="24"/>
                <w:lang w:eastAsia="en-US"/>
              </w:rPr>
            </w:pPr>
            <w:r>
              <w:rPr>
                <w:rFonts w:ascii="Arial" w:eastAsia="MS Gothic" w:hAnsi="Arial" w:cs="Arial"/>
                <w:sz w:val="24"/>
                <w:szCs w:val="24"/>
                <w:lang w:eastAsia="en-US"/>
              </w:rPr>
              <w:t>...</w:t>
            </w:r>
          </w:p>
        </w:tc>
        <w:tc>
          <w:tcPr>
            <w:tcW w:w="567" w:type="dxa"/>
            <w:tcBorders>
              <w:right w:val="single" w:sz="4" w:space="0" w:color="auto"/>
            </w:tcBorders>
            <w:textDirection w:val="tbRl"/>
            <w:vAlign w:val="bottom"/>
          </w:tcPr>
          <w:p w14:paraId="31D7ABB9" w14:textId="2B0DAFF5" w:rsidR="00491474" w:rsidRPr="00871F08" w:rsidRDefault="00491474" w:rsidP="004303E4">
            <w:pPr>
              <w:spacing w:after="0" w:line="240" w:lineRule="auto"/>
              <w:ind w:left="113" w:right="113"/>
              <w:jc w:val="right"/>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58" w:type="dxa"/>
            <w:vMerge/>
            <w:tcBorders>
              <w:left w:val="single" w:sz="4" w:space="0" w:color="auto"/>
            </w:tcBorders>
            <w:vAlign w:val="center"/>
          </w:tcPr>
          <w:p w14:paraId="39E3B5F1" w14:textId="77777777" w:rsidR="00491474" w:rsidRPr="00871F08" w:rsidRDefault="00491474" w:rsidP="006E562F">
            <w:pPr>
              <w:spacing w:after="0" w:line="240" w:lineRule="auto"/>
              <w:rPr>
                <w:rFonts w:ascii="Arial" w:eastAsia="Times New Roman" w:hAnsi="Arial" w:cs="Arial"/>
                <w:sz w:val="24"/>
                <w:szCs w:val="24"/>
                <w:lang w:eastAsia="en-US"/>
              </w:rPr>
            </w:pPr>
          </w:p>
        </w:tc>
      </w:tr>
      <w:tr w:rsidR="000372C5" w:rsidRPr="002C3FE2" w14:paraId="49A67700" w14:textId="77777777" w:rsidTr="00491474">
        <w:tc>
          <w:tcPr>
            <w:tcW w:w="707" w:type="dxa"/>
            <w:vAlign w:val="center"/>
          </w:tcPr>
          <w:p w14:paraId="5D4FB69C" w14:textId="3BB675DF" w:rsidR="000372C5" w:rsidRPr="007C3F38" w:rsidRDefault="000372C5" w:rsidP="000372C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8" w:type="dxa"/>
            <w:tcBorders>
              <w:right w:val="single" w:sz="4" w:space="0" w:color="auto"/>
            </w:tcBorders>
          </w:tcPr>
          <w:p w14:paraId="561D6074" w14:textId="507FA24B" w:rsidR="000372C5" w:rsidRPr="004303E4" w:rsidRDefault="000372C5" w:rsidP="000372C5">
            <w:pPr>
              <w:spacing w:after="0" w:line="240" w:lineRule="auto"/>
              <w:rPr>
                <w:rFonts w:ascii="Arial" w:eastAsia="Times New Roman" w:hAnsi="Arial" w:cs="Arial"/>
                <w:sz w:val="24"/>
                <w:szCs w:val="24"/>
                <w:lang w:eastAsia="en-US"/>
              </w:rPr>
            </w:pPr>
            <w:r w:rsidRPr="0086335D">
              <w:rPr>
                <w:rFonts w:ascii="Arial" w:hAnsi="Arial" w:cs="Arial"/>
                <w:sz w:val="24"/>
                <w:szCs w:val="24"/>
              </w:rPr>
              <w:t>Kiemo aikštelės įrengimas</w:t>
            </w:r>
          </w:p>
        </w:tc>
        <w:tc>
          <w:tcPr>
            <w:tcW w:w="567" w:type="dxa"/>
            <w:vAlign w:val="center"/>
          </w:tcPr>
          <w:p w14:paraId="400A1D8E"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5F1C9B23"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677883A6"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55F73C3"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6" w:type="dxa"/>
          </w:tcPr>
          <w:p w14:paraId="548FD265"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Pr>
          <w:p w14:paraId="69B1DDDA" w14:textId="77777777" w:rsidR="000372C5" w:rsidRPr="007A3111"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9E8CE5E" w14:textId="4F6ED36D" w:rsidR="000372C5" w:rsidRPr="00122A44" w:rsidRDefault="000372C5" w:rsidP="000372C5">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0372C5" w:rsidRPr="002C3FE2" w:rsidRDefault="000372C5" w:rsidP="000372C5">
            <w:pPr>
              <w:spacing w:after="0" w:line="240" w:lineRule="auto"/>
              <w:jc w:val="center"/>
              <w:rPr>
                <w:rFonts w:ascii="Arial" w:eastAsia="Times New Roman" w:hAnsi="Arial" w:cs="Arial"/>
                <w:sz w:val="24"/>
                <w:szCs w:val="24"/>
                <w:lang w:eastAsia="en-US"/>
              </w:rPr>
            </w:pPr>
          </w:p>
        </w:tc>
      </w:tr>
      <w:tr w:rsidR="000372C5" w:rsidRPr="002C3FE2" w14:paraId="0FCF1C6E" w14:textId="77777777" w:rsidTr="00491474">
        <w:tc>
          <w:tcPr>
            <w:tcW w:w="707" w:type="dxa"/>
            <w:vAlign w:val="center"/>
          </w:tcPr>
          <w:p w14:paraId="12301D62" w14:textId="61D4B72A" w:rsidR="000372C5" w:rsidRPr="007C3F38" w:rsidRDefault="000372C5" w:rsidP="000372C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8" w:type="dxa"/>
            <w:tcBorders>
              <w:right w:val="single" w:sz="4" w:space="0" w:color="auto"/>
            </w:tcBorders>
          </w:tcPr>
          <w:p w14:paraId="5AE3FF08" w14:textId="5671A37A" w:rsidR="000372C5" w:rsidRPr="004303E4" w:rsidRDefault="000372C5" w:rsidP="000372C5">
            <w:pPr>
              <w:spacing w:after="0" w:line="240" w:lineRule="auto"/>
              <w:rPr>
                <w:rFonts w:ascii="Arial" w:eastAsia="Times New Roman" w:hAnsi="Arial" w:cs="Arial"/>
                <w:sz w:val="24"/>
                <w:szCs w:val="24"/>
                <w:lang w:eastAsia="en-US"/>
              </w:rPr>
            </w:pPr>
            <w:r w:rsidRPr="0086335D">
              <w:rPr>
                <w:rFonts w:ascii="Arial" w:hAnsi="Arial" w:cs="Arial"/>
                <w:sz w:val="24"/>
                <w:szCs w:val="24"/>
              </w:rPr>
              <w:t>Lietaus nuotekų šalinimo tinklų įrengimas</w:t>
            </w:r>
          </w:p>
        </w:tc>
        <w:tc>
          <w:tcPr>
            <w:tcW w:w="567" w:type="dxa"/>
            <w:vAlign w:val="center"/>
          </w:tcPr>
          <w:p w14:paraId="77BBCC37"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7A9652E9"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73F7BB70"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1DEAF34"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6" w:type="dxa"/>
          </w:tcPr>
          <w:p w14:paraId="5F0825CA"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Pr>
          <w:p w14:paraId="70918DFC"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0372C5" w:rsidRPr="00122A44" w:rsidRDefault="000372C5" w:rsidP="000372C5">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AAD2771" w14:textId="77777777" w:rsidR="000372C5" w:rsidRPr="002C3FE2" w:rsidRDefault="000372C5" w:rsidP="000372C5">
            <w:pPr>
              <w:spacing w:after="0" w:line="240" w:lineRule="auto"/>
              <w:jc w:val="center"/>
              <w:rPr>
                <w:rFonts w:ascii="Arial" w:eastAsia="Times New Roman" w:hAnsi="Arial" w:cs="Arial"/>
                <w:sz w:val="24"/>
                <w:szCs w:val="24"/>
                <w:lang w:eastAsia="en-US"/>
              </w:rPr>
            </w:pPr>
          </w:p>
        </w:tc>
      </w:tr>
      <w:tr w:rsidR="000372C5" w:rsidRPr="002C3FE2" w14:paraId="3AECD24C" w14:textId="77777777" w:rsidTr="00491474">
        <w:tc>
          <w:tcPr>
            <w:tcW w:w="707" w:type="dxa"/>
            <w:vAlign w:val="center"/>
          </w:tcPr>
          <w:p w14:paraId="17825D8A" w14:textId="3883A737" w:rsidR="000372C5" w:rsidRPr="007C3F38" w:rsidRDefault="000372C5" w:rsidP="000372C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8" w:type="dxa"/>
            <w:tcBorders>
              <w:right w:val="single" w:sz="4" w:space="0" w:color="auto"/>
            </w:tcBorders>
          </w:tcPr>
          <w:p w14:paraId="7F4B25BC" w14:textId="78850E77" w:rsidR="000372C5" w:rsidRPr="004303E4" w:rsidRDefault="000372C5" w:rsidP="000372C5">
            <w:pPr>
              <w:spacing w:after="0" w:line="240" w:lineRule="auto"/>
              <w:rPr>
                <w:rFonts w:ascii="Arial" w:eastAsia="Times New Roman" w:hAnsi="Arial" w:cs="Arial"/>
                <w:sz w:val="24"/>
                <w:szCs w:val="24"/>
                <w:lang w:eastAsia="en-US"/>
              </w:rPr>
            </w:pPr>
            <w:r w:rsidRPr="0086335D">
              <w:rPr>
                <w:rFonts w:ascii="Arial" w:hAnsi="Arial" w:cs="Arial"/>
                <w:sz w:val="24"/>
                <w:szCs w:val="24"/>
              </w:rPr>
              <w:t>Statinių kadastrinių bylų parengimas</w:t>
            </w:r>
          </w:p>
        </w:tc>
        <w:tc>
          <w:tcPr>
            <w:tcW w:w="567" w:type="dxa"/>
            <w:vAlign w:val="center"/>
          </w:tcPr>
          <w:p w14:paraId="00F39CC1"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1CD14A8B"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24257357"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C6A277"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6" w:type="dxa"/>
          </w:tcPr>
          <w:p w14:paraId="1DE9F70B"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Pr>
          <w:p w14:paraId="0DFEB9BF"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0372C5" w:rsidRPr="00122A44" w:rsidRDefault="000372C5" w:rsidP="000372C5">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5697CFE" w14:textId="77777777" w:rsidR="000372C5" w:rsidRPr="002C3FE2" w:rsidRDefault="000372C5" w:rsidP="000372C5">
            <w:pPr>
              <w:spacing w:after="0" w:line="240" w:lineRule="auto"/>
              <w:jc w:val="center"/>
              <w:rPr>
                <w:rFonts w:ascii="Arial" w:eastAsia="Times New Roman" w:hAnsi="Arial" w:cs="Arial"/>
                <w:sz w:val="24"/>
                <w:szCs w:val="24"/>
                <w:lang w:eastAsia="en-US"/>
              </w:rPr>
            </w:pPr>
          </w:p>
        </w:tc>
      </w:tr>
      <w:tr w:rsidR="000372C5" w:rsidRPr="002C3FE2" w14:paraId="4F8AED97" w14:textId="77777777" w:rsidTr="00491474">
        <w:trPr>
          <w:trHeight w:val="70"/>
        </w:trPr>
        <w:tc>
          <w:tcPr>
            <w:tcW w:w="707" w:type="dxa"/>
            <w:vAlign w:val="center"/>
          </w:tcPr>
          <w:p w14:paraId="2A4C8607" w14:textId="2DB2C478" w:rsidR="000372C5" w:rsidRPr="007C3F38" w:rsidRDefault="000372C5" w:rsidP="000372C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8" w:type="dxa"/>
            <w:tcBorders>
              <w:right w:val="single" w:sz="4" w:space="0" w:color="auto"/>
            </w:tcBorders>
          </w:tcPr>
          <w:p w14:paraId="54BE7AE8" w14:textId="55B17F2C" w:rsidR="000372C5" w:rsidRPr="004303E4" w:rsidRDefault="000372C5" w:rsidP="000372C5">
            <w:pPr>
              <w:spacing w:after="0" w:line="240" w:lineRule="auto"/>
              <w:rPr>
                <w:rFonts w:ascii="Arial" w:eastAsia="Times New Roman" w:hAnsi="Arial" w:cs="Arial"/>
                <w:sz w:val="24"/>
                <w:szCs w:val="24"/>
                <w:lang w:eastAsia="en-US"/>
              </w:rPr>
            </w:pPr>
            <w:r w:rsidRPr="0086335D">
              <w:rPr>
                <w:rFonts w:ascii="Arial" w:hAnsi="Arial" w:cs="Arial"/>
                <w:sz w:val="24"/>
                <w:szCs w:val="24"/>
              </w:rPr>
              <w:t>Statybos užbaigimas (statybos užbaigimo dokumentų, nurodytų Lietuvos Respublikos statybos įstatymo 28 straipsnio 1 dalyje gavimas)</w:t>
            </w:r>
          </w:p>
        </w:tc>
        <w:tc>
          <w:tcPr>
            <w:tcW w:w="567" w:type="dxa"/>
            <w:vAlign w:val="center"/>
          </w:tcPr>
          <w:p w14:paraId="2A7DF13F"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3C9CC4FF"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vAlign w:val="center"/>
          </w:tcPr>
          <w:p w14:paraId="653E2C92"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40D740"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6" w:type="dxa"/>
          </w:tcPr>
          <w:p w14:paraId="131D462C"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Pr>
          <w:p w14:paraId="2BE8B25E" w14:textId="77777777" w:rsidR="000372C5" w:rsidRPr="00122A44" w:rsidRDefault="000372C5" w:rsidP="000372C5">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0372C5" w:rsidRPr="00122A44" w:rsidRDefault="000372C5" w:rsidP="000372C5">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259F14E" w14:textId="77777777" w:rsidR="000372C5" w:rsidRPr="002C3FE2" w:rsidRDefault="000372C5" w:rsidP="000372C5">
            <w:pPr>
              <w:spacing w:after="0" w:line="240" w:lineRule="auto"/>
              <w:jc w:val="center"/>
              <w:rPr>
                <w:rFonts w:ascii="Arial" w:eastAsia="Times New Roman" w:hAnsi="Arial" w:cs="Arial"/>
                <w:sz w:val="24"/>
                <w:szCs w:val="24"/>
                <w:lang w:eastAsia="en-US"/>
              </w:rPr>
            </w:pPr>
          </w:p>
        </w:tc>
      </w:tr>
      <w:tr w:rsidR="004303E4" w:rsidRPr="002C3FE2" w14:paraId="21176F3E" w14:textId="77777777" w:rsidTr="00010A00">
        <w:trPr>
          <w:trHeight w:val="277"/>
        </w:trPr>
        <w:tc>
          <w:tcPr>
            <w:tcW w:w="7933" w:type="dxa"/>
            <w:gridSpan w:val="9"/>
            <w:tcBorders>
              <w:right w:val="single" w:sz="4" w:space="0" w:color="auto"/>
            </w:tcBorders>
          </w:tcPr>
          <w:p w14:paraId="1FC992CD" w14:textId="438D3ECC" w:rsidR="004303E4" w:rsidRPr="00122A44" w:rsidRDefault="004303E4" w:rsidP="00B9104A">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76838C32" w14:textId="77777777" w:rsidTr="00705A3D">
        <w:trPr>
          <w:trHeight w:val="147"/>
        </w:trPr>
        <w:tc>
          <w:tcPr>
            <w:tcW w:w="7933" w:type="dxa"/>
            <w:gridSpan w:val="9"/>
          </w:tcPr>
          <w:p w14:paraId="1B136814" w14:textId="7CAA7E49"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46C27130" w14:textId="77777777" w:rsidTr="0011057C">
        <w:trPr>
          <w:trHeight w:val="147"/>
        </w:trPr>
        <w:tc>
          <w:tcPr>
            <w:tcW w:w="7933" w:type="dxa"/>
            <w:gridSpan w:val="9"/>
          </w:tcPr>
          <w:p w14:paraId="2FA64F0E" w14:textId="41B71BE4"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2"/>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D9D8" w14:textId="77777777" w:rsidR="00563372" w:rsidRDefault="00563372" w:rsidP="00D05666">
      <w:r>
        <w:separator/>
      </w:r>
    </w:p>
  </w:endnote>
  <w:endnote w:type="continuationSeparator" w:id="0">
    <w:p w14:paraId="297D0B55" w14:textId="77777777" w:rsidR="00563372" w:rsidRDefault="00563372" w:rsidP="00D05666">
      <w:r>
        <w:continuationSeparator/>
      </w:r>
    </w:p>
  </w:endnote>
  <w:endnote w:type="continuationNotice" w:id="1">
    <w:p w14:paraId="54C5F666" w14:textId="77777777" w:rsidR="00563372" w:rsidRDefault="00563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0FDC" w14:textId="77777777" w:rsidR="00563372" w:rsidRDefault="00563372" w:rsidP="00D05666">
      <w:r>
        <w:separator/>
      </w:r>
    </w:p>
  </w:footnote>
  <w:footnote w:type="continuationSeparator" w:id="0">
    <w:p w14:paraId="64200A35" w14:textId="77777777" w:rsidR="00563372" w:rsidRDefault="00563372" w:rsidP="00D05666">
      <w:r>
        <w:continuationSeparator/>
      </w:r>
    </w:p>
  </w:footnote>
  <w:footnote w:type="continuationNotice" w:id="1">
    <w:p w14:paraId="42FF1B3E" w14:textId="77777777" w:rsidR="00563372" w:rsidRDefault="00563372">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2">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A6A487F2"/>
    <w:lvl w:ilvl="0">
      <w:start w:val="1"/>
      <w:numFmt w:val="decimal"/>
      <w:suff w:val="space"/>
      <w:lvlText w:val="%1."/>
      <w:lvlJc w:val="left"/>
      <w:pPr>
        <w:ind w:left="1" w:firstLine="709"/>
      </w:pPr>
      <w:rPr>
        <w:rFonts w:hint="default"/>
        <w:b w:val="0"/>
        <w:bCs w:val="0"/>
      </w:rPr>
    </w:lvl>
    <w:lvl w:ilvl="1">
      <w:start w:val="1"/>
      <w:numFmt w:val="decimal"/>
      <w:suff w:val="space"/>
      <w:lvlText w:val="%2."/>
      <w:lvlJc w:val="left"/>
      <w:pPr>
        <w:ind w:left="1" w:firstLine="709"/>
      </w:pPr>
      <w:rPr>
        <w:rFonts w:ascii="Arial" w:eastAsiaTheme="minorEastAsia" w:hAnsi="Arial" w:cs="Arial"/>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896976">
    <w:abstractNumId w:val="24"/>
  </w:num>
  <w:num w:numId="2" w16cid:durableId="943879042">
    <w:abstractNumId w:val="7"/>
  </w:num>
  <w:num w:numId="3" w16cid:durableId="331837760">
    <w:abstractNumId w:val="56"/>
  </w:num>
  <w:num w:numId="4" w16cid:durableId="5331418">
    <w:abstractNumId w:val="42"/>
  </w:num>
  <w:num w:numId="5" w16cid:durableId="1321423491">
    <w:abstractNumId w:val="73"/>
  </w:num>
  <w:num w:numId="6" w16cid:durableId="69352975">
    <w:abstractNumId w:val="5"/>
  </w:num>
  <w:num w:numId="7" w16cid:durableId="1246264027">
    <w:abstractNumId w:val="67"/>
  </w:num>
  <w:num w:numId="8" w16cid:durableId="1932422755">
    <w:abstractNumId w:val="59"/>
  </w:num>
  <w:num w:numId="9" w16cid:durableId="1483624311">
    <w:abstractNumId w:val="33"/>
  </w:num>
  <w:num w:numId="10" w16cid:durableId="2613788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649595">
    <w:abstractNumId w:val="46"/>
  </w:num>
  <w:num w:numId="12" w16cid:durableId="121465146">
    <w:abstractNumId w:val="68"/>
  </w:num>
  <w:num w:numId="13" w16cid:durableId="1869485843">
    <w:abstractNumId w:val="69"/>
  </w:num>
  <w:num w:numId="14" w16cid:durableId="1700543744">
    <w:abstractNumId w:val="15"/>
  </w:num>
  <w:num w:numId="15" w16cid:durableId="1309817939">
    <w:abstractNumId w:val="34"/>
  </w:num>
  <w:num w:numId="16" w16cid:durableId="213083322">
    <w:abstractNumId w:val="9"/>
  </w:num>
  <w:num w:numId="17" w16cid:durableId="16171729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953707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0746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3587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38306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944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6979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4660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9759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481663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0505738">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160556">
    <w:abstractNumId w:val="25"/>
  </w:num>
  <w:num w:numId="29" w16cid:durableId="1700815916">
    <w:abstractNumId w:val="0"/>
  </w:num>
  <w:num w:numId="30" w16cid:durableId="864560952">
    <w:abstractNumId w:val="52"/>
  </w:num>
  <w:num w:numId="31" w16cid:durableId="522977797">
    <w:abstractNumId w:val="57"/>
  </w:num>
  <w:num w:numId="32" w16cid:durableId="465009397">
    <w:abstractNumId w:val="50"/>
  </w:num>
  <w:num w:numId="33" w16cid:durableId="1541091121">
    <w:abstractNumId w:val="23"/>
  </w:num>
  <w:num w:numId="34" w16cid:durableId="759109160">
    <w:abstractNumId w:val="10"/>
  </w:num>
  <w:num w:numId="35" w16cid:durableId="111285390">
    <w:abstractNumId w:val="39"/>
  </w:num>
  <w:num w:numId="36" w16cid:durableId="694234238">
    <w:abstractNumId w:val="44"/>
  </w:num>
  <w:num w:numId="37" w16cid:durableId="405302895">
    <w:abstractNumId w:val="66"/>
  </w:num>
  <w:num w:numId="38" w16cid:durableId="125857366">
    <w:abstractNumId w:val="18"/>
  </w:num>
  <w:num w:numId="39" w16cid:durableId="742265349">
    <w:abstractNumId w:val="35"/>
  </w:num>
  <w:num w:numId="40" w16cid:durableId="1631856911">
    <w:abstractNumId w:val="43"/>
  </w:num>
  <w:num w:numId="41" w16cid:durableId="743574495">
    <w:abstractNumId w:val="26"/>
  </w:num>
  <w:num w:numId="42" w16cid:durableId="649359285">
    <w:abstractNumId w:val="71"/>
  </w:num>
  <w:num w:numId="43" w16cid:durableId="818810999">
    <w:abstractNumId w:val="8"/>
  </w:num>
  <w:num w:numId="44" w16cid:durableId="1729104840">
    <w:abstractNumId w:val="58"/>
  </w:num>
  <w:num w:numId="45" w16cid:durableId="288240115">
    <w:abstractNumId w:val="40"/>
  </w:num>
  <w:num w:numId="46" w16cid:durableId="895312810">
    <w:abstractNumId w:val="14"/>
  </w:num>
  <w:num w:numId="47" w16cid:durableId="2060395462">
    <w:abstractNumId w:val="4"/>
  </w:num>
  <w:num w:numId="48" w16cid:durableId="1803842219">
    <w:abstractNumId w:val="62"/>
  </w:num>
  <w:num w:numId="49" w16cid:durableId="1639645598">
    <w:abstractNumId w:val="64"/>
  </w:num>
  <w:num w:numId="50" w16cid:durableId="79717559">
    <w:abstractNumId w:val="72"/>
  </w:num>
  <w:num w:numId="51" w16cid:durableId="1199201495">
    <w:abstractNumId w:val="28"/>
  </w:num>
  <w:num w:numId="52" w16cid:durableId="588348230">
    <w:abstractNumId w:val="16"/>
  </w:num>
  <w:num w:numId="53" w16cid:durableId="1489711005">
    <w:abstractNumId w:val="11"/>
  </w:num>
  <w:num w:numId="54" w16cid:durableId="1789546362">
    <w:abstractNumId w:val="2"/>
  </w:num>
  <w:num w:numId="55" w16cid:durableId="267810349">
    <w:abstractNumId w:val="27"/>
  </w:num>
  <w:num w:numId="56" w16cid:durableId="1551960168">
    <w:abstractNumId w:val="48"/>
  </w:num>
  <w:num w:numId="57" w16cid:durableId="1508981002">
    <w:abstractNumId w:val="41"/>
  </w:num>
  <w:num w:numId="58" w16cid:durableId="1933660431">
    <w:abstractNumId w:val="29"/>
  </w:num>
  <w:num w:numId="59" w16cid:durableId="1648126507">
    <w:abstractNumId w:val="31"/>
  </w:num>
  <w:num w:numId="60" w16cid:durableId="761141914">
    <w:abstractNumId w:val="17"/>
  </w:num>
  <w:num w:numId="61" w16cid:durableId="388460534">
    <w:abstractNumId w:val="60"/>
  </w:num>
  <w:num w:numId="62" w16cid:durableId="1235162013">
    <w:abstractNumId w:val="20"/>
  </w:num>
  <w:num w:numId="63" w16cid:durableId="1854059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51406769">
    <w:abstractNumId w:val="61"/>
  </w:num>
  <w:num w:numId="65" w16cid:durableId="1234850669">
    <w:abstractNumId w:val="3"/>
  </w:num>
  <w:num w:numId="66" w16cid:durableId="1581063827">
    <w:abstractNumId w:val="1"/>
  </w:num>
  <w:num w:numId="67" w16cid:durableId="1672104746">
    <w:abstractNumId w:val="54"/>
  </w:num>
  <w:num w:numId="68" w16cid:durableId="1393313846">
    <w:abstractNumId w:val="53"/>
  </w:num>
  <w:num w:numId="69" w16cid:durableId="638337300">
    <w:abstractNumId w:val="63"/>
  </w:num>
  <w:num w:numId="70" w16cid:durableId="685250474">
    <w:abstractNumId w:val="51"/>
  </w:num>
  <w:num w:numId="71" w16cid:durableId="1997026695">
    <w:abstractNumId w:val="21"/>
  </w:num>
  <w:num w:numId="72" w16cid:durableId="104665405">
    <w:abstractNumId w:val="30"/>
  </w:num>
  <w:num w:numId="73" w16cid:durableId="319696773">
    <w:abstractNumId w:val="45"/>
  </w:num>
  <w:num w:numId="74" w16cid:durableId="1835368214">
    <w:abstractNumId w:val="12"/>
  </w:num>
  <w:num w:numId="75" w16cid:durableId="1619726085">
    <w:abstractNumId w:val="74"/>
  </w:num>
  <w:num w:numId="76" w16cid:durableId="696854863">
    <w:abstractNumId w:val="47"/>
  </w:num>
  <w:num w:numId="77" w16cid:durableId="108595713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1501129">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A00"/>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5"/>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515"/>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1C4"/>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1E84"/>
    <w:rsid w:val="000925B5"/>
    <w:rsid w:val="00092C56"/>
    <w:rsid w:val="00092C5D"/>
    <w:rsid w:val="0009345C"/>
    <w:rsid w:val="000945F6"/>
    <w:rsid w:val="00094604"/>
    <w:rsid w:val="000947E8"/>
    <w:rsid w:val="000957C5"/>
    <w:rsid w:val="00095834"/>
    <w:rsid w:val="00095A99"/>
    <w:rsid w:val="00096308"/>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1AC"/>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606"/>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327"/>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2A5"/>
    <w:rsid w:val="002263E9"/>
    <w:rsid w:val="002267DE"/>
    <w:rsid w:val="00226A3F"/>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2B9"/>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14"/>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540"/>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372"/>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CB1"/>
    <w:rsid w:val="00637F68"/>
    <w:rsid w:val="00640399"/>
    <w:rsid w:val="00640DBD"/>
    <w:rsid w:val="0064169B"/>
    <w:rsid w:val="0064259A"/>
    <w:rsid w:val="00642683"/>
    <w:rsid w:val="006428CA"/>
    <w:rsid w:val="00642C8F"/>
    <w:rsid w:val="00642E25"/>
    <w:rsid w:val="00642F0D"/>
    <w:rsid w:val="0064317B"/>
    <w:rsid w:val="006431B3"/>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B0D"/>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6FEC"/>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6B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43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C9C"/>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85E"/>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AD3"/>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BF8"/>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5D"/>
    <w:rsid w:val="0086337B"/>
    <w:rsid w:val="008636B9"/>
    <w:rsid w:val="008638DF"/>
    <w:rsid w:val="00864390"/>
    <w:rsid w:val="008643DD"/>
    <w:rsid w:val="00865486"/>
    <w:rsid w:val="008656E1"/>
    <w:rsid w:val="008662A0"/>
    <w:rsid w:val="00866685"/>
    <w:rsid w:val="00866B59"/>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764"/>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1F"/>
    <w:rsid w:val="009079D3"/>
    <w:rsid w:val="00907FB7"/>
    <w:rsid w:val="00910C39"/>
    <w:rsid w:val="00911B90"/>
    <w:rsid w:val="00911C54"/>
    <w:rsid w:val="009122A7"/>
    <w:rsid w:val="00912666"/>
    <w:rsid w:val="00912795"/>
    <w:rsid w:val="00912B8B"/>
    <w:rsid w:val="00913029"/>
    <w:rsid w:val="00913EE3"/>
    <w:rsid w:val="009142CB"/>
    <w:rsid w:val="009147C9"/>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6B5"/>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A9D"/>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0D58"/>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09F8"/>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20"/>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B0D"/>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1E5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547"/>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BC6"/>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90F"/>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0F56"/>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3C2"/>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19F8"/>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126"/>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BD0"/>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5EC"/>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887"/>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7A9"/>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383"/>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3B9"/>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image" Target="media/image2.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oleObject" Target="embeddings/oleObject1.bin"/><Relationship Id="rId28"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8.wmf"/><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65</Pages>
  <Words>18264</Words>
  <Characters>131140</Characters>
  <Application>Microsoft Office Word</Application>
  <DocSecurity>0</DocSecurity>
  <Lines>3857</Lines>
  <Paragraphs>1396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42</cp:revision>
  <dcterms:created xsi:type="dcterms:W3CDTF">2025-03-28T06:03:00Z</dcterms:created>
  <dcterms:modified xsi:type="dcterms:W3CDTF">2026-05-18T10:52:00Z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