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6AD1" w14:textId="708F964F" w:rsidR="00D86B17" w:rsidRPr="007455A9" w:rsidRDefault="00D86B17" w:rsidP="009943EE">
      <w:pPr>
        <w:pStyle w:val="Antrat2"/>
        <w:numPr>
          <w:ilvl w:val="0"/>
          <w:numId w:val="0"/>
        </w:numPr>
        <w:ind w:right="1387"/>
        <w:jc w:val="right"/>
      </w:pPr>
      <w:r w:rsidRPr="007455A9">
        <w:t xml:space="preserve">Sutarties priedas Nr. 3 </w:t>
      </w:r>
    </w:p>
    <w:p w14:paraId="0D1B8AA0" w14:textId="77777777" w:rsidR="00D86B17" w:rsidRPr="007455A9" w:rsidRDefault="00D86B17" w:rsidP="00D86B17">
      <w:pPr>
        <w:pStyle w:val="linija"/>
        <w:spacing w:before="0" w:after="0"/>
        <w:jc w:val="right"/>
        <w:rPr>
          <w:lang w:eastAsia="en-US"/>
        </w:rPr>
      </w:pPr>
    </w:p>
    <w:p w14:paraId="74A1E687" w14:textId="77777777" w:rsidR="00D86B17" w:rsidRPr="007455A9" w:rsidRDefault="00D86B17" w:rsidP="00D86B17">
      <w:pPr>
        <w:tabs>
          <w:tab w:val="left" w:pos="7371"/>
        </w:tabs>
        <w:spacing w:after="0"/>
        <w:jc w:val="center"/>
        <w:rPr>
          <w:rFonts w:eastAsia="SimSun" w:cs="Times New Roman"/>
          <w:bCs/>
          <w:szCs w:val="24"/>
          <w:lang w:eastAsia="zh-CN"/>
        </w:rPr>
      </w:pPr>
      <w:r w:rsidRPr="007455A9">
        <w:rPr>
          <w:lang w:eastAsia="en-US"/>
        </w:rPr>
        <w:tab/>
      </w:r>
      <w:r w:rsidRPr="007455A9">
        <w:rPr>
          <w:rFonts w:eastAsia="SimSun" w:cs="Times New Roman"/>
          <w:bCs/>
          <w:szCs w:val="24"/>
          <w:lang w:eastAsia="zh-CN"/>
        </w:rPr>
        <w:t xml:space="preserve">                                                                                                                       Paslaugų teikimo grafikas </w:t>
      </w:r>
    </w:p>
    <w:p w14:paraId="0215B10C" w14:textId="77777777" w:rsidR="00D86B17" w:rsidRPr="007455A9" w:rsidRDefault="00D86B17" w:rsidP="00D86B17">
      <w:pPr>
        <w:tabs>
          <w:tab w:val="left" w:pos="7371"/>
        </w:tabs>
        <w:suppressAutoHyphens w:val="0"/>
        <w:spacing w:after="0"/>
        <w:jc w:val="center"/>
        <w:rPr>
          <w:rFonts w:eastAsia="SimSun" w:cs="Times New Roman"/>
          <w:bCs/>
          <w:szCs w:val="24"/>
          <w:lang w:eastAsia="zh-CN"/>
        </w:rPr>
      </w:pPr>
      <w:r w:rsidRPr="007455A9">
        <w:rPr>
          <w:rFonts w:eastAsia="SimSun" w:cs="Times New Roman"/>
          <w:bCs/>
          <w:szCs w:val="24"/>
          <w:lang w:eastAsia="zh-CN"/>
        </w:rPr>
        <w:t xml:space="preserve">                                                                                            </w:t>
      </w:r>
    </w:p>
    <w:p w14:paraId="1535D155" w14:textId="77777777" w:rsidR="00D86B17" w:rsidRPr="007455A9" w:rsidRDefault="00D86B17" w:rsidP="00D86B17">
      <w:pPr>
        <w:tabs>
          <w:tab w:val="left" w:pos="7371"/>
        </w:tabs>
        <w:suppressAutoHyphens w:val="0"/>
        <w:spacing w:after="0"/>
        <w:jc w:val="center"/>
        <w:rPr>
          <w:rFonts w:eastAsia="SimSun" w:cs="Times New Roman"/>
          <w:lang w:eastAsia="zh-CN"/>
        </w:rPr>
      </w:pPr>
    </w:p>
    <w:p w14:paraId="4CAC77A8" w14:textId="77777777" w:rsidR="00D86B17" w:rsidRPr="007455A9" w:rsidRDefault="00D86B17" w:rsidP="00D86B17">
      <w:pPr>
        <w:suppressAutoHyphens w:val="0"/>
        <w:jc w:val="right"/>
        <w:rPr>
          <w:rFonts w:ascii="Calibri" w:eastAsia="Calibri" w:hAnsi="Calibri" w:cs="Times New Roman"/>
          <w:sz w:val="20"/>
          <w:szCs w:val="20"/>
          <w:lang w:eastAsia="en-US"/>
        </w:rPr>
      </w:pPr>
    </w:p>
    <w:tbl>
      <w:tblPr>
        <w:tblW w:w="14176" w:type="dxa"/>
        <w:tblInd w:w="-284" w:type="dxa"/>
        <w:tblLook w:val="04A0" w:firstRow="1" w:lastRow="0" w:firstColumn="1" w:lastColumn="0" w:noHBand="0" w:noVBand="1"/>
      </w:tblPr>
      <w:tblGrid>
        <w:gridCol w:w="817"/>
        <w:gridCol w:w="5988"/>
        <w:gridCol w:w="1134"/>
        <w:gridCol w:w="1559"/>
        <w:gridCol w:w="4678"/>
      </w:tblGrid>
      <w:tr w:rsidR="00C85778" w:rsidRPr="007455A9" w14:paraId="3C5D8E4C" w14:textId="77777777" w:rsidTr="009943EE">
        <w:trPr>
          <w:trHeight w:val="276"/>
        </w:trPr>
        <w:tc>
          <w:tcPr>
            <w:tcW w:w="817" w:type="dxa"/>
            <w:noWrap/>
            <w:vAlign w:val="bottom"/>
            <w:hideMark/>
          </w:tcPr>
          <w:p w14:paraId="788E19FB" w14:textId="77777777" w:rsidR="00C85778" w:rsidRPr="007455A9" w:rsidRDefault="00C85778" w:rsidP="00511926">
            <w:pPr>
              <w:suppressAutoHyphens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8" w:type="dxa"/>
            <w:noWrap/>
            <w:vAlign w:val="bottom"/>
            <w:hideMark/>
          </w:tcPr>
          <w:p w14:paraId="7E879BE7" w14:textId="77777777" w:rsidR="00C85778" w:rsidRPr="007455A9" w:rsidRDefault="00C85778" w:rsidP="00511926">
            <w:pPr>
              <w:suppressAutoHyphens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374F883" w14:textId="77777777" w:rsidR="00C85778" w:rsidRPr="007455A9" w:rsidRDefault="00C85778" w:rsidP="00511926">
            <w:pPr>
              <w:suppressAutoHyphens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96E7C5A" w14:textId="77777777" w:rsidR="00C85778" w:rsidRPr="007455A9" w:rsidRDefault="00C85778" w:rsidP="00511926">
            <w:pPr>
              <w:suppressAutoHyphens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78D91DEA" w14:textId="77777777" w:rsidR="00C85778" w:rsidRPr="007455A9" w:rsidRDefault="00C85778" w:rsidP="00511926">
            <w:pPr>
              <w:suppressAutoHyphens w:val="0"/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</w:tr>
      <w:tr w:rsidR="00C85778" w:rsidRPr="007455A9" w14:paraId="63061600" w14:textId="77777777" w:rsidTr="009943EE">
        <w:trPr>
          <w:trHeight w:val="127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28CFD9" w14:textId="77777777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Etapai</w:t>
            </w:r>
          </w:p>
        </w:tc>
        <w:tc>
          <w:tcPr>
            <w:tcW w:w="5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BABAA7" w14:textId="77777777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 xml:space="preserve">Etapų stadijos                                                                                                                                 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(pagal LR Teritorijų planavimo įstatymo 25 str. reikalavimus)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A979E91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Etapo stadijos  atlikimo trukmė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5AAEAEE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Etapo stadijos pabaiga nuo sutarties pasirašymo datos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CA942" w14:textId="77777777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Pastabos</w:t>
            </w:r>
          </w:p>
        </w:tc>
      </w:tr>
      <w:tr w:rsidR="00C85778" w:rsidRPr="007455A9" w14:paraId="67E9B0DF" w14:textId="77777777" w:rsidTr="009943EE">
        <w:trPr>
          <w:trHeight w:val="99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B86F3B6" w14:textId="77777777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1. Parengiamasis etapas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4074AC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1.1. Planavimo organizatorius pagal nustatytus planavimo tikslus numato planuojamą teritoriją, parengia ir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patvirtina planavimo darbų programą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(teritorija, uždaviniai, ar bus tyrimai ir rengiama koncepcija.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9F28" w14:textId="1DFB0997" w:rsidR="00C85778" w:rsidRPr="007455A9" w:rsidRDefault="0042094B" w:rsidP="009943EE">
            <w:pPr>
              <w:suppressAutoHyphens w:val="0"/>
              <w:spacing w:before="100" w:beforeAutospacing="1" w:after="480" w:line="240" w:lineRule="auto"/>
              <w:ind w:left="113" w:right="-57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B5F8" w14:textId="42AB998E" w:rsidR="00C85778" w:rsidRPr="007455A9" w:rsidRDefault="0042094B" w:rsidP="009943EE">
            <w:pPr>
              <w:suppressAutoHyphens w:val="0"/>
              <w:spacing w:before="100" w:beforeAutospacing="1" w:after="480" w:line="240" w:lineRule="auto"/>
              <w:ind w:left="113" w:right="-57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9FCF2" w14:textId="04E7428B" w:rsidR="00C85778" w:rsidRPr="007455A9" w:rsidRDefault="0042094B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42094B">
              <w:rPr>
                <w:rFonts w:cs="Times New Roman"/>
                <w:sz w:val="20"/>
                <w:szCs w:val="20"/>
                <w:lang w:eastAsia="lt-LT"/>
              </w:rPr>
              <w:t>Jurbarko rajono savivaldybės administracijos direktoriaus 2026 m. kovo 31 d. įsakymas                       Nr. O1-21 E-206 „Dėl Jurbarko miesto teritorijos bendrojo plano koregavimo pradžios ir planavimo tikslų nustatymo“</w:t>
            </w:r>
          </w:p>
        </w:tc>
      </w:tr>
      <w:tr w:rsidR="00C85778" w:rsidRPr="007455A9" w14:paraId="1FCED4EF" w14:textId="77777777" w:rsidTr="009943EE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33681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BE9E06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>1.2. Parengiamuoju etapu planavimo organizatorius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 xml:space="preserve"> viešai paskelbia apie priimtą sprendimą dėl teritorijų planavimo dokumento rengimo pradžios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, planavimo tikslų ir planavimo darbų programą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17A3" w14:textId="4C2EC32A" w:rsidR="00C85778" w:rsidRPr="007455A9" w:rsidRDefault="0042094B" w:rsidP="009943EE">
            <w:pPr>
              <w:suppressAutoHyphens w:val="0"/>
              <w:spacing w:before="100" w:beforeAutospacing="1" w:after="480" w:line="240" w:lineRule="auto"/>
              <w:ind w:left="113" w:right="-57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7852" w14:textId="3901EF49" w:rsidR="00C85778" w:rsidRPr="007455A9" w:rsidRDefault="0042094B" w:rsidP="009943EE">
            <w:pPr>
              <w:suppressAutoHyphens w:val="0"/>
              <w:spacing w:before="100" w:beforeAutospacing="1" w:after="480" w:line="240" w:lineRule="auto"/>
              <w:ind w:left="113" w:right="-57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BAC4" w14:textId="3563354A" w:rsidR="00C85778" w:rsidRPr="007455A9" w:rsidRDefault="0042094B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42094B">
              <w:rPr>
                <w:rFonts w:cs="Times New Roman"/>
                <w:sz w:val="20"/>
                <w:szCs w:val="20"/>
                <w:lang w:eastAsia="lt-LT"/>
              </w:rPr>
              <w:t>Jurbarko rajono savivaldybės administracijos direktoriaus 2026 m. balandžio 2 d. įsakymas                       Nr. O1-21 E-220 „Dėl Jurbarko miesto teritorijos bendrojo plano koregavimo planavimo darbų programos patvirtinimo“</w:t>
            </w:r>
          </w:p>
        </w:tc>
      </w:tr>
      <w:tr w:rsidR="00C85778" w:rsidRPr="007455A9" w14:paraId="127FFD3D" w14:textId="77777777" w:rsidTr="009943EE">
        <w:trPr>
          <w:trHeight w:val="196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6233BA7" w14:textId="77777777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2. Rengimo etapas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07BE3" w14:textId="77777777" w:rsidR="00C85778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2.1.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esamos būklės įvertinimas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– atsižvelgiant į teritorijų planavimo lygmenis, rengiamo teritorijų planavimo dokumento tikslus ir uždavinius, patvirtintą planavimo darbų programą,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atliekamas teritorijos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gamtinės, demografinės, socialinės, kraštovaizdžio, gamtos ir nekilnojamojo kultūros paveldo apsaugos, aplinkos apsaugos, visuomenės sveikatos saugos, inžinerinės ir ekonominės būklės, valstybės ir viešojo saugumo, krašto apsaugos reikmių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vertinimas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, teritorijos vystymo tendencijų, probleminių situacijų ar (ir) arealų nustatymas, teisės aktų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vertinimas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.</w:t>
            </w:r>
          </w:p>
          <w:p w14:paraId="70B46FCC" w14:textId="5040C6B5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Vyriausybės nustatyta tvarka nustatoma ar bus atliekamas SPAV</w:t>
            </w:r>
            <w:r w:rsidR="00866194">
              <w:rPr>
                <w:rFonts w:cs="Times New Roman"/>
                <w:sz w:val="20"/>
                <w:szCs w:val="20"/>
                <w:lang w:eastAsia="lt-LT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E828" w14:textId="5FC6C0E6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2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3AE4" w14:textId="354F259E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2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DA6939" w14:textId="77777777" w:rsidR="00C85778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>Etapo stadijos pabaiga fiksuojama Užsakovo ir Tiekėjo pasirašomu  protokolu, kuriame aprašomas analizės duomenų aptarimas, užfiksuojant aptarimo dalyvių pastabas ir pageidavimus.</w:t>
            </w:r>
            <w:r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</w:p>
          <w:p w14:paraId="27D787C3" w14:textId="01705786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SPAV atlikimas pagal išduotas planavimo sąlygas.</w:t>
            </w:r>
          </w:p>
        </w:tc>
      </w:tr>
      <w:tr w:rsidR="00C85778" w:rsidRPr="007455A9" w14:paraId="2A69E2FF" w14:textId="77777777" w:rsidTr="009943EE">
        <w:trPr>
          <w:trHeight w:val="2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C5E1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35D5" w14:textId="4B7E5E00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2.2.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 xml:space="preserve">bendrųjų sprendinių formavimas – 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[...], nustatomos svarbiausios teritorijos vystymo kryptys, parengiama koncepcija</w:t>
            </w:r>
            <w:r w:rsidR="00BF22AA">
              <w:rPr>
                <w:rFonts w:cs="Times New Roman"/>
                <w:sz w:val="20"/>
                <w:szCs w:val="20"/>
                <w:lang w:eastAsia="lt-LT"/>
              </w:rPr>
              <w:t>, jei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planavimo darbų programoje numatyta ją rengti</w:t>
            </w:r>
            <w:r w:rsidR="00BF22AA">
              <w:rPr>
                <w:rFonts w:cs="Times New Roman"/>
                <w:sz w:val="20"/>
                <w:szCs w:val="20"/>
                <w:lang w:eastAsia="lt-LT"/>
              </w:rPr>
              <w:t xml:space="preserve"> (nenumatyta).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</w:t>
            </w:r>
            <w:r w:rsidRPr="00264ADA">
              <w:rPr>
                <w:rFonts w:cs="Times New Roman"/>
                <w:sz w:val="20"/>
                <w:szCs w:val="20"/>
                <w:lang w:eastAsia="lt-LT"/>
              </w:rPr>
              <w:t>SPAV</w:t>
            </w:r>
            <w:r w:rsidR="00BF22AA" w:rsidRPr="00264ADA">
              <w:rPr>
                <w:rFonts w:cs="Times New Roman"/>
                <w:sz w:val="20"/>
                <w:szCs w:val="20"/>
                <w:lang w:eastAsia="lt-LT"/>
              </w:rPr>
              <w:t xml:space="preserve"> ar SPAV atranka rengiami pagal poreikį</w:t>
            </w:r>
            <w:r w:rsidR="00BF22AA">
              <w:rPr>
                <w:rFonts w:cs="Times New Roman"/>
                <w:sz w:val="20"/>
                <w:szCs w:val="20"/>
                <w:lang w:eastAsia="lt-LT"/>
              </w:rPr>
              <w:t xml:space="preserve"> (pagal planavimo sąlygas išdavusių institucijų reikalavimus)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, parengiamuoju etapu priimamas sprendimas šį vertinimą atlikti. Šioje stadijoje teritorijų planavimo dokumentų rengėjas gali kreiptis į teritorijos planavimo sąlygas išdavusias institucijas dėl teritorijos planavimo sąlygų įvykdymo, o teritorijos planavimo sąlygas išdavusios institucijos šiuo atveju privalo teikti konsultacijas.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1833" w14:textId="599EFF5C" w:rsidR="00C85778" w:rsidRPr="007455A9" w:rsidRDefault="00BF22AA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2</w:t>
            </w:r>
            <w:r w:rsidR="00C85778"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450D" w14:textId="6903CA87" w:rsidR="00C85778" w:rsidRPr="007455A9" w:rsidRDefault="00BF22AA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2</w:t>
            </w:r>
            <w:r w:rsidR="00C85778"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B565" w14:textId="393E0C7D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Sprendiniai aptarimui pateikiami ne vėliau, kaip per 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>3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 nuo paslaugų pirkimo sutarties pasirašymo dienos. Etapo pabaiga fiksuojama Užsakovo ir Tiekėjo pasirašomu  protokolu, kuriame pateikiam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>o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s analizės duomenų aptarimo metu pareikštos pastabos ir Jurbarko rajono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 xml:space="preserve"> vyriausiojo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architekt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>o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pritarim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>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C85778" w:rsidRPr="007455A9" w14:paraId="1CBD2EDC" w14:textId="77777777" w:rsidTr="009943EE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361B6A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C695FD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2.3.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 xml:space="preserve">sprendinių konkretizavimas 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– atsižvelgiant į teritorijų planavimo lygmenis, planavimo tikslus ir uždavinius, parengiami teritorijų planavimo dokumentų konkretūs sprendiniai, kuriuose nustatomos privalomosios nuostatos, privalomieji reikalavimai ar teritorijos naudojimo reglamentai.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D4A4" w14:textId="32B8D83E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2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6739" w14:textId="2A5A3886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2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5457E7" w14:textId="275B6375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Sprendiniai sukonkretinami ne vėliau, kaip per 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>5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 nuo paslaugų pirkimo sutarties pasirašymo dienos. Etapo pabaiga fiksuojama Užsakovo ir Tiekėjo pasirašomu  protokolu, kuriame pateikiamas sukonkretintų sprendinių aptarimas ir Jurbarko rajono 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 xml:space="preserve">vyriausiojo 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>architekt</w:t>
            </w:r>
            <w:r w:rsidR="0042094B">
              <w:rPr>
                <w:rFonts w:cs="Times New Roman"/>
                <w:sz w:val="20"/>
                <w:szCs w:val="20"/>
                <w:lang w:eastAsia="lt-LT"/>
              </w:rPr>
              <w:t>o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pritarimas.</w:t>
            </w:r>
          </w:p>
        </w:tc>
      </w:tr>
      <w:tr w:rsidR="00C85778" w:rsidRPr="007455A9" w14:paraId="5272F834" w14:textId="77777777" w:rsidTr="009943EE">
        <w:trPr>
          <w:trHeight w:val="11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0BB5DCE" w14:textId="77777777" w:rsidR="00C85778" w:rsidRPr="007455A9" w:rsidRDefault="00C85778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III. Baigiamasis etapas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5DEF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3.1. kompleksinio teritorijų planavimo dokumento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sprendinių viešinimas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– supažindinimas su parengtu teritorijų planavimo dokumentu, pasiūlymų nagrinėjimas ir konsultavimasis arba viešas svarstymas;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27935" w14:textId="57ADB219" w:rsidR="00C85778" w:rsidRPr="007455A9" w:rsidRDefault="00BF22AA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3</w:t>
            </w:r>
            <w:r w:rsidR="00C85778"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0C8DC" w14:textId="48922968" w:rsidR="00C85778" w:rsidRPr="007455A9" w:rsidRDefault="00BF22AA" w:rsidP="00511926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3</w:t>
            </w:r>
            <w:r w:rsidR="00C85778" w:rsidRPr="007455A9">
              <w:rPr>
                <w:rFonts w:cs="Times New Roman"/>
                <w:sz w:val="20"/>
                <w:szCs w:val="20"/>
                <w:lang w:eastAsia="lt-LT"/>
              </w:rPr>
              <w:t xml:space="preserve"> mėn.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837CED" w14:textId="20AEF0E8" w:rsidR="00C85778" w:rsidRPr="007455A9" w:rsidRDefault="0042094B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Atlikus dokumento sprendinių viešinimo, derinimo ir tikrinimo procedūras, koreguotas bendrasis</w:t>
            </w:r>
            <w:r w:rsidR="00C85778" w:rsidRPr="007455A9">
              <w:rPr>
                <w:rFonts w:cs="Times New Roman"/>
                <w:sz w:val="20"/>
                <w:szCs w:val="20"/>
                <w:lang w:eastAsia="lt-LT"/>
              </w:rPr>
              <w:t xml:space="preserve"> planas teikiamas tvirtinti Jurbarko rajono savivaldybės tarybai.</w:t>
            </w:r>
          </w:p>
          <w:p w14:paraId="73FBAE33" w14:textId="77777777" w:rsidR="00C85778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br/>
            </w:r>
            <w:r w:rsidRPr="009943EE">
              <w:rPr>
                <w:rFonts w:cs="Times New Roman"/>
                <w:sz w:val="20"/>
                <w:szCs w:val="20"/>
                <w:lang w:eastAsia="lt-LT"/>
              </w:rPr>
              <w:t>Etapo pabaiga fiksuojama, kai Bendr</w:t>
            </w:r>
            <w:r w:rsidR="0042094B" w:rsidRPr="009943EE">
              <w:rPr>
                <w:rFonts w:cs="Times New Roman"/>
                <w:sz w:val="20"/>
                <w:szCs w:val="20"/>
                <w:lang w:eastAsia="lt-LT"/>
              </w:rPr>
              <w:t>ojo</w:t>
            </w:r>
            <w:r w:rsidRPr="009943EE">
              <w:rPr>
                <w:rFonts w:cs="Times New Roman"/>
                <w:sz w:val="20"/>
                <w:szCs w:val="20"/>
                <w:lang w:eastAsia="lt-LT"/>
              </w:rPr>
              <w:t xml:space="preserve"> plan</w:t>
            </w:r>
            <w:r w:rsidR="0042094B" w:rsidRPr="009943EE">
              <w:rPr>
                <w:rFonts w:cs="Times New Roman"/>
                <w:sz w:val="20"/>
                <w:szCs w:val="20"/>
                <w:lang w:eastAsia="lt-LT"/>
              </w:rPr>
              <w:t>o koregavimas</w:t>
            </w:r>
            <w:r w:rsidRPr="009943EE">
              <w:rPr>
                <w:rFonts w:cs="Times New Roman"/>
                <w:sz w:val="20"/>
                <w:szCs w:val="20"/>
                <w:lang w:eastAsia="lt-LT"/>
              </w:rPr>
              <w:t xml:space="preserve">  patvirtinamas</w:t>
            </w:r>
            <w:r w:rsidR="0042094B" w:rsidRPr="009943EE">
              <w:rPr>
                <w:rFonts w:cs="Times New Roman"/>
                <w:sz w:val="20"/>
                <w:szCs w:val="20"/>
                <w:lang w:eastAsia="lt-LT"/>
              </w:rPr>
              <w:t xml:space="preserve"> ir </w:t>
            </w:r>
            <w:r w:rsidRPr="009943EE">
              <w:rPr>
                <w:rFonts w:cs="Times New Roman"/>
                <w:sz w:val="20"/>
                <w:szCs w:val="20"/>
                <w:lang w:eastAsia="lt-LT"/>
              </w:rPr>
              <w:t>užregistruojamas TPDRIS.</w:t>
            </w:r>
          </w:p>
          <w:p w14:paraId="32689CD2" w14:textId="77777777" w:rsidR="00BF22AA" w:rsidRDefault="00BF22AA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  <w:p w14:paraId="6B5C63F1" w14:textId="51799238" w:rsidR="00BF22AA" w:rsidRPr="007455A9" w:rsidRDefault="00BF22AA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>
              <w:rPr>
                <w:rFonts w:cs="Times New Roman"/>
                <w:sz w:val="20"/>
                <w:szCs w:val="20"/>
                <w:lang w:eastAsia="lt-LT"/>
              </w:rPr>
              <w:t>K</w:t>
            </w:r>
            <w:r w:rsidRPr="00BF22AA">
              <w:rPr>
                <w:rFonts w:cs="Times New Roman"/>
                <w:sz w:val="20"/>
                <w:szCs w:val="20"/>
                <w:lang w:eastAsia="lt-LT"/>
              </w:rPr>
              <w:t>ompleksinio teritorijų planavimo dokumento tvirtinim</w:t>
            </w:r>
            <w:r>
              <w:rPr>
                <w:rFonts w:cs="Times New Roman"/>
                <w:sz w:val="20"/>
                <w:szCs w:val="20"/>
                <w:lang w:eastAsia="lt-LT"/>
              </w:rPr>
              <w:t>ą</w:t>
            </w:r>
            <w:r w:rsidRPr="00BF22AA">
              <w:rPr>
                <w:rFonts w:cs="Times New Roman"/>
                <w:sz w:val="20"/>
                <w:szCs w:val="20"/>
                <w:lang w:eastAsia="lt-LT"/>
              </w:rPr>
              <w:t xml:space="preserve"> ir registravim</w:t>
            </w:r>
            <w:r>
              <w:rPr>
                <w:rFonts w:cs="Times New Roman"/>
                <w:sz w:val="20"/>
                <w:szCs w:val="20"/>
                <w:lang w:eastAsia="lt-LT"/>
              </w:rPr>
              <w:t>ą</w:t>
            </w:r>
            <w:r w:rsidRPr="00BF22AA">
              <w:rPr>
                <w:rFonts w:cs="Times New Roman"/>
                <w:sz w:val="20"/>
                <w:szCs w:val="20"/>
                <w:lang w:eastAsia="lt-LT"/>
              </w:rPr>
              <w:t xml:space="preserve"> Lietuvos Respublikos teritorijų planavimo dokumentų registre</w:t>
            </w:r>
            <w:r>
              <w:rPr>
                <w:rFonts w:cs="Times New Roman"/>
                <w:sz w:val="20"/>
                <w:szCs w:val="20"/>
                <w:lang w:eastAsia="lt-LT"/>
              </w:rPr>
              <w:t xml:space="preserve"> atliks užsakovas.</w:t>
            </w:r>
          </w:p>
        </w:tc>
      </w:tr>
      <w:tr w:rsidR="00C85778" w:rsidRPr="007455A9" w14:paraId="2A2074B7" w14:textId="77777777" w:rsidTr="009943EE">
        <w:trPr>
          <w:trHeight w:val="9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8D336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B7CCF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3.2. kompleksinio teritorijų planavimo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dokumento derinimas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teritorijų planavimo dokumentą derinančiose institucijose ar Teritorijų planavimo komisijoje;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FE1E5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A0014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C6A22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</w:tr>
      <w:tr w:rsidR="00C85778" w:rsidRPr="007455A9" w14:paraId="51656EC2" w14:textId="77777777" w:rsidTr="009943E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A6C91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93D996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3.3. kompleksinio teritorijų planavimo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dokumento tikrinimas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teritorijų planavimo valstybinę priežiūrą atliekančioje institucijoje;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EF9FA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8C548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6C722F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</w:tr>
      <w:tr w:rsidR="00C85778" w:rsidRPr="007455A9" w14:paraId="569FF0EB" w14:textId="77777777" w:rsidTr="009943EE">
        <w:trPr>
          <w:trHeight w:val="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6E1B7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1E1023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3.4. kompleksinio teritorijų planavimo </w:t>
            </w:r>
            <w:r w:rsidRPr="007455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dokumento tvirtinimas ir registravimas</w:t>
            </w:r>
            <w:r w:rsidRPr="007455A9">
              <w:rPr>
                <w:rFonts w:cs="Times New Roman"/>
                <w:sz w:val="20"/>
                <w:szCs w:val="20"/>
                <w:lang w:eastAsia="lt-LT"/>
              </w:rPr>
              <w:t xml:space="preserve"> Lietuvos Respublikos teritorijų planavimo dokumentų registre.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DBC59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F6D90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ADEBE" w14:textId="77777777" w:rsidR="00C85778" w:rsidRPr="007455A9" w:rsidRDefault="00C85778" w:rsidP="00511926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</w:p>
        </w:tc>
      </w:tr>
    </w:tbl>
    <w:p w14:paraId="50EA55AA" w14:textId="77777777" w:rsidR="00D86B17" w:rsidRPr="007455A9" w:rsidRDefault="00D86B17" w:rsidP="00D86B17">
      <w:pPr>
        <w:suppressAutoHyphens w:val="0"/>
        <w:spacing w:after="0"/>
        <w:jc w:val="center"/>
        <w:rPr>
          <w:rFonts w:eastAsia="SimSun" w:cs="Times New Roman"/>
          <w:b/>
          <w:szCs w:val="24"/>
          <w:lang w:eastAsia="zh-CN"/>
        </w:rPr>
      </w:pPr>
    </w:p>
    <w:p w14:paraId="48E542FC" w14:textId="77777777" w:rsidR="00D86B17" w:rsidRPr="007455A9" w:rsidRDefault="00D86B17" w:rsidP="00D86B17">
      <w:pPr>
        <w:suppressAutoHyphens w:val="0"/>
        <w:spacing w:after="0"/>
        <w:jc w:val="center"/>
        <w:rPr>
          <w:rFonts w:eastAsia="SimSun" w:cs="Times New Roman"/>
          <w:b/>
          <w:szCs w:val="24"/>
          <w:lang w:eastAsia="zh-CN"/>
        </w:rPr>
      </w:pPr>
    </w:p>
    <w:p w14:paraId="254E75B0" w14:textId="77777777" w:rsidR="003463D6" w:rsidRDefault="003463D6"/>
    <w:sectPr w:rsidR="003463D6" w:rsidSect="009943EE">
      <w:pgSz w:w="16838" w:h="11906" w:orient="landscape"/>
      <w:pgMar w:top="1701" w:right="167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B84C280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3977"/>
        </w:tabs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3977"/>
        </w:tabs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5561"/>
        </w:tabs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5705"/>
        </w:tabs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5849"/>
        </w:tabs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993"/>
        </w:tabs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6137"/>
        </w:tabs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6281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54"/>
    <w:rsid w:val="00054854"/>
    <w:rsid w:val="000E5928"/>
    <w:rsid w:val="00264ADA"/>
    <w:rsid w:val="003463D6"/>
    <w:rsid w:val="0042094B"/>
    <w:rsid w:val="007662C1"/>
    <w:rsid w:val="00866194"/>
    <w:rsid w:val="009943EE"/>
    <w:rsid w:val="00BE150C"/>
    <w:rsid w:val="00BF22AA"/>
    <w:rsid w:val="00C730A6"/>
    <w:rsid w:val="00C85778"/>
    <w:rsid w:val="00D86B17"/>
    <w:rsid w:val="00E3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2156"/>
  <w15:chartTrackingRefBased/>
  <w15:docId w15:val="{543D3D02-CBAE-4DAF-8DAC-09F47C4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86B17"/>
    <w:pPr>
      <w:suppressAutoHyphens/>
      <w:spacing w:after="200" w:line="276" w:lineRule="auto"/>
    </w:pPr>
    <w:rPr>
      <w:rFonts w:eastAsia="Times New Roman" w:cs="Calibri"/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86B17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D86B17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86B1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86B17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86B17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86B17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86B17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86B17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86B17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D86B17"/>
    <w:rPr>
      <w:rFonts w:eastAsia="Times New Roman" w:cs="Calibri"/>
      <w:sz w:val="28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D86B17"/>
    <w:rPr>
      <w:rFonts w:eastAsia="Times New Roman" w:cs="Calibri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86B17"/>
    <w:rPr>
      <w:rFonts w:eastAsia="Times New Roman" w:cs="Calibri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86B17"/>
    <w:rPr>
      <w:rFonts w:eastAsia="Times New Roman"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86B17"/>
    <w:rPr>
      <w:rFonts w:eastAsia="Times New Roman"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86B17"/>
    <w:rPr>
      <w:rFonts w:eastAsia="Times New Roman"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86B17"/>
    <w:rPr>
      <w:rFonts w:eastAsia="Times New Roman"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86B17"/>
    <w:rPr>
      <w:rFonts w:eastAsia="Times New Roman"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86B17"/>
    <w:rPr>
      <w:rFonts w:eastAsia="Times New Roman" w:cs="Calibri"/>
      <w:sz w:val="40"/>
      <w:szCs w:val="20"/>
      <w:lang w:eastAsia="ar-SA"/>
    </w:rPr>
  </w:style>
  <w:style w:type="paragraph" w:customStyle="1" w:styleId="linija">
    <w:name w:val="linija"/>
    <w:basedOn w:val="prastasis"/>
    <w:uiPriority w:val="99"/>
    <w:rsid w:val="00D86B17"/>
    <w:pPr>
      <w:spacing w:before="280" w:after="28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8121-EBA5-4A7E-A200-751BC94C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3163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Unguraitytė Teis</dc:creator>
  <cp:keywords/>
  <dc:description/>
  <cp:lastModifiedBy>Milda Unguraitytė Teis</cp:lastModifiedBy>
  <cp:revision>7</cp:revision>
  <dcterms:created xsi:type="dcterms:W3CDTF">2026-04-30T08:45:00Z</dcterms:created>
  <dcterms:modified xsi:type="dcterms:W3CDTF">2026-05-13T10:19:00Z</dcterms:modified>
</cp:coreProperties>
</file>