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6B02B6" w:rsidRDefault="006B02B6" w:rsidP="00B35758">
      <w:pPr>
        <w:jc w:val="center"/>
        <w:rPr>
          <w:sz w:val="22"/>
          <w:szCs w:val="22"/>
        </w:rPr>
      </w:pPr>
    </w:p>
    <w:p w:rsidR="00B35758" w:rsidRDefault="006B02B6" w:rsidP="00B35758">
      <w:pPr>
        <w:jc w:val="center"/>
        <w:rPr>
          <w:sz w:val="22"/>
          <w:szCs w:val="22"/>
        </w:rPr>
      </w:pPr>
      <w:r>
        <w:rPr>
          <w:sz w:val="22"/>
          <w:szCs w:val="22"/>
        </w:rPr>
        <w:t>TARPTAUTINIO VIEŠOJO KONKURSO</w:t>
      </w:r>
    </w:p>
    <w:p w:rsidR="006672BD" w:rsidRPr="007A7217" w:rsidRDefault="006672BD" w:rsidP="00B35758">
      <w:pPr>
        <w:jc w:val="center"/>
        <w:rPr>
          <w:sz w:val="22"/>
          <w:szCs w:val="22"/>
        </w:rPr>
      </w:pPr>
    </w:p>
    <w:p w:rsidR="00F534D6" w:rsidRPr="00F534D6" w:rsidRDefault="006248E8" w:rsidP="00F534D6">
      <w:pPr>
        <w:jc w:val="center"/>
        <w:rPr>
          <w:b/>
          <w:sz w:val="22"/>
          <w:szCs w:val="22"/>
        </w:rPr>
      </w:pPr>
      <w:r w:rsidRPr="006248E8">
        <w:rPr>
          <w:b/>
          <w:bCs/>
          <w:sz w:val="22"/>
          <w:szCs w:val="22"/>
        </w:rPr>
        <w:t>Elektrochirurgijos prietaisas su priedais, videoendoskopinė sistema su priedais ir universalus operacinis stalas</w:t>
      </w:r>
    </w:p>
    <w:p w:rsidR="00B35758" w:rsidRDefault="00B35758" w:rsidP="00B35758">
      <w:pPr>
        <w:jc w:val="center"/>
        <w:rPr>
          <w:sz w:val="22"/>
          <w:szCs w:val="22"/>
        </w:rPr>
      </w:pPr>
      <w:r w:rsidRPr="006B02B6">
        <w:rPr>
          <w:sz w:val="22"/>
          <w:szCs w:val="22"/>
        </w:rPr>
        <w:t>ATVIRO KONKURSO SĄLYGOS</w:t>
      </w:r>
    </w:p>
    <w:p w:rsidR="006672BD" w:rsidRPr="006B02B6" w:rsidRDefault="006672BD" w:rsidP="00B35758">
      <w:pPr>
        <w:jc w:val="center"/>
        <w:rPr>
          <w:sz w:val="22"/>
          <w:szCs w:val="22"/>
        </w:rPr>
      </w:pPr>
    </w:p>
    <w:p w:rsidR="00E17DFB" w:rsidRPr="006B02B6" w:rsidRDefault="00E17DFB"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6640AF" w:rsidP="00B35758">
            <w:pPr>
              <w:jc w:val="both"/>
              <w:rPr>
                <w:sz w:val="22"/>
                <w:szCs w:val="22"/>
              </w:rPr>
            </w:pPr>
            <w:r w:rsidRPr="006640AF">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6248E8">
        <w:rPr>
          <w:bCs/>
          <w:sz w:val="22"/>
          <w:szCs w:val="22"/>
        </w:rPr>
        <w:t>Sutarties projektas_med.</w:t>
      </w:r>
      <w:r w:rsidR="00F534D6" w:rsidRPr="00F534D6">
        <w:rPr>
          <w:bCs/>
          <w:sz w:val="22"/>
          <w:szCs w:val="22"/>
        </w:rPr>
        <w:t xml:space="preserve"> įranga;</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8765C5" w:rsidRPr="008765C5">
        <w:rPr>
          <w:sz w:val="22"/>
          <w:szCs w:val="22"/>
          <w:lang w:eastAsia="lt-LT"/>
        </w:rPr>
        <w:t>Tiekėjo deklaracija dėl (ne)atitikties Reglamento nuostatoms</w:t>
      </w:r>
      <w:r w:rsidR="00FB60FF">
        <w:rPr>
          <w:sz w:val="22"/>
          <w:szCs w:val="22"/>
          <w:lang w:eastAsia="lt-LT"/>
        </w:rPr>
        <w:t>;</w:t>
      </w:r>
    </w:p>
    <w:p w:rsidR="008B46BF" w:rsidRDefault="004B4397" w:rsidP="006C16A2">
      <w:pPr>
        <w:ind w:left="-907" w:firstLine="907"/>
        <w:rPr>
          <w:sz w:val="22"/>
          <w:szCs w:val="22"/>
          <w:lang w:eastAsia="lt-LT"/>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r w:rsidR="00F534D6">
        <w:rPr>
          <w:sz w:val="22"/>
          <w:szCs w:val="22"/>
          <w:lang w:eastAsia="lt-LT"/>
        </w:rPr>
        <w:t>.</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FF4146">
        <w:rPr>
          <w:rFonts w:cs="Times New Roman"/>
          <w:b/>
          <w:bCs/>
          <w:color w:val="548DD4" w:themeColor="text2" w:themeTint="99"/>
          <w:sz w:val="22"/>
          <w:szCs w:val="22"/>
          <w:lang w:val="lt-LT"/>
        </w:rPr>
        <w:t>elektrochirurgijos prietaisą</w:t>
      </w:r>
      <w:r w:rsidR="00FF4146" w:rsidRPr="00FF4146">
        <w:rPr>
          <w:rFonts w:cs="Times New Roman"/>
          <w:b/>
          <w:bCs/>
          <w:color w:val="548DD4" w:themeColor="text2" w:themeTint="99"/>
          <w:sz w:val="22"/>
          <w:szCs w:val="22"/>
          <w:lang w:val="lt-LT"/>
        </w:rPr>
        <w:t xml:space="preserve"> su priedais, videoendoskopin</w:t>
      </w:r>
      <w:r w:rsidR="00FF4146">
        <w:rPr>
          <w:rFonts w:cs="Times New Roman"/>
          <w:b/>
          <w:bCs/>
          <w:color w:val="548DD4" w:themeColor="text2" w:themeTint="99"/>
          <w:sz w:val="22"/>
          <w:szCs w:val="22"/>
          <w:lang w:val="lt-LT"/>
        </w:rPr>
        <w:t>ę sistemą su priedais ir universalų operacinį stalą</w:t>
      </w:r>
      <w:r w:rsidR="00F534D6" w:rsidRPr="00F534D6">
        <w:rPr>
          <w:rFonts w:cs="Times New Roman"/>
          <w:b/>
          <w:color w:val="548DD4" w:themeColor="text2" w:themeTint="99"/>
          <w:sz w:val="22"/>
          <w:szCs w:val="22"/>
          <w:lang w:val="lt-LT"/>
        </w:rPr>
        <w:t xml:space="preserve"> </w:t>
      </w:r>
      <w:r w:rsidR="00FF4146">
        <w:rPr>
          <w:rFonts w:cs="Times New Roman"/>
          <w:color w:val="auto"/>
          <w:sz w:val="22"/>
          <w:szCs w:val="22"/>
          <w:lang w:val="lt-LT"/>
        </w:rPr>
        <w:t>(toliau - prekės)</w:t>
      </w:r>
      <w:r w:rsidR="005568D4" w:rsidRPr="005568D4">
        <w:rPr>
          <w:rFonts w:cs="Times New Roman"/>
          <w:color w:val="auto"/>
          <w:sz w:val="22"/>
          <w:szCs w:val="22"/>
          <w:lang w:val="lt-LT"/>
        </w:rPr>
        <w:t>.</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4021CE">
      <w:pPr>
        <w:pStyle w:val="Body2"/>
        <w:tabs>
          <w:tab w:val="left" w:pos="709"/>
        </w:tabs>
        <w:spacing w:after="0"/>
        <w:ind w:firstLine="567"/>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302EFB" w:rsidRPr="00302EFB">
        <w:rPr>
          <w:rFonts w:eastAsia="Arial Unicode MS"/>
          <w:b/>
          <w:bCs/>
          <w:color w:val="4F81BD" w:themeColor="accent1"/>
          <w:sz w:val="22"/>
          <w:szCs w:val="22"/>
          <w:bdr w:val="nil"/>
        </w:rPr>
        <w:t>elektrochirurgijos prietaisas su priedais, videoendoskopinė sistema su priedais ir universalus operacinis stalas</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B5324F">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771E37">
        <w:rPr>
          <w:rFonts w:eastAsia="Arial Unicode MS"/>
          <w:iCs/>
          <w:sz w:val="22"/>
          <w:szCs w:val="22"/>
          <w:bdr w:val="nil"/>
          <w:shd w:val="clear" w:color="auto" w:fill="FFFFFF"/>
        </w:rPr>
        <w:t>2026-0</w:t>
      </w:r>
      <w:r w:rsidR="00302EFB">
        <w:rPr>
          <w:rFonts w:eastAsia="Arial Unicode MS"/>
          <w:iCs/>
          <w:sz w:val="22"/>
          <w:szCs w:val="22"/>
          <w:bdr w:val="nil"/>
          <w:shd w:val="clear" w:color="auto" w:fill="FFFFFF"/>
        </w:rPr>
        <w:t>2</w:t>
      </w:r>
      <w:r w:rsidR="00771E37">
        <w:rPr>
          <w:rFonts w:eastAsia="Arial Unicode MS"/>
          <w:iCs/>
          <w:sz w:val="22"/>
          <w:szCs w:val="22"/>
          <w:bdr w:val="nil"/>
          <w:shd w:val="clear" w:color="auto" w:fill="FFFFFF"/>
        </w:rPr>
        <w:t>-0</w:t>
      </w:r>
      <w:r w:rsidR="00302EFB">
        <w:rPr>
          <w:rFonts w:eastAsia="Arial Unicode MS"/>
          <w:iCs/>
          <w:sz w:val="22"/>
          <w:szCs w:val="22"/>
          <w:bdr w:val="nil"/>
          <w:shd w:val="clear" w:color="auto" w:fill="FFFFFF"/>
        </w:rPr>
        <w:t>3</w:t>
      </w:r>
      <w:r w:rsidR="005E6B75" w:rsidRPr="005E6B7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 xml:space="preserve">Centrinėje viešųjų pirkimų informacinėje sistemoje (toliau – CVP IS) buvo viešai skelbta išankstinė rinkos konsultacija </w:t>
      </w:r>
      <w:r w:rsidR="005E6B75" w:rsidRPr="005E6B75">
        <w:rPr>
          <w:rFonts w:eastAsia="Arial Unicode MS"/>
          <w:iCs/>
          <w:sz w:val="22"/>
          <w:szCs w:val="22"/>
          <w:bdr w:val="nil"/>
          <w:shd w:val="clear" w:color="auto" w:fill="FFFFFF"/>
        </w:rPr>
        <w:t xml:space="preserve">dėl </w:t>
      </w:r>
      <w:r w:rsidR="00302EFB">
        <w:rPr>
          <w:rFonts w:eastAsia="Arial Unicode MS"/>
          <w:bCs/>
          <w:iCs/>
          <w:sz w:val="22"/>
          <w:szCs w:val="22"/>
          <w:bdr w:val="nil"/>
          <w:shd w:val="clear" w:color="auto" w:fill="FFFFFF"/>
        </w:rPr>
        <w:t>elektrochirurgijos prietaiso</w:t>
      </w:r>
      <w:r w:rsidR="00302EFB" w:rsidRPr="00302EFB">
        <w:rPr>
          <w:rFonts w:eastAsia="Arial Unicode MS"/>
          <w:bCs/>
          <w:iCs/>
          <w:sz w:val="22"/>
          <w:szCs w:val="22"/>
          <w:bdr w:val="nil"/>
          <w:shd w:val="clear" w:color="auto" w:fill="FFFFFF"/>
        </w:rPr>
        <w:t xml:space="preserve"> su priedais, videoendoskopinė</w:t>
      </w:r>
      <w:r w:rsidR="00302EFB">
        <w:rPr>
          <w:rFonts w:eastAsia="Arial Unicode MS"/>
          <w:bCs/>
          <w:iCs/>
          <w:sz w:val="22"/>
          <w:szCs w:val="22"/>
          <w:bdr w:val="nil"/>
          <w:shd w:val="clear" w:color="auto" w:fill="FFFFFF"/>
        </w:rPr>
        <w:t>s</w:t>
      </w:r>
      <w:r w:rsidR="00302EFB" w:rsidRPr="00302EFB">
        <w:rPr>
          <w:rFonts w:eastAsia="Arial Unicode MS"/>
          <w:bCs/>
          <w:iCs/>
          <w:sz w:val="22"/>
          <w:szCs w:val="22"/>
          <w:bdr w:val="nil"/>
          <w:shd w:val="clear" w:color="auto" w:fill="FFFFFF"/>
        </w:rPr>
        <w:t xml:space="preserve"> s</w:t>
      </w:r>
      <w:r w:rsidR="00302EFB">
        <w:rPr>
          <w:rFonts w:eastAsia="Arial Unicode MS"/>
          <w:bCs/>
          <w:iCs/>
          <w:sz w:val="22"/>
          <w:szCs w:val="22"/>
          <w:bdr w:val="nil"/>
          <w:shd w:val="clear" w:color="auto" w:fill="FFFFFF"/>
        </w:rPr>
        <w:t>istemos</w:t>
      </w:r>
      <w:r w:rsidR="00302EFB" w:rsidRPr="00302EFB">
        <w:rPr>
          <w:rFonts w:eastAsia="Arial Unicode MS"/>
          <w:bCs/>
          <w:iCs/>
          <w:sz w:val="22"/>
          <w:szCs w:val="22"/>
          <w:bdr w:val="nil"/>
          <w:shd w:val="clear" w:color="auto" w:fill="FFFFFF"/>
        </w:rPr>
        <w:t xml:space="preserve"> su priedais ir universal</w:t>
      </w:r>
      <w:r w:rsidR="00302EFB">
        <w:rPr>
          <w:rFonts w:eastAsia="Arial Unicode MS"/>
          <w:bCs/>
          <w:iCs/>
          <w:sz w:val="22"/>
          <w:szCs w:val="22"/>
          <w:bdr w:val="nil"/>
          <w:shd w:val="clear" w:color="auto" w:fill="FFFFFF"/>
        </w:rPr>
        <w:t>a</w:t>
      </w:r>
      <w:r w:rsidR="00302EFB" w:rsidRPr="00302EFB">
        <w:rPr>
          <w:rFonts w:eastAsia="Arial Unicode MS"/>
          <w:bCs/>
          <w:iCs/>
          <w:sz w:val="22"/>
          <w:szCs w:val="22"/>
          <w:bdr w:val="nil"/>
          <w:shd w:val="clear" w:color="auto" w:fill="FFFFFF"/>
        </w:rPr>
        <w:t>us operacini</w:t>
      </w:r>
      <w:r w:rsidR="00302EFB">
        <w:rPr>
          <w:rFonts w:eastAsia="Arial Unicode MS"/>
          <w:bCs/>
          <w:iCs/>
          <w:sz w:val="22"/>
          <w:szCs w:val="22"/>
          <w:bdr w:val="nil"/>
          <w:shd w:val="clear" w:color="auto" w:fill="FFFFFF"/>
        </w:rPr>
        <w:t>o stalo</w:t>
      </w:r>
      <w:r w:rsidR="00302EFB" w:rsidRPr="00302EFB">
        <w:rPr>
          <w:rFonts w:eastAsia="Arial Unicode MS"/>
          <w:bCs/>
          <w:iCs/>
          <w:sz w:val="22"/>
          <w:szCs w:val="22"/>
          <w:bdr w:val="nil"/>
          <w:shd w:val="clear" w:color="auto" w:fill="FFFFFF"/>
        </w:rPr>
        <w:t xml:space="preserve"> </w:t>
      </w:r>
      <w:r w:rsidR="001E5124">
        <w:rPr>
          <w:rFonts w:eastAsia="Arial Unicode MS"/>
          <w:sz w:val="22"/>
          <w:szCs w:val="22"/>
          <w:bdr w:val="nil"/>
          <w:shd w:val="clear" w:color="auto" w:fill="FFFFFF"/>
          <w:lang w:val="en-US"/>
        </w:rPr>
        <w:t>pirkimo</w:t>
      </w:r>
      <w:r w:rsidRPr="00820D86">
        <w:rPr>
          <w:rFonts w:eastAsia="Arial Unicode MS"/>
          <w:sz w:val="22"/>
          <w:szCs w:val="22"/>
          <w:bdr w:val="nil"/>
          <w:shd w:val="clear" w:color="auto" w:fill="FFFFFF"/>
          <w:lang w:val="en-US"/>
        </w:rPr>
        <w:t xml:space="preserve"> (Nr. </w:t>
      </w:r>
      <w:r w:rsidR="00302EFB">
        <w:rPr>
          <w:rFonts w:eastAsia="Arial Unicode MS"/>
          <w:i/>
          <w:iCs/>
          <w:sz w:val="22"/>
          <w:szCs w:val="22"/>
          <w:bdr w:val="nil"/>
          <w:shd w:val="clear" w:color="auto" w:fill="FFFFFF"/>
        </w:rPr>
        <w:t>6393486</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5D474B"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w:t>
      </w:r>
      <w:r w:rsidR="00820D86" w:rsidRPr="005D474B">
        <w:rPr>
          <w:rFonts w:eastAsia="Calibri"/>
          <w:color w:val="000000"/>
          <w:sz w:val="22"/>
          <w:szCs w:val="22"/>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5D474B">
        <w:rPr>
          <w:rFonts w:eastAsia="Calibri"/>
          <w:sz w:val="22"/>
          <w:szCs w:val="22"/>
        </w:rPr>
        <w:t xml:space="preserve">turi būti laikoma, kad kiekviena tokia nuoroda yra pateikta su žodžiais „arba lygiavertis“. </w:t>
      </w:r>
    </w:p>
    <w:p w:rsidR="005D474B" w:rsidRPr="005D474B" w:rsidRDefault="00AA47CC" w:rsidP="005D474B">
      <w:pPr>
        <w:tabs>
          <w:tab w:val="left" w:pos="993"/>
          <w:tab w:val="left" w:pos="1134"/>
          <w:tab w:val="left" w:pos="1276"/>
          <w:tab w:val="left" w:pos="1440"/>
          <w:tab w:val="left" w:pos="1560"/>
          <w:tab w:val="left" w:pos="2127"/>
        </w:tabs>
        <w:ind w:firstLine="567"/>
        <w:jc w:val="both"/>
        <w:rPr>
          <w:rFonts w:eastAsia="Arial Unicode MS"/>
          <w:b/>
          <w:sz w:val="22"/>
          <w:szCs w:val="22"/>
          <w:bdr w:val="nil"/>
          <w:lang w:val="en-US" w:eastAsia="ar-SA"/>
        </w:rPr>
      </w:pPr>
      <w:r w:rsidRPr="005D474B">
        <w:rPr>
          <w:sz w:val="22"/>
          <w:szCs w:val="22"/>
          <w:lang w:eastAsia="lt-LT"/>
        </w:rPr>
        <w:t xml:space="preserve">2.7. </w:t>
      </w:r>
      <w:r w:rsidR="00B5324F">
        <w:rPr>
          <w:rFonts w:eastAsia="Arial Unicode MS"/>
          <w:sz w:val="22"/>
          <w:szCs w:val="22"/>
          <w:bdr w:val="nil"/>
          <w:lang w:val="en-US"/>
        </w:rPr>
        <w:t>Šis pirkimas skaidomas į tris</w:t>
      </w:r>
      <w:r w:rsidR="005D474B" w:rsidRPr="005D474B">
        <w:rPr>
          <w:rFonts w:eastAsia="Arial Unicode MS"/>
          <w:sz w:val="22"/>
          <w:szCs w:val="22"/>
          <w:bdr w:val="nil"/>
          <w:lang w:val="en-US"/>
        </w:rPr>
        <w:t xml:space="preserve"> atskiras pirkimo </w:t>
      </w:r>
      <w:proofErr w:type="gramStart"/>
      <w:r w:rsidR="005D474B" w:rsidRPr="005D474B">
        <w:rPr>
          <w:rFonts w:eastAsia="Arial Unicode MS"/>
          <w:sz w:val="22"/>
          <w:szCs w:val="22"/>
          <w:bdr w:val="nil"/>
          <w:lang w:val="en-US"/>
        </w:rPr>
        <w:t>dalis</w:t>
      </w:r>
      <w:proofErr w:type="gramEnd"/>
      <w:r w:rsidR="005D474B" w:rsidRPr="005D474B">
        <w:rPr>
          <w:rFonts w:eastAsia="Arial Unicode MS"/>
          <w:sz w:val="22"/>
          <w:szCs w:val="22"/>
          <w:bdr w:val="nil"/>
          <w:lang w:val="en-US"/>
        </w:rPr>
        <w:t>:</w:t>
      </w:r>
    </w:p>
    <w:p w:rsidR="001134F3" w:rsidRPr="001134F3" w:rsidRDefault="001134F3"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t xml:space="preserve">2.7.1. </w:t>
      </w:r>
      <w:bookmarkStart w:id="0" w:name="_Hlk204853138"/>
      <w:r w:rsidR="00AF35CB" w:rsidRPr="00AF35CB">
        <w:rPr>
          <w:rFonts w:eastAsia="Arial Unicode MS"/>
          <w:bCs/>
          <w:sz w:val="22"/>
          <w:szCs w:val="22"/>
          <w:bdr w:val="nil"/>
          <w:lang w:eastAsia="ar-SA"/>
        </w:rPr>
        <w:t xml:space="preserve">Elektrochirurgijos prietaisas su priedais </w:t>
      </w:r>
      <w:r w:rsidR="00D452DD">
        <w:rPr>
          <w:rFonts w:eastAsia="Arial Unicode MS"/>
          <w:bCs/>
          <w:sz w:val="22"/>
          <w:szCs w:val="22"/>
          <w:bdr w:val="nil"/>
          <w:lang w:eastAsia="ar-SA"/>
        </w:rPr>
        <w:t>– 1</w:t>
      </w:r>
      <w:r w:rsidR="00AF35CB">
        <w:rPr>
          <w:rFonts w:eastAsia="Arial Unicode MS"/>
          <w:bCs/>
          <w:sz w:val="22"/>
          <w:szCs w:val="22"/>
          <w:bdr w:val="nil"/>
          <w:lang w:eastAsia="ar-SA"/>
        </w:rPr>
        <w:t xml:space="preserve"> kompl</w:t>
      </w:r>
      <w:r w:rsidRPr="001134F3">
        <w:rPr>
          <w:rFonts w:eastAsia="Arial Unicode MS"/>
          <w:bCs/>
          <w:sz w:val="22"/>
          <w:szCs w:val="22"/>
          <w:bdr w:val="nil"/>
          <w:lang w:eastAsia="ar-SA"/>
        </w:rPr>
        <w:t>.</w:t>
      </w:r>
      <w:r>
        <w:rPr>
          <w:rFonts w:eastAsia="Arial Unicode MS"/>
          <w:bCs/>
          <w:sz w:val="22"/>
          <w:szCs w:val="22"/>
          <w:bdr w:val="nil"/>
          <w:lang w:eastAsia="ar-SA"/>
        </w:rPr>
        <w:t>;</w:t>
      </w:r>
    </w:p>
    <w:p w:rsidR="001134F3" w:rsidRDefault="001134F3"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sidRPr="001134F3">
        <w:rPr>
          <w:rFonts w:eastAsia="Arial Unicode MS"/>
          <w:bCs/>
          <w:sz w:val="22"/>
          <w:szCs w:val="22"/>
          <w:bdr w:val="nil"/>
          <w:lang w:eastAsia="ar-SA"/>
        </w:rPr>
        <w:t xml:space="preserve">2.7.2. </w:t>
      </w:r>
      <w:bookmarkEnd w:id="0"/>
      <w:r w:rsidR="00AF35CB" w:rsidRPr="00AF35CB">
        <w:rPr>
          <w:rFonts w:eastAsia="Arial Unicode MS"/>
          <w:bCs/>
          <w:sz w:val="22"/>
          <w:szCs w:val="22"/>
          <w:bdr w:val="nil"/>
          <w:lang w:eastAsia="ar-SA"/>
        </w:rPr>
        <w:t xml:space="preserve">Videoendoskopinė sistema su priedais </w:t>
      </w:r>
      <w:r w:rsidRPr="001134F3">
        <w:rPr>
          <w:rFonts w:eastAsia="Arial Unicode MS"/>
          <w:bCs/>
          <w:sz w:val="22"/>
          <w:szCs w:val="22"/>
          <w:bdr w:val="nil"/>
          <w:lang w:eastAsia="ar-SA"/>
        </w:rPr>
        <w:t xml:space="preserve">– </w:t>
      </w:r>
      <w:r w:rsidR="00466FC2">
        <w:rPr>
          <w:rFonts w:eastAsia="Arial Unicode MS"/>
          <w:bCs/>
          <w:sz w:val="22"/>
          <w:szCs w:val="22"/>
          <w:bdr w:val="nil"/>
          <w:lang w:eastAsia="ar-SA"/>
        </w:rPr>
        <w:t xml:space="preserve">1 </w:t>
      </w:r>
      <w:r w:rsidR="00AF35CB">
        <w:rPr>
          <w:rFonts w:eastAsia="Arial Unicode MS"/>
          <w:bCs/>
          <w:sz w:val="22"/>
          <w:szCs w:val="22"/>
          <w:bdr w:val="nil"/>
          <w:lang w:eastAsia="ar-SA"/>
        </w:rPr>
        <w:t>kompl</w:t>
      </w:r>
      <w:r w:rsidR="00466FC2">
        <w:rPr>
          <w:rFonts w:eastAsia="Arial Unicode MS"/>
          <w:bCs/>
          <w:sz w:val="22"/>
          <w:szCs w:val="22"/>
          <w:bdr w:val="nil"/>
          <w:lang w:eastAsia="ar-SA"/>
        </w:rPr>
        <w:t>;</w:t>
      </w:r>
    </w:p>
    <w:p w:rsidR="00466FC2" w:rsidRPr="001134F3" w:rsidRDefault="00466FC2"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t xml:space="preserve">2.7.3. </w:t>
      </w:r>
      <w:r w:rsidR="00AF35CB" w:rsidRPr="00AF35CB">
        <w:rPr>
          <w:rFonts w:eastAsia="Arial Unicode MS"/>
          <w:bCs/>
          <w:sz w:val="22"/>
          <w:szCs w:val="22"/>
          <w:bdr w:val="nil"/>
          <w:lang w:eastAsia="ar-SA"/>
        </w:rPr>
        <w:t xml:space="preserve">Universalus operacinis stalas </w:t>
      </w:r>
      <w:r w:rsidRPr="00466FC2">
        <w:rPr>
          <w:rFonts w:eastAsia="Arial Unicode MS"/>
          <w:bCs/>
          <w:sz w:val="22"/>
          <w:szCs w:val="22"/>
          <w:bdr w:val="nil"/>
          <w:lang w:eastAsia="ar-SA"/>
        </w:rPr>
        <w:t>– 1 vnt</w:t>
      </w:r>
      <w:r w:rsidR="00091EC0">
        <w:rPr>
          <w:rFonts w:eastAsia="Arial Unicode MS"/>
          <w:bCs/>
          <w:sz w:val="22"/>
          <w:szCs w:val="22"/>
          <w:bdr w:val="nil"/>
          <w:lang w:eastAsia="ar-SA"/>
        </w:rPr>
        <w:t>.</w:t>
      </w:r>
    </w:p>
    <w:p w:rsidR="00496057" w:rsidRPr="005D474B" w:rsidRDefault="00DD4507" w:rsidP="00AA47CC">
      <w:pPr>
        <w:tabs>
          <w:tab w:val="left" w:pos="993"/>
        </w:tabs>
        <w:ind w:firstLine="567"/>
        <w:jc w:val="both"/>
        <w:rPr>
          <w:sz w:val="22"/>
          <w:szCs w:val="22"/>
          <w:lang w:eastAsia="lt-LT"/>
        </w:rPr>
      </w:pPr>
      <w:r w:rsidRPr="00DD4507">
        <w:rPr>
          <w:sz w:val="22"/>
          <w:szCs w:val="22"/>
          <w:lang w:eastAsia="lt-LT"/>
        </w:rPr>
        <w:t xml:space="preserve">Dalyvis gali pateikti pasiūlymą vienai pirkimo daliai, </w:t>
      </w:r>
      <w:r w:rsidR="00091EC0">
        <w:rPr>
          <w:sz w:val="22"/>
          <w:szCs w:val="22"/>
          <w:lang w:eastAsia="lt-LT"/>
        </w:rPr>
        <w:t xml:space="preserve">kelioms pirkimo dalims, </w:t>
      </w:r>
      <w:r w:rsidRPr="00DD4507">
        <w:rPr>
          <w:sz w:val="22"/>
          <w:szCs w:val="22"/>
          <w:lang w:eastAsia="lt-LT"/>
        </w:rPr>
        <w:t>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5D474B">
        <w:rPr>
          <w:sz w:val="22"/>
          <w:szCs w:val="22"/>
          <w:lang w:eastAsia="ar-SA"/>
        </w:rPr>
        <w:lastRenderedPageBreak/>
        <w:t xml:space="preserve">2.8. </w:t>
      </w:r>
      <w:r w:rsidR="00794FD4" w:rsidRPr="005D474B">
        <w:rPr>
          <w:sz w:val="22"/>
          <w:szCs w:val="22"/>
          <w:lang w:eastAsia="ar-SA"/>
        </w:rPr>
        <w:t>Vykdomas žaliasis pirkimas vadovaujantis Aplinkos apsaugos kriterijų taikymo, vykdant žaliuosius pirkimus tvarkos aprašo, patvirtinto Lietuvos Respublikos Aplinkos ministro 2011</w:t>
      </w:r>
      <w:r w:rsidR="00794FD4" w:rsidRPr="006B2387">
        <w:rPr>
          <w:sz w:val="22"/>
          <w:szCs w:val="22"/>
          <w:lang w:eastAsia="ar-SA"/>
        </w:rPr>
        <w:t xml:space="preserve"> m. birželio 28 d. įsakymu Nr. </w:t>
      </w:r>
      <w:r w:rsidR="00794FD4" w:rsidRPr="00086228">
        <w:rPr>
          <w:sz w:val="22"/>
          <w:szCs w:val="22"/>
          <w:lang w:eastAsia="ar-SA"/>
        </w:rPr>
        <w:t>D1-508 „Dėl aplinkos apsaugos kriterijų taikymo, vykdant žaliuosius pirkimus, tvarkos aprašo patvirtinimo“, 4.4.4</w:t>
      </w:r>
      <w:r w:rsidR="00525048">
        <w:rPr>
          <w:sz w:val="22"/>
          <w:szCs w:val="22"/>
          <w:lang w:eastAsia="ar-SA"/>
        </w:rPr>
        <w:t>.4 punktu</w:t>
      </w:r>
      <w:r w:rsidR="00794FD4" w:rsidRPr="00086228">
        <w:rPr>
          <w:sz w:val="22"/>
          <w:szCs w:val="22"/>
          <w:lang w:eastAsia="ar-SA"/>
        </w:rPr>
        <w:t>.</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Pasiūlymai vertinami pagal kainos ir kokybės santykį</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D76892" w:rsidRPr="00D76892">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 xml:space="preserve">VPĮ straipsnis,  dalis, punktas bei EBVPD </w:t>
            </w:r>
            <w:r w:rsidRPr="006C16A2">
              <w:rPr>
                <w:rFonts w:ascii="Times New Roman" w:hAnsi="Times New Roman" w:cs="Times New Roman"/>
                <w:b/>
                <w:bCs/>
                <w:color w:val="000000"/>
                <w:lang w:eastAsia="lt-LT"/>
              </w:rPr>
              <w:lastRenderedPageBreak/>
              <w:t>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lastRenderedPageBreak/>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1) tiekėjo, kuris yra fizinis asmuo, per pastaruosius 5 metus buvo priimtas ir </w:t>
            </w:r>
            <w:r w:rsidRPr="00E718B5">
              <w:rPr>
                <w:rFonts w:ascii="Times New Roman" w:hAnsi="Times New Roman" w:cs="Times New Roman"/>
                <w:color w:val="000000"/>
                <w:lang w:eastAsia="lt-LT"/>
              </w:rPr>
              <w:lastRenderedPageBreak/>
              <w:t>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lastRenderedPageBreak/>
              <w:t>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Laikoma, kad atitinkamos padėties dėl interesų konflikto negalima ištaisyti, jeigu į interesų konfliktą patekę asmenys nulėmė viešojo pirkimo komisijos ar perkančiosios </w:t>
            </w:r>
            <w:r w:rsidRPr="00C54A7B">
              <w:rPr>
                <w:rFonts w:ascii="Times New Roman" w:hAnsi="Times New Roman" w:cs="Times New Roman"/>
                <w:color w:val="000000"/>
                <w:lang w:eastAsia="lt-LT"/>
              </w:rPr>
              <w:lastRenderedPageBreak/>
              <w:t>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F37F8" w:rsidRDefault="00CF37F8" w:rsidP="00C54A7B">
            <w:pPr>
              <w:suppressAutoHyphens/>
              <w:spacing w:after="40"/>
              <w:jc w:val="both"/>
              <w:rPr>
                <w:rFonts w:ascii="Times New Roman" w:hAnsi="Times New Roman" w:cs="Times New Roman"/>
                <w:color w:val="000000"/>
                <w:u w:val="single"/>
                <w:lang w:eastAsia="lt-LT"/>
              </w:rPr>
            </w:pPr>
            <w:r w:rsidRPr="00CF37F8">
              <w:rPr>
                <w:rStyle w:val="Hyperlink"/>
                <w:rFonts w:ascii="Times New Roman" w:hAnsi="Times New Roman" w:cs="Times New Roman"/>
                <w:lang w:eastAsia="lt-LT"/>
              </w:rPr>
              <w:t>https://vpt.lrv.lt/lt/nuorodos/kiti-duomenys/powerbi/melaginga-informacija-pateikusiu-tiekeju-sarasas-3/</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C54A7B">
              <w:rPr>
                <w:rFonts w:ascii="Times New Roman" w:hAnsi="Times New Roman" w:cs="Times New Roman"/>
                <w:color w:val="000000"/>
                <w:lang w:eastAsia="lt-LT"/>
              </w:rPr>
              <w:lastRenderedPageBreak/>
              <w:t>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F37F8" w:rsidRDefault="00CF37F8" w:rsidP="00C54A7B">
            <w:pPr>
              <w:suppressAutoHyphens/>
              <w:spacing w:after="40"/>
              <w:jc w:val="both"/>
              <w:rPr>
                <w:rFonts w:ascii="Times New Roman" w:hAnsi="Times New Roman" w:cs="Times New Roman"/>
                <w:color w:val="000000"/>
                <w:lang w:eastAsia="lt-LT"/>
              </w:rPr>
            </w:pPr>
            <w:r w:rsidRPr="00CF37F8">
              <w:rPr>
                <w:rStyle w:val="Hyperlink"/>
                <w:rFonts w:ascii="Times New Roman" w:hAnsi="Times New Roman" w:cs="Times New Roman"/>
                <w:lang w:eastAsia="lt-LT"/>
              </w:rPr>
              <w:t>https://vpt.lrv.lt/lt/nuorodos/kiti-duomenys/powerbi/nepatikimi-tiekejai-1/</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FF4146"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6"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FF4146" w:rsidP="007C37D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FF4146"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E76DB7" w:rsidRPr="007A7217" w:rsidRDefault="00E76DB7" w:rsidP="00E76DB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E76DB7" w:rsidRPr="007A7217" w:rsidRDefault="00E76DB7" w:rsidP="00E76DB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E76DB7" w:rsidRPr="007A7217" w:rsidRDefault="00E76DB7" w:rsidP="00E76DB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lastRenderedPageBreak/>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76DB7" w:rsidRPr="007A7217" w:rsidRDefault="00E76DB7" w:rsidP="00E76DB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E76DB7" w:rsidRDefault="00E76DB7" w:rsidP="00E76DB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76DB7" w:rsidRPr="004C11F7" w:rsidRDefault="00E76DB7" w:rsidP="00E76D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E76DB7" w:rsidRPr="004C11F7" w:rsidRDefault="00E76DB7" w:rsidP="00E76D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76DB7" w:rsidRPr="004C11F7" w:rsidRDefault="00E76DB7" w:rsidP="00E76DB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E76DB7" w:rsidRPr="004C11F7" w:rsidRDefault="00E76DB7" w:rsidP="00E76DB7">
      <w:pPr>
        <w:shd w:val="clear" w:color="auto" w:fill="FFFFFF"/>
        <w:ind w:left="-567" w:firstLine="1134"/>
        <w:jc w:val="both"/>
        <w:rPr>
          <w:b/>
          <w:sz w:val="22"/>
          <w:szCs w:val="22"/>
        </w:rPr>
      </w:pPr>
    </w:p>
    <w:p w:rsidR="00EB0348" w:rsidRDefault="00EB0348"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 xml:space="preserve">čioji organizacija. Tiekėjas turi pateikti dokumentus, įrodančius tokių išteklių </w:t>
      </w:r>
      <w:r w:rsidRPr="007A7217">
        <w:rPr>
          <w:rFonts w:cs="Times New Roman"/>
          <w:sz w:val="22"/>
          <w:szCs w:val="22"/>
        </w:rPr>
        <w:lastRenderedPageBreak/>
        <w:t>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804EDD" w:rsidRPr="00804EDD">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464DA7">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044FBA">
        <w:rPr>
          <w:rFonts w:cs="Times New Roman"/>
          <w:b/>
          <w:iCs/>
          <w:color w:val="548DD4" w:themeColor="text2" w:themeTint="99"/>
          <w:sz w:val="22"/>
          <w:szCs w:val="22"/>
        </w:rPr>
        <w:t>m. birželio</w:t>
      </w:r>
      <w:r w:rsidR="00E76DB7">
        <w:rPr>
          <w:rFonts w:cs="Times New Roman"/>
          <w:b/>
          <w:iCs/>
          <w:color w:val="548DD4" w:themeColor="text2" w:themeTint="99"/>
          <w:sz w:val="22"/>
          <w:szCs w:val="22"/>
        </w:rPr>
        <w:t xml:space="preserve"> 2</w:t>
      </w:r>
      <w:r w:rsidR="00044FBA">
        <w:rPr>
          <w:rFonts w:cs="Times New Roman"/>
          <w:b/>
          <w:iCs/>
          <w:color w:val="548DD4" w:themeColor="text2" w:themeTint="99"/>
          <w:sz w:val="22"/>
          <w:szCs w:val="22"/>
        </w:rPr>
        <w:t>2</w:t>
      </w:r>
      <w:r w:rsidRPr="0004206C">
        <w:rPr>
          <w:rFonts w:cs="Times New Roman"/>
          <w:b/>
          <w:iCs/>
          <w:color w:val="548DD4" w:themeColor="text2" w:themeTint="99"/>
          <w:sz w:val="22"/>
          <w:szCs w:val="22"/>
        </w:rPr>
        <w:t xml:space="preserve"> d. </w:t>
      </w:r>
      <w:r w:rsidR="002C59AF" w:rsidRPr="0004206C">
        <w:rPr>
          <w:rFonts w:cs="Times New Roman"/>
          <w:b/>
          <w:iCs/>
          <w:color w:val="548DD4" w:themeColor="text2" w:themeTint="99"/>
          <w:sz w:val="22"/>
          <w:szCs w:val="22"/>
        </w:rPr>
        <w:t>10</w:t>
      </w:r>
      <w:r w:rsidRPr="0004206C">
        <w:rPr>
          <w:rFonts w:cs="Times New Roman"/>
          <w:b/>
          <w:iCs/>
          <w:color w:val="548DD4" w:themeColor="text2" w:themeTint="99"/>
          <w:sz w:val="22"/>
          <w:szCs w:val="22"/>
        </w:rPr>
        <w:t xml:space="preserve"> val. 00</w:t>
      </w:r>
      <w:r w:rsidRPr="002C59AF">
        <w:rPr>
          <w:rFonts w:cs="Times New Roman"/>
          <w:b/>
          <w:iCs/>
          <w:color w:val="548DD4" w:themeColor="text2" w:themeTint="99"/>
          <w:sz w:val="22"/>
          <w:szCs w:val="22"/>
        </w:rPr>
        <w:t xml:space="preserve">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DC4FF6" w:rsidRPr="00B900A1" w:rsidRDefault="00DC4FF6" w:rsidP="00DC4FF6">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DC4FF6" w:rsidRPr="00B900A1" w:rsidRDefault="00DC4FF6" w:rsidP="00DC4FF6">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Pr="00B900A1">
        <w:rPr>
          <w:rFonts w:eastAsia="Arial Unicode MS"/>
          <w:sz w:val="22"/>
          <w:szCs w:val="22"/>
          <w:bdr w:val="nil"/>
          <w:lang w:val="it-IT"/>
        </w:rPr>
        <w:t>.</w:t>
      </w:r>
      <w:r w:rsidRPr="00B900A1">
        <w:rPr>
          <w:rFonts w:eastAsia="Arial Unicode MS"/>
          <w:sz w:val="22"/>
          <w:szCs w:val="22"/>
          <w:bdr w:val="nil"/>
          <w:lang w:val="en-US"/>
        </w:rPr>
        <w:t xml:space="preserve"> </w:t>
      </w:r>
      <w:r w:rsidRPr="00B900A1">
        <w:rPr>
          <w:rFonts w:eastAsia="Arial Unicode MS"/>
          <w:sz w:val="22"/>
          <w:szCs w:val="22"/>
          <w:bdr w:val="nil"/>
          <w:lang w:val="es-ES_tradnl"/>
        </w:rPr>
        <w:t>Europos bendrasis vie</w:t>
      </w:r>
      <w:r w:rsidRPr="00B900A1">
        <w:rPr>
          <w:rFonts w:eastAsia="Arial Unicode MS"/>
          <w:sz w:val="22"/>
          <w:szCs w:val="22"/>
          <w:bdr w:val="nil"/>
          <w:lang w:val="en-US"/>
        </w:rPr>
        <w:t>šųjų pirkimų dokumentas (EBVPD) parengtas pagal pirkimo sąlygų 5 priedą.</w:t>
      </w:r>
    </w:p>
    <w:p w:rsidR="00DC4FF6" w:rsidRPr="00B900A1" w:rsidRDefault="00DC4FF6" w:rsidP="00DC4FF6">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Pr="00B900A1">
        <w:rPr>
          <w:rFonts w:eastAsia="Arial Unicode MS"/>
          <w:sz w:val="22"/>
          <w:szCs w:val="22"/>
          <w:bdr w:val="nil"/>
          <w:lang w:val="it-IT"/>
        </w:rPr>
        <w:t>.</w:t>
      </w:r>
      <w:r w:rsidRPr="00B900A1">
        <w:rPr>
          <w:rFonts w:eastAsia="Arial Unicode MS"/>
          <w:sz w:val="22"/>
          <w:szCs w:val="22"/>
          <w:bdr w:val="nil"/>
          <w:lang w:val="en-US"/>
        </w:rPr>
        <w:t xml:space="preserve"> Jungtinės veiklos sutartis (jei taikoma);</w:t>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Pr>
          <w:rFonts w:eastAsia="Arial Unicode MS"/>
          <w:sz w:val="22"/>
          <w:szCs w:val="22"/>
          <w:bdr w:val="nil"/>
          <w:lang w:val="en-US" w:eastAsia="en-GB"/>
        </w:rPr>
        <w:t>5.11.4</w:t>
      </w:r>
      <w:r w:rsidRPr="00B900A1">
        <w:rPr>
          <w:rFonts w:eastAsia="Arial Unicode MS"/>
          <w:sz w:val="22"/>
          <w:szCs w:val="22"/>
          <w:bdr w:val="nil"/>
          <w:lang w:val="en-US" w:eastAsia="en-GB"/>
        </w:rPr>
        <w:t xml:space="preserve">. Įgaliojimas pasirašyti </w:t>
      </w:r>
      <w:r w:rsidRPr="00B900A1">
        <w:rPr>
          <w:rFonts w:eastAsia="Arial Unicode MS"/>
          <w:sz w:val="22"/>
          <w:szCs w:val="22"/>
          <w:bdr w:val="nil"/>
          <w:lang w:eastAsia="en-GB"/>
        </w:rPr>
        <w:t>pasiūlymą (jei taikoma);</w:t>
      </w:r>
      <w:r w:rsidRPr="00B900A1">
        <w:rPr>
          <w:rFonts w:eastAsia="Arial Unicode MS"/>
          <w:sz w:val="22"/>
          <w:szCs w:val="22"/>
          <w:bdr w:val="nil"/>
          <w:lang w:eastAsia="en-GB"/>
        </w:rPr>
        <w:tab/>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Pr>
          <w:rFonts w:eastAsia="Calibri"/>
          <w:color w:val="000000"/>
          <w:sz w:val="22"/>
          <w:szCs w:val="22"/>
          <w:bdr w:val="nil"/>
          <w:lang w:eastAsia="en-GB"/>
        </w:rPr>
        <w:t>5.11.5.</w:t>
      </w:r>
      <w:r w:rsidRPr="00B900A1">
        <w:rPr>
          <w:rFonts w:eastAsia="Calibri"/>
          <w:color w:val="000000"/>
          <w:sz w:val="22"/>
          <w:szCs w:val="22"/>
          <w:bdr w:val="nil"/>
          <w:lang w:eastAsia="en-GB"/>
        </w:rPr>
        <w:t xml:space="preserve"> Deklaracija dėl tiekėjo atsakingų asmenų (</w:t>
      </w:r>
      <w:r w:rsidRPr="00361148">
        <w:rPr>
          <w:rFonts w:eastAsia="Calibri"/>
          <w:color w:val="000000"/>
          <w:sz w:val="22"/>
          <w:szCs w:val="22"/>
          <w:bdr w:val="nil"/>
          <w:lang w:eastAsia="en-GB"/>
        </w:rPr>
        <w:t>2</w:t>
      </w:r>
      <w:r w:rsidRPr="00B900A1">
        <w:rPr>
          <w:rFonts w:eastAsia="Calibri"/>
          <w:color w:val="000000"/>
          <w:sz w:val="22"/>
          <w:szCs w:val="22"/>
          <w:bdr w:val="nil"/>
          <w:lang w:eastAsia="en-GB"/>
        </w:rPr>
        <w:t xml:space="preserve"> priedas);</w:t>
      </w:r>
    </w:p>
    <w:p w:rsidR="00DC4FF6" w:rsidRDefault="00DC4FF6" w:rsidP="00DC4FF6">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Pr="00424D6C">
        <w:rPr>
          <w:rFonts w:eastAsia="Arial Unicode MS"/>
          <w:color w:val="000000"/>
          <w:sz w:val="22"/>
          <w:szCs w:val="22"/>
          <w:bdr w:val="nil"/>
          <w:lang w:eastAsia="en-GB"/>
        </w:rPr>
        <w:t xml:space="preserve">Tiekėjo deklaracija dėl </w:t>
      </w:r>
      <w:r>
        <w:rPr>
          <w:rFonts w:eastAsia="Arial Unicode MS"/>
          <w:color w:val="000000"/>
          <w:sz w:val="22"/>
          <w:szCs w:val="22"/>
          <w:bdr w:val="nil"/>
          <w:lang w:eastAsia="en-GB"/>
        </w:rPr>
        <w:t>(ne)</w:t>
      </w:r>
      <w:r w:rsidRPr="00424D6C">
        <w:rPr>
          <w:rFonts w:eastAsia="Arial Unicode MS"/>
          <w:color w:val="000000"/>
          <w:sz w:val="22"/>
          <w:szCs w:val="22"/>
          <w:bdr w:val="nil"/>
          <w:lang w:eastAsia="en-GB"/>
        </w:rPr>
        <w:t>atitikties Reglamento nuostatoms</w:t>
      </w:r>
      <w:r w:rsidRPr="00B900A1">
        <w:rPr>
          <w:rFonts w:eastAsia="Arial Unicode MS"/>
          <w:color w:val="000000"/>
          <w:sz w:val="22"/>
          <w:szCs w:val="22"/>
          <w:bdr w:val="nil"/>
          <w:lang w:eastAsia="en-GB"/>
        </w:rPr>
        <w:t xml:space="preserve"> (</w:t>
      </w:r>
      <w:r>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priedas).</w:t>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sz w:val="22"/>
          <w:szCs w:val="22"/>
          <w:bdr w:val="nil"/>
          <w:lang w:eastAsia="en-GB"/>
        </w:rPr>
        <w:t xml:space="preserve"> 5.11.7. užpildytas pirkimo dokumentų 4 priedas</w:t>
      </w:r>
      <w:r w:rsidRPr="00333F2D">
        <w:rPr>
          <w:rFonts w:eastAsia="Arial Unicode MS"/>
          <w:sz w:val="22"/>
          <w:szCs w:val="22"/>
          <w:bdr w:val="nil"/>
          <w:lang w:eastAsia="en-GB"/>
        </w:rPr>
        <w:t xml:space="preserve"> „Techninė specifikacija“. Tiekėjas privalo nurodyti siūlomų prekių technines charakteristikas. Stulpelyje „Siūlomos parametrų reikšmės” turi būti nurodyti tikslūs </w:t>
      </w:r>
      <w:r w:rsidRPr="00333F2D">
        <w:rPr>
          <w:rFonts w:eastAsia="Arial Unicode MS"/>
          <w:sz w:val="22"/>
          <w:szCs w:val="22"/>
          <w:bdr w:val="nil"/>
          <w:lang w:eastAsia="en-GB"/>
        </w:rPr>
        <w:lastRenderedPageBreak/>
        <w:t xml:space="preserve">ir konkretūs siūlomos prekės duomenys, nepaliekant lentelėje pateiktų dydžių reikšmių tolerancijų ir tokių reikšmių, </w:t>
      </w:r>
      <w:r>
        <w:rPr>
          <w:rFonts w:eastAsia="Arial Unicode MS"/>
          <w:sz w:val="22"/>
          <w:szCs w:val="22"/>
          <w:bdr w:val="nil"/>
          <w:lang w:eastAsia="en-GB"/>
        </w:rPr>
        <w:t>kaip „lygiavertė“, „atitinka“, „</w:t>
      </w:r>
      <w:r w:rsidRPr="00333F2D">
        <w:rPr>
          <w:rFonts w:eastAsia="Arial Unicode MS"/>
          <w:sz w:val="22"/>
          <w:szCs w:val="22"/>
          <w:bdr w:val="nil"/>
          <w:lang w:eastAsia="en-GB"/>
        </w:rPr>
        <w:t>taip” ir pan. Užpildytas dokumentas privalo būti pateiktas ne skenuota forma, bet prisegant atskiru dokumentu Microsoft Word formatu.</w:t>
      </w:r>
    </w:p>
    <w:p w:rsidR="00DC4FF6" w:rsidRPr="00B900A1" w:rsidRDefault="00DC4FF6" w:rsidP="00DC4FF6">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Pr>
          <w:rFonts w:eastAsia="Arial Unicode MS"/>
          <w:sz w:val="22"/>
          <w:szCs w:val="22"/>
          <w:bdr w:val="nil"/>
        </w:rPr>
        <w:t>8</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Pr>
          <w:rFonts w:eastAsia="Arial Unicode MS"/>
          <w:sz w:val="22"/>
          <w:szCs w:val="22"/>
          <w:u w:val="single"/>
          <w:bdr w:val="nil"/>
        </w:rPr>
        <w:t>4 priedo</w:t>
      </w:r>
      <w:r w:rsidRPr="00EC63E5">
        <w:rPr>
          <w:rFonts w:eastAsia="Arial Unicode MS"/>
          <w:sz w:val="22"/>
          <w:szCs w:val="22"/>
          <w:u w:val="single"/>
          <w:bdr w:val="nil"/>
        </w:rPr>
        <w:t xml:space="preserve"> „Techninė specifikacija“</w:t>
      </w:r>
      <w:r w:rsidRPr="00B900A1">
        <w:rPr>
          <w:rFonts w:eastAsia="Arial Unicode MS"/>
          <w:sz w:val="22"/>
          <w:szCs w:val="22"/>
          <w:u w:val="single"/>
          <w:bdr w:val="nil"/>
        </w:rPr>
        <w:t xml:space="preserve"> </w:t>
      </w:r>
      <w:r>
        <w:rPr>
          <w:rFonts w:eastAsia="Arial Unicode MS"/>
          <w:sz w:val="22"/>
          <w:szCs w:val="22"/>
          <w:u w:val="single"/>
          <w:bdr w:val="nil"/>
        </w:rPr>
        <w:t xml:space="preserve">4 lentelės </w:t>
      </w:r>
      <w:r w:rsidRPr="00631949">
        <w:rPr>
          <w:rFonts w:eastAsia="Arial Unicode MS"/>
          <w:sz w:val="22"/>
          <w:szCs w:val="22"/>
          <w:u w:val="single"/>
          <w:bdr w:val="nil"/>
        </w:rPr>
        <w:t>grafoje „</w:t>
      </w:r>
      <w:r w:rsidRPr="00631949">
        <w:rPr>
          <w:rFonts w:eastAsia="Arial Unicode MS"/>
          <w:bCs/>
          <w:color w:val="000000" w:themeColor="text1"/>
          <w:sz w:val="22"/>
          <w:szCs w:val="22"/>
          <w:u w:val="single"/>
          <w:bdr w:val="nil"/>
        </w:rPr>
        <w:t>Siūlom</w:t>
      </w:r>
      <w:r>
        <w:rPr>
          <w:rFonts w:eastAsia="Arial Unicode MS"/>
          <w:bCs/>
          <w:color w:val="000000" w:themeColor="text1"/>
          <w:sz w:val="22"/>
          <w:szCs w:val="22"/>
          <w:u w:val="single"/>
          <w:bdr w:val="nil"/>
        </w:rPr>
        <w:t>os parametrų reikšmės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DC4FF6" w:rsidRPr="00B900A1" w:rsidRDefault="00DC4FF6" w:rsidP="00DC4FF6">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DC4FF6" w:rsidRPr="00B900A1" w:rsidRDefault="00DC4FF6" w:rsidP="00DC4FF6">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Pr="00B900A1">
        <w:rPr>
          <w:rFonts w:eastAsia="Arial Unicode MS"/>
          <w:iCs/>
          <w:sz w:val="22"/>
          <w:szCs w:val="22"/>
          <w:bdr w:val="nil"/>
          <w:lang w:eastAsia="en-GB"/>
        </w:rPr>
        <w:t xml:space="preserve">. </w:t>
      </w:r>
      <w:r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201315" w:rsidRPr="00201315">
        <w:rPr>
          <w:rFonts w:cs="Times New Roman"/>
          <w:sz w:val="22"/>
          <w:szCs w:val="22"/>
        </w:rPr>
        <w:t xml:space="preserve">Pasiūlymas turi būti pasirašytas tiekėjo vadovo arba </w:t>
      </w:r>
      <w:proofErr w:type="gramStart"/>
      <w:r w:rsidR="00201315" w:rsidRPr="00201315">
        <w:rPr>
          <w:rFonts w:cs="Times New Roman"/>
          <w:sz w:val="22"/>
          <w:szCs w:val="22"/>
        </w:rPr>
        <w:t>jo</w:t>
      </w:r>
      <w:proofErr w:type="gramEnd"/>
      <w:r w:rsidR="00201315" w:rsidRPr="00201315">
        <w:rPr>
          <w:rFonts w:cs="Times New Roman"/>
          <w:sz w:val="22"/>
          <w:szCs w:val="22"/>
        </w:rPr>
        <w:t xml:space="preserve">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lastRenderedPageBreak/>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529F9" w:rsidRPr="00E061EA" w:rsidRDefault="00A529F9"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lastRenderedPageBreak/>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w:t>
      </w:r>
      <w:r w:rsidRPr="00AD5535">
        <w:rPr>
          <w:sz w:val="22"/>
          <w:szCs w:val="22"/>
        </w:rPr>
        <w:t xml:space="preserve">universiteto ligoninėje Kauno klinikos, Eivenių g. 2, LT-50161 Kaunas, </w:t>
      </w:r>
      <w:r w:rsidR="00A47354" w:rsidRPr="00AD5535">
        <w:rPr>
          <w:sz w:val="22"/>
          <w:szCs w:val="22"/>
        </w:rPr>
        <w:t xml:space="preserve">Paslaugų centras, III aukštas, Viešųjų pirkimų tarnyboje </w:t>
      </w:r>
      <w:r w:rsidRPr="00AD5535">
        <w:rPr>
          <w:b/>
          <w:iCs/>
          <w:color w:val="548DD4" w:themeColor="text2" w:themeTint="99"/>
          <w:sz w:val="22"/>
          <w:szCs w:val="22"/>
        </w:rPr>
        <w:t>20</w:t>
      </w:r>
      <w:r w:rsidR="00A01AB8" w:rsidRPr="00AD5535">
        <w:rPr>
          <w:b/>
          <w:iCs/>
          <w:color w:val="548DD4" w:themeColor="text2" w:themeTint="99"/>
          <w:sz w:val="22"/>
          <w:szCs w:val="22"/>
        </w:rPr>
        <w:t>2</w:t>
      </w:r>
      <w:r w:rsidR="00C524CA">
        <w:rPr>
          <w:b/>
          <w:iCs/>
          <w:color w:val="548DD4" w:themeColor="text2" w:themeTint="99"/>
          <w:sz w:val="22"/>
          <w:szCs w:val="22"/>
        </w:rPr>
        <w:t>6</w:t>
      </w:r>
      <w:r w:rsidR="009A3013" w:rsidRPr="00AD5535">
        <w:rPr>
          <w:b/>
          <w:iCs/>
          <w:color w:val="548DD4" w:themeColor="text2" w:themeTint="99"/>
          <w:sz w:val="22"/>
          <w:szCs w:val="22"/>
        </w:rPr>
        <w:t xml:space="preserve"> m. </w:t>
      </w:r>
      <w:r w:rsidR="006947E5">
        <w:rPr>
          <w:b/>
          <w:iCs/>
          <w:color w:val="548DD4" w:themeColor="text2" w:themeTint="99"/>
          <w:sz w:val="22"/>
          <w:szCs w:val="22"/>
        </w:rPr>
        <w:t>birželio</w:t>
      </w:r>
      <w:r w:rsidR="000706F8" w:rsidRPr="00AD5535">
        <w:rPr>
          <w:b/>
          <w:iCs/>
          <w:color w:val="548DD4" w:themeColor="text2" w:themeTint="99"/>
          <w:sz w:val="22"/>
          <w:szCs w:val="22"/>
        </w:rPr>
        <w:t xml:space="preserve"> </w:t>
      </w:r>
      <w:r w:rsidR="00BB21CC">
        <w:rPr>
          <w:b/>
          <w:iCs/>
          <w:color w:val="548DD4" w:themeColor="text2" w:themeTint="99"/>
          <w:sz w:val="22"/>
          <w:szCs w:val="22"/>
        </w:rPr>
        <w:t>2</w:t>
      </w:r>
      <w:r w:rsidR="006947E5">
        <w:rPr>
          <w:b/>
          <w:iCs/>
          <w:color w:val="548DD4" w:themeColor="text2" w:themeTint="99"/>
          <w:sz w:val="22"/>
          <w:szCs w:val="22"/>
        </w:rPr>
        <w:t>2</w:t>
      </w:r>
      <w:r w:rsidR="000706F8" w:rsidRPr="00AD5535">
        <w:rPr>
          <w:b/>
          <w:iCs/>
          <w:color w:val="548DD4" w:themeColor="text2" w:themeTint="99"/>
          <w:sz w:val="22"/>
          <w:szCs w:val="22"/>
        </w:rPr>
        <w:t xml:space="preserve"> </w:t>
      </w:r>
      <w:r w:rsidRPr="00AD5535">
        <w:rPr>
          <w:b/>
          <w:iCs/>
          <w:color w:val="548DD4" w:themeColor="text2" w:themeTint="99"/>
          <w:sz w:val="22"/>
          <w:szCs w:val="22"/>
        </w:rPr>
        <w:t xml:space="preserve">d. </w:t>
      </w:r>
      <w:r w:rsidR="002C59AF" w:rsidRPr="00AD5535">
        <w:rPr>
          <w:b/>
          <w:iCs/>
          <w:color w:val="548DD4" w:themeColor="text2" w:themeTint="99"/>
          <w:sz w:val="22"/>
          <w:szCs w:val="22"/>
        </w:rPr>
        <w:t>10</w:t>
      </w:r>
      <w:r w:rsidR="002E02D3" w:rsidRPr="00AD5535">
        <w:rPr>
          <w:b/>
          <w:iCs/>
          <w:color w:val="548DD4" w:themeColor="text2" w:themeTint="99"/>
          <w:sz w:val="22"/>
          <w:szCs w:val="22"/>
        </w:rPr>
        <w:t xml:space="preserve"> </w:t>
      </w:r>
      <w:r w:rsidR="00BE6A62" w:rsidRPr="00AD5535">
        <w:rPr>
          <w:b/>
          <w:iCs/>
          <w:color w:val="548DD4" w:themeColor="text2" w:themeTint="99"/>
          <w:sz w:val="22"/>
          <w:szCs w:val="22"/>
        </w:rPr>
        <w:t xml:space="preserve">val. 30 </w:t>
      </w:r>
      <w:r w:rsidRPr="00AD5535">
        <w:rPr>
          <w:b/>
          <w:iCs/>
          <w:color w:val="548DD4" w:themeColor="text2" w:themeTint="99"/>
          <w:sz w:val="22"/>
          <w:szCs w:val="22"/>
        </w:rPr>
        <w:t>min</w:t>
      </w:r>
      <w:r w:rsidRPr="00AD5535">
        <w:rPr>
          <w:b/>
          <w:iCs/>
          <w:sz w:val="22"/>
          <w:szCs w:val="22"/>
        </w:rPr>
        <w:t>.</w:t>
      </w:r>
      <w:r w:rsidRPr="00AD5535">
        <w:rPr>
          <w:iCs/>
          <w:sz w:val="22"/>
          <w:szCs w:val="22"/>
        </w:rPr>
        <w:t xml:space="preserve"> </w:t>
      </w:r>
      <w:r w:rsidRPr="00AD5535">
        <w:rPr>
          <w:iCs/>
          <w:sz w:val="22"/>
          <w:szCs w:val="22"/>
          <w:u w:val="single"/>
        </w:rPr>
        <w:t xml:space="preserve">Jei pasiūlymas teikiamas šifruotas, slaptažodis turi būti pateiktas </w:t>
      </w:r>
      <w:r w:rsidR="00A47354" w:rsidRPr="00AD5535">
        <w:rPr>
          <w:b/>
          <w:iCs/>
          <w:color w:val="548DD4" w:themeColor="text2" w:themeTint="99"/>
          <w:sz w:val="22"/>
          <w:szCs w:val="22"/>
          <w:u w:val="single"/>
        </w:rPr>
        <w:t>202</w:t>
      </w:r>
      <w:r w:rsidR="00C524CA">
        <w:rPr>
          <w:b/>
          <w:iCs/>
          <w:color w:val="548DD4" w:themeColor="text2" w:themeTint="99"/>
          <w:sz w:val="22"/>
          <w:szCs w:val="22"/>
          <w:u w:val="single"/>
        </w:rPr>
        <w:t>6</w:t>
      </w:r>
      <w:r w:rsidRPr="00AD5535">
        <w:rPr>
          <w:b/>
          <w:iCs/>
          <w:color w:val="548DD4" w:themeColor="text2" w:themeTint="99"/>
          <w:sz w:val="22"/>
          <w:szCs w:val="22"/>
          <w:u w:val="single"/>
        </w:rPr>
        <w:t xml:space="preserve"> m.</w:t>
      </w:r>
      <w:r w:rsidR="006947E5">
        <w:rPr>
          <w:b/>
          <w:iCs/>
          <w:color w:val="548DD4" w:themeColor="text2" w:themeTint="99"/>
          <w:sz w:val="22"/>
          <w:szCs w:val="22"/>
          <w:u w:val="single"/>
        </w:rPr>
        <w:t xml:space="preserve"> birželio</w:t>
      </w:r>
      <w:r w:rsidR="00C524CA">
        <w:rPr>
          <w:b/>
          <w:iCs/>
          <w:color w:val="548DD4" w:themeColor="text2" w:themeTint="99"/>
          <w:sz w:val="22"/>
          <w:szCs w:val="22"/>
          <w:u w:val="single"/>
        </w:rPr>
        <w:t xml:space="preserve"> </w:t>
      </w:r>
      <w:r w:rsidR="002A5A44" w:rsidRPr="00AD5535">
        <w:rPr>
          <w:b/>
          <w:iCs/>
          <w:color w:val="548DD4" w:themeColor="text2" w:themeTint="99"/>
          <w:sz w:val="22"/>
          <w:szCs w:val="22"/>
          <w:u w:val="single"/>
        </w:rPr>
        <w:t xml:space="preserve"> </w:t>
      </w:r>
      <w:r w:rsidR="00BB21CC">
        <w:rPr>
          <w:b/>
          <w:iCs/>
          <w:color w:val="548DD4" w:themeColor="text2" w:themeTint="99"/>
          <w:sz w:val="22"/>
          <w:szCs w:val="22"/>
          <w:u w:val="single"/>
        </w:rPr>
        <w:t>2</w:t>
      </w:r>
      <w:r w:rsidR="006947E5">
        <w:rPr>
          <w:b/>
          <w:iCs/>
          <w:color w:val="548DD4" w:themeColor="text2" w:themeTint="99"/>
          <w:sz w:val="22"/>
          <w:szCs w:val="22"/>
          <w:u w:val="single"/>
        </w:rPr>
        <w:t>2</w:t>
      </w:r>
      <w:r w:rsidR="009878E4" w:rsidRPr="00AD5535">
        <w:rPr>
          <w:b/>
          <w:iCs/>
          <w:color w:val="548DD4" w:themeColor="text2" w:themeTint="99"/>
          <w:sz w:val="22"/>
          <w:szCs w:val="22"/>
          <w:u w:val="single"/>
        </w:rPr>
        <w:t xml:space="preserve"> </w:t>
      </w:r>
      <w:r w:rsidRPr="00AD5535">
        <w:rPr>
          <w:b/>
          <w:iCs/>
          <w:color w:val="548DD4" w:themeColor="text2" w:themeTint="99"/>
          <w:sz w:val="22"/>
          <w:szCs w:val="22"/>
          <w:u w:val="single"/>
        </w:rPr>
        <w:t xml:space="preserve">d. intervale </w:t>
      </w:r>
      <w:r w:rsidR="002C59AF" w:rsidRPr="00AD5535">
        <w:rPr>
          <w:b/>
          <w:iCs/>
          <w:color w:val="548DD4" w:themeColor="text2" w:themeTint="99"/>
          <w:sz w:val="22"/>
          <w:szCs w:val="22"/>
          <w:u w:val="single"/>
        </w:rPr>
        <w:t>10</w:t>
      </w:r>
      <w:r w:rsidRPr="00AD5535">
        <w:rPr>
          <w:b/>
          <w:iCs/>
          <w:color w:val="548DD4" w:themeColor="text2" w:themeTint="99"/>
          <w:sz w:val="22"/>
          <w:szCs w:val="22"/>
          <w:u w:val="single"/>
        </w:rPr>
        <w:t xml:space="preserve">.00 – </w:t>
      </w:r>
      <w:r w:rsidR="002C59AF" w:rsidRPr="00AD5535">
        <w:rPr>
          <w:b/>
          <w:iCs/>
          <w:color w:val="548DD4" w:themeColor="text2" w:themeTint="99"/>
          <w:sz w:val="22"/>
          <w:szCs w:val="22"/>
          <w:u w:val="single"/>
        </w:rPr>
        <w:t>10</w:t>
      </w:r>
      <w:r w:rsidR="00683987" w:rsidRPr="00AD5535">
        <w:rPr>
          <w:b/>
          <w:iCs/>
          <w:color w:val="548DD4" w:themeColor="text2" w:themeTint="99"/>
          <w:sz w:val="22"/>
          <w:szCs w:val="22"/>
          <w:u w:val="single"/>
        </w:rPr>
        <w:t>.30</w:t>
      </w:r>
      <w:r w:rsidRPr="00AD5535">
        <w:rPr>
          <w:b/>
          <w:iCs/>
          <w:color w:val="548DD4" w:themeColor="text2" w:themeTint="99"/>
          <w:sz w:val="22"/>
          <w:szCs w:val="22"/>
          <w:u w:val="single"/>
        </w:rPr>
        <w:t xml:space="preserve"> val.</w:t>
      </w:r>
      <w:r w:rsidRPr="00AD5535">
        <w:rPr>
          <w:b/>
          <w:iCs/>
          <w:sz w:val="22"/>
          <w:szCs w:val="22"/>
          <w:u w:val="single"/>
        </w:rPr>
        <w:t xml:space="preserve">  </w:t>
      </w:r>
      <w:r w:rsidRPr="00AD5535">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E07F41" w:rsidRPr="007A7217" w:rsidRDefault="00E07F41" w:rsidP="00E07F41">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E07F41" w:rsidRPr="007A7217" w:rsidRDefault="00E07F41" w:rsidP="00E07F41">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E07F41" w:rsidRPr="007A7217" w:rsidRDefault="00E07F41" w:rsidP="00E07F41">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E07F41" w:rsidRPr="007A7217" w:rsidRDefault="00E07F41" w:rsidP="00E07F41">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E07F41" w:rsidRPr="007A7217" w:rsidRDefault="00E07F41" w:rsidP="00E07F41">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E07F41" w:rsidRPr="007A7217" w:rsidRDefault="00E07F41" w:rsidP="00E07F41">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E07F41" w:rsidRPr="007A7217" w:rsidRDefault="00E07F41" w:rsidP="00E07F41">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Pr="007A7217">
        <w:rPr>
          <w:color w:val="000000"/>
          <w:sz w:val="22"/>
          <w:szCs w:val="22"/>
          <w:lang w:eastAsia="lt-LT"/>
        </w:rPr>
        <w:tab/>
      </w:r>
    </w:p>
    <w:p w:rsidR="00E07F41" w:rsidRPr="007A7217" w:rsidRDefault="00E07F41" w:rsidP="00E07F41">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Pr>
          <w:color w:val="000000"/>
          <w:sz w:val="22"/>
          <w:szCs w:val="22"/>
          <w:lang w:eastAsia="lt-LT"/>
        </w:rPr>
        <w:t>taisyklėmis.</w:t>
      </w:r>
    </w:p>
    <w:p w:rsidR="00E07F41" w:rsidRPr="007A7217" w:rsidRDefault="00E07F41" w:rsidP="00E07F41">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E07F41" w:rsidRPr="007A7217" w:rsidRDefault="00E07F41" w:rsidP="00E07F41">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E07F41" w:rsidRPr="007A7217" w:rsidRDefault="00E07F41" w:rsidP="00E07F41">
      <w:pPr>
        <w:tabs>
          <w:tab w:val="left" w:pos="567"/>
        </w:tabs>
        <w:suppressAutoHyphens/>
        <w:jc w:val="both"/>
        <w:rPr>
          <w:color w:val="000000"/>
          <w:sz w:val="22"/>
          <w:szCs w:val="22"/>
          <w:lang w:eastAsia="lt-LT"/>
        </w:rPr>
      </w:pPr>
      <w:r w:rsidRPr="007A7217">
        <w:rPr>
          <w:color w:val="000000"/>
          <w:sz w:val="22"/>
          <w:szCs w:val="22"/>
          <w:lang w:eastAsia="lt-LT"/>
        </w:rPr>
        <w:tab/>
        <w:t>11.</w:t>
      </w:r>
      <w:r>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E07F41" w:rsidRDefault="00E07F41" w:rsidP="00E07F41">
      <w:pPr>
        <w:tabs>
          <w:tab w:val="left" w:pos="567"/>
        </w:tabs>
        <w:suppressAutoHyphens/>
        <w:jc w:val="both"/>
        <w:rPr>
          <w:color w:val="000000"/>
          <w:sz w:val="22"/>
          <w:szCs w:val="22"/>
          <w:lang w:eastAsia="lt-LT"/>
        </w:rPr>
      </w:pPr>
      <w:r w:rsidRPr="007A7217">
        <w:rPr>
          <w:color w:val="000000"/>
          <w:sz w:val="22"/>
          <w:szCs w:val="22"/>
          <w:lang w:eastAsia="lt-LT"/>
        </w:rPr>
        <w:lastRenderedPageBreak/>
        <w:tab/>
        <w:t>11.</w:t>
      </w:r>
      <w:r>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tabs>
          <w:tab w:val="left" w:pos="567"/>
        </w:tabs>
        <w:suppressAutoHyphens/>
        <w:jc w:val="both"/>
        <w:rPr>
          <w:color w:val="000000"/>
          <w:sz w:val="22"/>
          <w:szCs w:val="22"/>
          <w:lang w:eastAsia="lt-LT"/>
        </w:rPr>
      </w:pP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82D" w:rsidRPr="0090382D" w:rsidRDefault="009033D4" w:rsidP="0090382D">
      <w:pPr>
        <w:suppressAutoHyphens/>
        <w:ind w:firstLine="567"/>
        <w:jc w:val="both"/>
        <w:rPr>
          <w:rFonts w:eastAsia="Arial Unicode MS" w:cs="Arial Unicode MS"/>
          <w:color w:val="000000"/>
          <w:sz w:val="22"/>
          <w:szCs w:val="22"/>
          <w:bdr w:val="nil"/>
          <w:lang w:eastAsia="en-GB"/>
        </w:rPr>
      </w:pPr>
      <w:r w:rsidRPr="009033D4">
        <w:rPr>
          <w:rFonts w:eastAsia="Arial Unicode MS" w:cs="Arial Unicode MS"/>
          <w:color w:val="000000"/>
          <w:sz w:val="22"/>
          <w:szCs w:val="22"/>
          <w:bdr w:val="nil"/>
          <w:lang w:eastAsia="en-GB"/>
        </w:rPr>
        <w:t xml:space="preserve">13.1.4. </w:t>
      </w:r>
      <w:r w:rsidR="0090382D" w:rsidRPr="0090382D">
        <w:rPr>
          <w:rFonts w:eastAsia="Arial Unicode MS" w:cs="Arial Unicode MS"/>
          <w:color w:val="000000"/>
          <w:sz w:val="22"/>
          <w:szCs w:val="22"/>
          <w:bdr w:val="nil"/>
          <w:lang w:val="nl-NL" w:eastAsia="en-GB"/>
        </w:rPr>
        <w:t>tiek</w:t>
      </w:r>
      <w:r w:rsidR="0090382D" w:rsidRPr="0090382D">
        <w:rPr>
          <w:rFonts w:eastAsia="Arial Unicode MS" w:cs="Arial Unicode MS"/>
          <w:color w:val="000000"/>
          <w:sz w:val="22"/>
          <w:szCs w:val="22"/>
          <w:bdr w:val="nil"/>
          <w:lang w:eastAsia="en-GB"/>
        </w:rPr>
        <w:t>ė</w:t>
      </w:r>
      <w:r w:rsidR="0090382D" w:rsidRPr="0090382D">
        <w:rPr>
          <w:rFonts w:eastAsia="Arial Unicode MS" w:cs="Arial Unicode MS"/>
          <w:color w:val="000000"/>
          <w:sz w:val="22"/>
          <w:szCs w:val="22"/>
          <w:bdr w:val="nil"/>
          <w:lang w:val="es-ES_tradnl" w:eastAsia="en-GB"/>
        </w:rPr>
        <w:t xml:space="preserve">jas </w:t>
      </w:r>
      <w:r w:rsidR="0090382D" w:rsidRPr="0090382D">
        <w:rPr>
          <w:rFonts w:eastAsia="Arial Unicode MS" w:cs="Arial Unicode MS"/>
          <w:color w:val="000000"/>
          <w:sz w:val="22"/>
          <w:szCs w:val="22"/>
          <w:bdr w:val="nil"/>
          <w:lang w:eastAsia="en-GB"/>
        </w:rPr>
        <w:t xml:space="preserve">turi būti pašalinamas iš pirkimo procedūros pagal pirkimo sąlygų 3.14 punktą arba perkančiosios </w:t>
      </w:r>
      <w:r w:rsidR="0090382D" w:rsidRPr="00E2796A">
        <w:rPr>
          <w:rFonts w:eastAsia="Arial Unicode MS" w:cs="Arial Unicode MS"/>
          <w:color w:val="000000"/>
          <w:sz w:val="22"/>
          <w:szCs w:val="22"/>
          <w:bdr w:val="nil"/>
          <w:lang w:eastAsia="en-GB"/>
        </w:rPr>
        <w:t xml:space="preserve">organizacijos prašymu nepateikė ar nepatikslino pateiktos netikslios ar neišsamios informacijos dėl </w:t>
      </w:r>
      <w:r w:rsidR="0090382D" w:rsidRPr="00E2796A">
        <w:rPr>
          <w:rFonts w:eastAsia="Arial Unicode MS" w:cs="Arial Unicode MS"/>
          <w:color w:val="000000"/>
          <w:sz w:val="22"/>
          <w:szCs w:val="22"/>
          <w:bdr w:val="nil"/>
          <w:lang w:val="en-US" w:eastAsia="en-GB"/>
        </w:rPr>
        <w:t>Nacionalinio saugumo reikalavimų atitikties</w:t>
      </w:r>
      <w:r w:rsidR="0090382D" w:rsidRPr="0090382D">
        <w:rPr>
          <w:rFonts w:eastAsia="Arial Unicode MS" w:cs="Arial Unicode MS"/>
          <w:color w:val="000000"/>
          <w:sz w:val="22"/>
          <w:szCs w:val="22"/>
          <w:bdr w:val="nil"/>
          <w:lang w:val="en-US" w:eastAsia="en-GB"/>
        </w:rPr>
        <w:t xml:space="preserve"> nustatytų sąlygų nebuvimo</w:t>
      </w:r>
      <w:r w:rsidR="0090382D" w:rsidRPr="0090382D">
        <w:rPr>
          <w:rFonts w:eastAsia="Arial Unicode MS" w:cs="Arial Unicode MS"/>
          <w:color w:val="000000"/>
          <w:sz w:val="22"/>
          <w:szCs w:val="22"/>
          <w:bdr w:val="nil"/>
          <w:lang w:eastAsia="en-GB"/>
        </w:rPr>
        <w:t>. Jeigu taikytina.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 xml:space="preserve">14.1. </w:t>
      </w:r>
      <w:r w:rsidR="002E5F91" w:rsidRPr="002E5F91">
        <w:rPr>
          <w:rFonts w:cs="Times New Roman"/>
          <w:sz w:val="22"/>
          <w:szCs w:val="22"/>
          <w:lang w:val="lt-LT"/>
        </w:rPr>
        <w:t>Perkančioji organizacija ekonomiškai naudingiausią pasiūlymą išrenka pagal kainos ir kokybės santykį. Ekonomiškai naudingiausiu pasiūlymu laikomas pasiūlymas, kurio ekonominis naudingumas didžiausias</w:t>
      </w:r>
      <w:r w:rsidRPr="00740EB5">
        <w:rPr>
          <w:rFonts w:cs="Times New Roman"/>
          <w:sz w:val="22"/>
          <w:szCs w:val="22"/>
          <w:lang w:val="lt-LT"/>
        </w:rPr>
        <w:t>.</w:t>
      </w: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 xml:space="preserve">14.2. </w:t>
      </w:r>
      <w:r w:rsidR="002E5F91" w:rsidRPr="002E5F91">
        <w:rPr>
          <w:rFonts w:cs="Times New Roman"/>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40EB5">
        <w:rPr>
          <w:rFonts w:cs="Times New Roman"/>
          <w:sz w:val="22"/>
          <w:szCs w:val="22"/>
          <w:lang w:val="lt-LT"/>
        </w:rPr>
        <w:t>.</w:t>
      </w:r>
    </w:p>
    <w:p w:rsidR="00650917" w:rsidRDefault="00AD1E1D"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Pr>
          <w:rFonts w:eastAsia="Calibri"/>
          <w:color w:val="000000" w:themeColor="text1"/>
          <w:sz w:val="22"/>
          <w:szCs w:val="22"/>
        </w:rPr>
        <w:t xml:space="preserve">14.3. </w:t>
      </w:r>
      <w:r w:rsidR="007514A5" w:rsidRPr="007514A5">
        <w:rPr>
          <w:rFonts w:eastAsia="Calibri"/>
          <w:color w:val="000000" w:themeColor="text1"/>
          <w:sz w:val="22"/>
          <w:szCs w:val="22"/>
        </w:rPr>
        <w:t>Didžiausia priimtina pasiūlymo kaina yra</w:t>
      </w:r>
      <w:r w:rsidR="00650917">
        <w:rPr>
          <w:rFonts w:eastAsia="Calibri"/>
          <w:color w:val="000000" w:themeColor="text1"/>
          <w:sz w:val="22"/>
          <w:szCs w:val="22"/>
        </w:rPr>
        <w:t>:</w:t>
      </w:r>
    </w:p>
    <w:p w:rsidR="00650917" w:rsidRDefault="00650917"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A775CB">
        <w:rPr>
          <w:rFonts w:eastAsia="Calibri"/>
          <w:b/>
          <w:color w:val="000000" w:themeColor="text1"/>
          <w:sz w:val="22"/>
          <w:szCs w:val="22"/>
        </w:rPr>
        <w:t>1 pirkimo dalis</w:t>
      </w:r>
      <w:r>
        <w:rPr>
          <w:rFonts w:eastAsia="Calibri"/>
          <w:color w:val="000000" w:themeColor="text1"/>
          <w:sz w:val="22"/>
          <w:szCs w:val="22"/>
        </w:rPr>
        <w:t xml:space="preserve"> „</w:t>
      </w:r>
      <w:r w:rsidR="002E5F91" w:rsidRPr="002E5F91">
        <w:rPr>
          <w:rFonts w:eastAsia="Calibri"/>
          <w:color w:val="000000" w:themeColor="text1"/>
          <w:sz w:val="22"/>
          <w:szCs w:val="22"/>
        </w:rPr>
        <w:t>Elektrochirurgijos prietaisas su priedais</w:t>
      </w:r>
      <w:r>
        <w:rPr>
          <w:rFonts w:eastAsia="Calibri"/>
          <w:color w:val="000000" w:themeColor="text1"/>
          <w:sz w:val="22"/>
          <w:szCs w:val="22"/>
        </w:rPr>
        <w:t>“</w:t>
      </w:r>
      <w:r w:rsidR="0025190A">
        <w:rPr>
          <w:rFonts w:eastAsia="Calibri"/>
          <w:color w:val="000000" w:themeColor="text1"/>
          <w:sz w:val="22"/>
          <w:szCs w:val="22"/>
        </w:rPr>
        <w:t>,</w:t>
      </w:r>
      <w:r>
        <w:rPr>
          <w:rFonts w:eastAsia="Calibri"/>
          <w:color w:val="000000" w:themeColor="text1"/>
          <w:sz w:val="22"/>
          <w:szCs w:val="22"/>
        </w:rPr>
        <w:t xml:space="preserve"> 1 vnt. - </w:t>
      </w:r>
      <w:r w:rsidR="007514A5" w:rsidRPr="007514A5">
        <w:rPr>
          <w:rFonts w:eastAsia="Calibri"/>
          <w:color w:val="000000" w:themeColor="text1"/>
          <w:sz w:val="22"/>
          <w:szCs w:val="22"/>
        </w:rPr>
        <w:t xml:space="preserve"> </w:t>
      </w:r>
      <w:r w:rsidR="002E5F91" w:rsidRPr="00A775CB">
        <w:rPr>
          <w:rFonts w:eastAsia="Calibri"/>
          <w:b/>
          <w:color w:val="000000" w:themeColor="text1"/>
          <w:sz w:val="22"/>
          <w:szCs w:val="22"/>
        </w:rPr>
        <w:t>21 100,00</w:t>
      </w:r>
      <w:r w:rsidR="002E5F91" w:rsidRPr="002E5F91">
        <w:rPr>
          <w:rFonts w:eastAsia="Calibri"/>
          <w:color w:val="000000" w:themeColor="text1"/>
          <w:sz w:val="22"/>
          <w:szCs w:val="22"/>
        </w:rPr>
        <w:t xml:space="preserve"> </w:t>
      </w:r>
      <w:r w:rsidR="003806F4">
        <w:rPr>
          <w:rFonts w:eastAsia="Calibri"/>
          <w:color w:val="000000" w:themeColor="text1"/>
          <w:sz w:val="22"/>
          <w:szCs w:val="22"/>
        </w:rPr>
        <w:t>Eur (su PVM). Šią kainą</w:t>
      </w:r>
      <w:r w:rsidR="003806F4" w:rsidRPr="003806F4">
        <w:rPr>
          <w:rFonts w:eastAsia="Calibri"/>
          <w:color w:val="000000" w:themeColor="text1"/>
          <w:sz w:val="22"/>
          <w:szCs w:val="22"/>
        </w:rPr>
        <w:t xml:space="preserve"> vir</w:t>
      </w:r>
      <w:r w:rsidR="003806F4">
        <w:rPr>
          <w:rFonts w:eastAsia="Calibri"/>
          <w:color w:val="000000" w:themeColor="text1"/>
          <w:sz w:val="22"/>
          <w:szCs w:val="22"/>
        </w:rPr>
        <w:t>šijantys pasiūlymai bus atmesti;</w:t>
      </w:r>
    </w:p>
    <w:p w:rsidR="003806F4" w:rsidRPr="003806F4" w:rsidRDefault="00650917" w:rsidP="003806F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A775CB">
        <w:rPr>
          <w:rFonts w:eastAsia="Calibri"/>
          <w:b/>
          <w:color w:val="000000" w:themeColor="text1"/>
          <w:sz w:val="22"/>
          <w:szCs w:val="22"/>
        </w:rPr>
        <w:lastRenderedPageBreak/>
        <w:t>2 pirkimo dalis</w:t>
      </w:r>
      <w:r>
        <w:rPr>
          <w:rFonts w:eastAsia="Calibri"/>
          <w:color w:val="000000" w:themeColor="text1"/>
          <w:sz w:val="22"/>
          <w:szCs w:val="22"/>
        </w:rPr>
        <w:t xml:space="preserve"> „</w:t>
      </w:r>
      <w:r w:rsidR="00A775CB" w:rsidRPr="00A775CB">
        <w:rPr>
          <w:rFonts w:eastAsia="Calibri"/>
          <w:color w:val="000000" w:themeColor="text1"/>
          <w:sz w:val="22"/>
          <w:szCs w:val="22"/>
        </w:rPr>
        <w:t>Videoendoskopinė sistema su priedais</w:t>
      </w:r>
      <w:r>
        <w:rPr>
          <w:rFonts w:eastAsia="Calibri"/>
          <w:color w:val="000000" w:themeColor="text1"/>
          <w:sz w:val="22"/>
          <w:szCs w:val="22"/>
        </w:rPr>
        <w:t>“</w:t>
      </w:r>
      <w:r w:rsidR="0025190A">
        <w:rPr>
          <w:rFonts w:eastAsia="Calibri"/>
          <w:color w:val="000000" w:themeColor="text1"/>
          <w:sz w:val="22"/>
          <w:szCs w:val="22"/>
        </w:rPr>
        <w:t xml:space="preserve">, </w:t>
      </w:r>
      <w:r w:rsidR="000A6946">
        <w:rPr>
          <w:rFonts w:eastAsia="Calibri"/>
          <w:color w:val="000000" w:themeColor="text1"/>
          <w:sz w:val="22"/>
          <w:szCs w:val="22"/>
        </w:rPr>
        <w:t>1</w:t>
      </w:r>
      <w:r w:rsidR="0025190A">
        <w:rPr>
          <w:rFonts w:eastAsia="Calibri"/>
          <w:color w:val="000000" w:themeColor="text1"/>
          <w:sz w:val="22"/>
          <w:szCs w:val="22"/>
        </w:rPr>
        <w:t xml:space="preserve"> vnt. </w:t>
      </w:r>
      <w:r>
        <w:rPr>
          <w:rFonts w:eastAsia="Calibri"/>
          <w:color w:val="000000" w:themeColor="text1"/>
          <w:sz w:val="22"/>
          <w:szCs w:val="22"/>
        </w:rPr>
        <w:t xml:space="preserve">- </w:t>
      </w:r>
      <w:r w:rsidR="00A775CB" w:rsidRPr="00A775CB">
        <w:rPr>
          <w:rFonts w:eastAsia="Calibri"/>
          <w:b/>
          <w:color w:val="000000" w:themeColor="text1"/>
          <w:sz w:val="22"/>
          <w:szCs w:val="22"/>
        </w:rPr>
        <w:t>173 500,00</w:t>
      </w:r>
      <w:r w:rsidR="000A6946">
        <w:rPr>
          <w:rFonts w:eastAsia="Calibri"/>
          <w:color w:val="000000" w:themeColor="text1"/>
          <w:sz w:val="22"/>
          <w:szCs w:val="22"/>
        </w:rPr>
        <w:t xml:space="preserve"> </w:t>
      </w:r>
      <w:r w:rsidRPr="00650917">
        <w:rPr>
          <w:rFonts w:eastAsia="Calibri"/>
          <w:color w:val="000000" w:themeColor="text1"/>
          <w:sz w:val="22"/>
          <w:szCs w:val="22"/>
        </w:rPr>
        <w:t>Eur (su PVM).</w:t>
      </w:r>
      <w:r w:rsidR="003806F4">
        <w:rPr>
          <w:rFonts w:eastAsia="Calibri"/>
          <w:color w:val="000000" w:themeColor="text1"/>
          <w:sz w:val="22"/>
          <w:szCs w:val="22"/>
        </w:rPr>
        <w:t xml:space="preserve"> </w:t>
      </w:r>
      <w:r w:rsidR="003806F4" w:rsidRPr="003806F4">
        <w:rPr>
          <w:rFonts w:eastAsia="Calibri"/>
          <w:color w:val="000000" w:themeColor="text1"/>
          <w:sz w:val="22"/>
          <w:szCs w:val="22"/>
        </w:rPr>
        <w:t>Šią kainą vir</w:t>
      </w:r>
      <w:r w:rsidR="000A6946">
        <w:rPr>
          <w:rFonts w:eastAsia="Calibri"/>
          <w:color w:val="000000" w:themeColor="text1"/>
          <w:sz w:val="22"/>
          <w:szCs w:val="22"/>
        </w:rPr>
        <w:t>šijantys pasiūlymai bus atmesti;</w:t>
      </w:r>
    </w:p>
    <w:p w:rsidR="000A6946" w:rsidRPr="003806F4" w:rsidRDefault="000A6946" w:rsidP="000A694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A775CB">
        <w:rPr>
          <w:rFonts w:eastAsia="Calibri"/>
          <w:b/>
          <w:color w:val="000000" w:themeColor="text1"/>
          <w:sz w:val="22"/>
          <w:szCs w:val="22"/>
        </w:rPr>
        <w:t>3 pirkimo dalis</w:t>
      </w:r>
      <w:r>
        <w:rPr>
          <w:rFonts w:eastAsia="Calibri"/>
          <w:color w:val="000000" w:themeColor="text1"/>
          <w:sz w:val="22"/>
          <w:szCs w:val="22"/>
        </w:rPr>
        <w:t xml:space="preserve"> „</w:t>
      </w:r>
      <w:r w:rsidR="00A775CB" w:rsidRPr="00A775CB">
        <w:rPr>
          <w:rFonts w:eastAsia="Calibri"/>
          <w:color w:val="000000" w:themeColor="text1"/>
          <w:sz w:val="22"/>
          <w:szCs w:val="22"/>
        </w:rPr>
        <w:t>Universalus operacinis stalas</w:t>
      </w:r>
      <w:r>
        <w:rPr>
          <w:rFonts w:eastAsia="Calibri"/>
          <w:color w:val="000000" w:themeColor="text1"/>
          <w:sz w:val="22"/>
          <w:szCs w:val="22"/>
        </w:rPr>
        <w:t xml:space="preserve">“, 1 vnt. - </w:t>
      </w:r>
      <w:r w:rsidR="00A775CB" w:rsidRPr="00A775CB">
        <w:rPr>
          <w:rFonts w:eastAsia="Calibri"/>
          <w:b/>
          <w:color w:val="000000" w:themeColor="text1"/>
          <w:sz w:val="22"/>
          <w:szCs w:val="22"/>
        </w:rPr>
        <w:t>87 000,00</w:t>
      </w:r>
      <w:r w:rsidR="00A775CB" w:rsidRPr="00A775CB">
        <w:rPr>
          <w:rFonts w:eastAsia="Calibri"/>
          <w:color w:val="000000" w:themeColor="text1"/>
          <w:sz w:val="22"/>
          <w:szCs w:val="22"/>
        </w:rPr>
        <w:t xml:space="preserve"> </w:t>
      </w:r>
      <w:r w:rsidRPr="00650917">
        <w:rPr>
          <w:rFonts w:eastAsia="Calibri"/>
          <w:color w:val="000000" w:themeColor="text1"/>
          <w:sz w:val="22"/>
          <w:szCs w:val="22"/>
        </w:rPr>
        <w:t>Eur (su PVM).</w:t>
      </w:r>
      <w:r>
        <w:rPr>
          <w:rFonts w:eastAsia="Calibri"/>
          <w:color w:val="000000" w:themeColor="text1"/>
          <w:sz w:val="22"/>
          <w:szCs w:val="22"/>
        </w:rPr>
        <w:t xml:space="preserve"> </w:t>
      </w:r>
      <w:r w:rsidRPr="003806F4">
        <w:rPr>
          <w:rFonts w:eastAsia="Calibri"/>
          <w:color w:val="000000" w:themeColor="text1"/>
          <w:sz w:val="22"/>
          <w:szCs w:val="22"/>
        </w:rPr>
        <w:t>Šią kainą vir</w:t>
      </w:r>
      <w:r>
        <w:rPr>
          <w:rFonts w:eastAsia="Calibri"/>
          <w:color w:val="000000" w:themeColor="text1"/>
          <w:sz w:val="22"/>
          <w:szCs w:val="22"/>
        </w:rPr>
        <w:t>šijantys pasiūlymai bus atmesti.</w:t>
      </w:r>
    </w:p>
    <w:p w:rsidR="00650917" w:rsidRDefault="00650917"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F036D" w:rsidRPr="00D917CA" w:rsidRDefault="00BF036D" w:rsidP="00BF036D">
      <w:pPr>
        <w:tabs>
          <w:tab w:val="left" w:pos="993"/>
          <w:tab w:val="left" w:pos="1134"/>
          <w:tab w:val="left" w:pos="1276"/>
          <w:tab w:val="left" w:pos="1440"/>
          <w:tab w:val="left" w:pos="1560"/>
          <w:tab w:val="left" w:pos="2127"/>
        </w:tabs>
        <w:ind w:firstLine="567"/>
        <w:jc w:val="both"/>
        <w:rPr>
          <w:b/>
          <w:sz w:val="22"/>
          <w:szCs w:val="22"/>
        </w:rPr>
      </w:pPr>
      <w:r w:rsidRPr="00D917CA">
        <w:rPr>
          <w:b/>
          <w:sz w:val="22"/>
          <w:szCs w:val="22"/>
        </w:rPr>
        <w:t>14.4.</w:t>
      </w:r>
      <w:r w:rsidR="00D74EA5" w:rsidRPr="00D917CA">
        <w:rPr>
          <w:b/>
          <w:sz w:val="22"/>
          <w:szCs w:val="22"/>
        </w:rPr>
        <w:t xml:space="preserve"> </w:t>
      </w:r>
      <w:r w:rsidR="00305F75" w:rsidRPr="00D917CA">
        <w:rPr>
          <w:b/>
          <w:sz w:val="22"/>
          <w:szCs w:val="22"/>
        </w:rPr>
        <w:t xml:space="preserve">1 </w:t>
      </w:r>
      <w:r w:rsidRPr="00D917CA">
        <w:rPr>
          <w:b/>
          <w:sz w:val="22"/>
          <w:szCs w:val="22"/>
        </w:rPr>
        <w:t xml:space="preserve"> pirkimo dalies</w:t>
      </w:r>
      <w:r w:rsidR="00D74EA5" w:rsidRPr="00D917CA">
        <w:rPr>
          <w:b/>
          <w:sz w:val="22"/>
          <w:szCs w:val="22"/>
        </w:rPr>
        <w:t xml:space="preserve"> </w:t>
      </w:r>
      <w:r w:rsidRPr="00D917CA">
        <w:rPr>
          <w:rFonts w:eastAsia="Arial Unicode MS"/>
          <w:bCs/>
          <w:sz w:val="22"/>
          <w:szCs w:val="22"/>
          <w:bdr w:val="nil"/>
          <w:lang w:eastAsia="ar-SA"/>
        </w:rPr>
        <w:t>„</w:t>
      </w:r>
      <w:r w:rsidR="00C7013F" w:rsidRPr="00D917CA">
        <w:rPr>
          <w:b/>
          <w:bCs/>
          <w:sz w:val="22"/>
          <w:szCs w:val="22"/>
        </w:rPr>
        <w:t>Elektrochirurgijos prietaisas su priedais</w:t>
      </w:r>
      <w:r w:rsidRPr="00D917CA">
        <w:rPr>
          <w:b/>
          <w:bCs/>
          <w:sz w:val="22"/>
          <w:szCs w:val="22"/>
        </w:rPr>
        <w:t>“</w:t>
      </w:r>
      <w:r w:rsidRPr="00D917CA">
        <w:rPr>
          <w:b/>
          <w:sz w:val="22"/>
          <w:szCs w:val="22"/>
        </w:rPr>
        <w:t xml:space="preserve"> ekonominio vertinimo kriterijai:</w:t>
      </w:r>
    </w:p>
    <w:p w:rsidR="00EC6F8D" w:rsidRPr="00D917CA" w:rsidRDefault="00962785"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D917CA">
        <w:rPr>
          <w:rFonts w:eastAsia="Calibri"/>
          <w:color w:val="000000" w:themeColor="text1"/>
          <w:sz w:val="22"/>
          <w:szCs w:val="22"/>
        </w:rPr>
        <w:t xml:space="preserve">14.4.1. </w:t>
      </w:r>
      <w:r w:rsidR="00EC6F8D" w:rsidRPr="00D917CA">
        <w:rPr>
          <w:rFonts w:eastAsia="Calibri"/>
          <w:color w:val="000000" w:themeColor="text1"/>
          <w:sz w:val="22"/>
          <w:szCs w:val="22"/>
        </w:rPr>
        <w:t>Numatytų vertinimo kriterijų lyginamieji svoriai:</w:t>
      </w:r>
    </w:p>
    <w:p w:rsidR="00EC6F8D" w:rsidRPr="00D917CA" w:rsidRDefault="00C7013F"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276"/>
        <w:contextualSpacing/>
        <w:jc w:val="both"/>
        <w:rPr>
          <w:rFonts w:eastAsia="Calibri"/>
          <w:color w:val="000000" w:themeColor="text1"/>
          <w:sz w:val="22"/>
          <w:szCs w:val="22"/>
        </w:rPr>
      </w:pPr>
      <w:r w:rsidRPr="00D917CA">
        <w:rPr>
          <w:rFonts w:eastAsia="Calibri"/>
          <w:color w:val="000000" w:themeColor="text1"/>
          <w:sz w:val="22"/>
          <w:szCs w:val="22"/>
        </w:rPr>
        <w:t>1) Kaina (K) – 8</w:t>
      </w:r>
      <w:r w:rsidR="00EC6F8D" w:rsidRPr="00D917CA">
        <w:rPr>
          <w:rFonts w:eastAsia="Calibri"/>
          <w:color w:val="000000" w:themeColor="text1"/>
          <w:sz w:val="22"/>
          <w:szCs w:val="22"/>
        </w:rPr>
        <w:t>0;</w:t>
      </w:r>
    </w:p>
    <w:p w:rsidR="00EC6F8D" w:rsidRPr="00D917CA" w:rsidRDefault="00C7013F" w:rsidP="00962785">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276"/>
        <w:contextualSpacing/>
        <w:jc w:val="both"/>
        <w:rPr>
          <w:rFonts w:eastAsia="Calibri"/>
          <w:color w:val="000000" w:themeColor="text1"/>
          <w:sz w:val="22"/>
          <w:szCs w:val="22"/>
        </w:rPr>
      </w:pPr>
      <w:r w:rsidRPr="00D917CA">
        <w:rPr>
          <w:rFonts w:eastAsia="Calibri"/>
          <w:color w:val="000000" w:themeColor="text1"/>
          <w:sz w:val="22"/>
          <w:szCs w:val="22"/>
        </w:rPr>
        <w:t>2) Techniniai pranašumai (T) – 2</w:t>
      </w:r>
      <w:r w:rsidR="005B497E">
        <w:rPr>
          <w:rFonts w:eastAsia="Calibri"/>
          <w:color w:val="000000" w:themeColor="text1"/>
          <w:sz w:val="22"/>
          <w:szCs w:val="22"/>
        </w:rPr>
        <w:t>0.</w:t>
      </w:r>
    </w:p>
    <w:p w:rsidR="00EC6F8D" w:rsidRPr="00D917CA"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D917CA">
        <w:rPr>
          <w:rFonts w:eastAsia="Calibri"/>
          <w:color w:val="000000" w:themeColor="text1"/>
          <w:sz w:val="22"/>
          <w:szCs w:val="22"/>
        </w:rPr>
        <w:t>Vertinimo kriterijai ir jų parametrų lyginamieji svoriai:</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4849"/>
        <w:gridCol w:w="1205"/>
        <w:gridCol w:w="1338"/>
        <w:gridCol w:w="1904"/>
      </w:tblGrid>
      <w:tr w:rsidR="00D917CA" w:rsidRPr="00D917CA" w:rsidTr="00DA4E89">
        <w:tc>
          <w:tcPr>
            <w:tcW w:w="3345" w:type="pct"/>
            <w:gridSpan w:val="3"/>
            <w:shd w:val="clear" w:color="auto" w:fill="D9D9D9"/>
            <w:vAlign w:val="center"/>
            <w:hideMark/>
          </w:tcPr>
          <w:p w:rsidR="00D917CA" w:rsidRPr="00D917CA" w:rsidRDefault="00D917CA" w:rsidP="00DA4E89">
            <w:pPr>
              <w:spacing w:line="256" w:lineRule="auto"/>
              <w:jc w:val="center"/>
              <w:rPr>
                <w:b/>
                <w:bCs/>
                <w:color w:val="000000" w:themeColor="text1"/>
                <w:sz w:val="22"/>
                <w:szCs w:val="22"/>
              </w:rPr>
            </w:pPr>
            <w:r w:rsidRPr="00D917CA">
              <w:rPr>
                <w:rFonts w:eastAsia="Times New Roman"/>
                <w:b/>
                <w:color w:val="000000" w:themeColor="text1"/>
                <w:sz w:val="22"/>
                <w:szCs w:val="22"/>
              </w:rPr>
              <w:t>Vertinimo kriterijai</w:t>
            </w:r>
          </w:p>
        </w:tc>
        <w:tc>
          <w:tcPr>
            <w:tcW w:w="683" w:type="pct"/>
            <w:shd w:val="clear" w:color="auto" w:fill="D9D9D9"/>
            <w:vAlign w:val="center"/>
            <w:hideMark/>
          </w:tcPr>
          <w:p w:rsidR="00D917CA" w:rsidRPr="00D917CA" w:rsidRDefault="00D917CA" w:rsidP="00DA4E89">
            <w:pPr>
              <w:spacing w:line="256" w:lineRule="auto"/>
              <w:ind w:left="-14" w:right="-90"/>
              <w:jc w:val="center"/>
              <w:rPr>
                <w:rFonts w:eastAsia="Times New Roman"/>
                <w:b/>
                <w:color w:val="000000" w:themeColor="text1"/>
                <w:sz w:val="22"/>
                <w:szCs w:val="22"/>
              </w:rPr>
            </w:pPr>
            <w:r w:rsidRPr="00D917CA">
              <w:rPr>
                <w:rFonts w:eastAsia="Times New Roman"/>
                <w:b/>
                <w:color w:val="000000" w:themeColor="text1"/>
                <w:sz w:val="22"/>
                <w:szCs w:val="22"/>
              </w:rPr>
              <w:t>Parametro lyginamasis svoris</w:t>
            </w:r>
          </w:p>
        </w:tc>
        <w:tc>
          <w:tcPr>
            <w:tcW w:w="972" w:type="pct"/>
            <w:shd w:val="clear" w:color="auto" w:fill="D9D9D9"/>
            <w:vAlign w:val="center"/>
            <w:hideMark/>
          </w:tcPr>
          <w:p w:rsidR="00D917CA" w:rsidRPr="00D917CA" w:rsidRDefault="00D917CA" w:rsidP="00DA4E89">
            <w:pPr>
              <w:spacing w:line="256" w:lineRule="auto"/>
              <w:jc w:val="center"/>
              <w:rPr>
                <w:rFonts w:eastAsia="Times New Roman"/>
                <w:b/>
                <w:color w:val="000000" w:themeColor="text1"/>
                <w:sz w:val="22"/>
                <w:szCs w:val="22"/>
              </w:rPr>
            </w:pPr>
            <w:r w:rsidRPr="00D917CA">
              <w:rPr>
                <w:rFonts w:eastAsia="Times New Roman"/>
                <w:b/>
                <w:color w:val="000000" w:themeColor="text1"/>
                <w:sz w:val="22"/>
                <w:szCs w:val="22"/>
              </w:rPr>
              <w:t>Lyginamasis svoris ekonominio naudingumo įvertinime</w:t>
            </w:r>
          </w:p>
        </w:tc>
      </w:tr>
      <w:tr w:rsidR="00D917CA" w:rsidRPr="00D917CA" w:rsidTr="00DA4E89">
        <w:trPr>
          <w:trHeight w:hRule="exact" w:val="274"/>
        </w:trPr>
        <w:tc>
          <w:tcPr>
            <w:tcW w:w="4028" w:type="pct"/>
            <w:gridSpan w:val="4"/>
            <w:shd w:val="clear" w:color="auto" w:fill="D9D9D9"/>
            <w:vAlign w:val="center"/>
            <w:hideMark/>
          </w:tcPr>
          <w:p w:rsidR="00D917CA" w:rsidRPr="00D917CA" w:rsidRDefault="00D917CA" w:rsidP="00DA4E89">
            <w:pPr>
              <w:spacing w:line="256" w:lineRule="auto"/>
              <w:rPr>
                <w:b/>
                <w:bCs/>
                <w:color w:val="000000" w:themeColor="text1"/>
                <w:sz w:val="22"/>
                <w:szCs w:val="22"/>
              </w:rPr>
            </w:pPr>
            <w:r w:rsidRPr="00D917CA">
              <w:rPr>
                <w:rFonts w:eastAsia="Times New Roman"/>
                <w:b/>
                <w:color w:val="000000" w:themeColor="text1"/>
                <w:sz w:val="22"/>
                <w:szCs w:val="22"/>
              </w:rPr>
              <w:t>Kaina (K)</w:t>
            </w:r>
          </w:p>
        </w:tc>
        <w:tc>
          <w:tcPr>
            <w:tcW w:w="972" w:type="pct"/>
            <w:shd w:val="clear" w:color="auto" w:fill="D9D9D9"/>
            <w:hideMark/>
          </w:tcPr>
          <w:p w:rsidR="00D917CA" w:rsidRPr="00D917CA" w:rsidRDefault="00D917CA" w:rsidP="00DA4E89">
            <w:pPr>
              <w:spacing w:line="256" w:lineRule="auto"/>
              <w:jc w:val="center"/>
              <w:rPr>
                <w:b/>
                <w:bCs/>
                <w:color w:val="000000" w:themeColor="text1"/>
                <w:sz w:val="22"/>
                <w:szCs w:val="22"/>
              </w:rPr>
            </w:pPr>
            <w:r w:rsidRPr="00D917CA">
              <w:rPr>
                <w:rFonts w:eastAsia="Times New Roman"/>
                <w:b/>
                <w:color w:val="000000" w:themeColor="text1"/>
                <w:sz w:val="22"/>
                <w:szCs w:val="22"/>
              </w:rPr>
              <w:t>X=80</w:t>
            </w:r>
          </w:p>
        </w:tc>
      </w:tr>
      <w:tr w:rsidR="00D917CA" w:rsidRPr="00D917CA" w:rsidTr="00DA4E89">
        <w:trPr>
          <w:trHeight w:hRule="exact" w:val="291"/>
        </w:trPr>
        <w:tc>
          <w:tcPr>
            <w:tcW w:w="4028" w:type="pct"/>
            <w:gridSpan w:val="4"/>
            <w:shd w:val="clear" w:color="auto" w:fill="D9D9D9"/>
            <w:vAlign w:val="center"/>
            <w:hideMark/>
          </w:tcPr>
          <w:p w:rsidR="00D917CA" w:rsidRPr="00D917CA" w:rsidRDefault="00D917CA" w:rsidP="00DA4E89">
            <w:pPr>
              <w:spacing w:line="256" w:lineRule="auto"/>
              <w:rPr>
                <w:b/>
                <w:bCs/>
                <w:color w:val="000000" w:themeColor="text1"/>
                <w:sz w:val="22"/>
                <w:szCs w:val="22"/>
              </w:rPr>
            </w:pPr>
            <w:r w:rsidRPr="00D917CA">
              <w:rPr>
                <w:rFonts w:eastAsia="Times New Roman"/>
                <w:b/>
                <w:color w:val="000000" w:themeColor="text1"/>
                <w:sz w:val="22"/>
                <w:szCs w:val="22"/>
              </w:rPr>
              <w:t>Techniniai pranašumai (T)</w:t>
            </w:r>
          </w:p>
        </w:tc>
        <w:tc>
          <w:tcPr>
            <w:tcW w:w="972" w:type="pct"/>
            <w:shd w:val="clear" w:color="auto" w:fill="D9D9D9"/>
            <w:hideMark/>
          </w:tcPr>
          <w:p w:rsidR="00D917CA" w:rsidRPr="00D917CA" w:rsidRDefault="00D917CA" w:rsidP="00DA4E89">
            <w:pPr>
              <w:spacing w:line="256" w:lineRule="auto"/>
              <w:jc w:val="center"/>
              <w:rPr>
                <w:b/>
                <w:bCs/>
                <w:color w:val="000000" w:themeColor="text1"/>
                <w:sz w:val="22"/>
                <w:szCs w:val="22"/>
              </w:rPr>
            </w:pPr>
            <w:r w:rsidRPr="00D917CA">
              <w:rPr>
                <w:rFonts w:eastAsia="Times New Roman"/>
                <w:b/>
                <w:color w:val="000000" w:themeColor="text1"/>
                <w:sz w:val="22"/>
                <w:szCs w:val="22"/>
              </w:rPr>
              <w:t>Y=20</w:t>
            </w:r>
          </w:p>
        </w:tc>
      </w:tr>
      <w:tr w:rsidR="00D917CA" w:rsidRPr="00D917CA" w:rsidTr="00DA4E89">
        <w:trPr>
          <w:trHeight w:hRule="exact" w:val="271"/>
        </w:trPr>
        <w:tc>
          <w:tcPr>
            <w:tcW w:w="254" w:type="pct"/>
            <w:hideMark/>
          </w:tcPr>
          <w:p w:rsidR="00D917CA" w:rsidRPr="00D917CA" w:rsidRDefault="00D917CA" w:rsidP="00DA4E89">
            <w:pPr>
              <w:spacing w:line="256" w:lineRule="auto"/>
              <w:ind w:right="-81"/>
              <w:jc w:val="center"/>
              <w:rPr>
                <w:rFonts w:eastAsia="Times New Roman"/>
                <w:b/>
                <w:color w:val="000000" w:themeColor="text1"/>
                <w:sz w:val="22"/>
                <w:szCs w:val="22"/>
              </w:rPr>
            </w:pPr>
            <w:r w:rsidRPr="00D917CA">
              <w:rPr>
                <w:rFonts w:eastAsia="Times New Roman"/>
                <w:b/>
                <w:color w:val="000000" w:themeColor="text1"/>
                <w:sz w:val="22"/>
                <w:szCs w:val="22"/>
              </w:rPr>
              <w:t>Nr.</w:t>
            </w:r>
          </w:p>
        </w:tc>
        <w:tc>
          <w:tcPr>
            <w:tcW w:w="2476" w:type="pct"/>
            <w:hideMark/>
          </w:tcPr>
          <w:p w:rsidR="00D917CA" w:rsidRPr="00D917CA" w:rsidRDefault="00D917CA" w:rsidP="00DA4E89">
            <w:pPr>
              <w:spacing w:line="256" w:lineRule="auto"/>
              <w:jc w:val="center"/>
              <w:rPr>
                <w:rFonts w:eastAsia="Times New Roman"/>
                <w:b/>
                <w:color w:val="000000" w:themeColor="text1"/>
                <w:sz w:val="22"/>
                <w:szCs w:val="22"/>
              </w:rPr>
            </w:pPr>
            <w:r w:rsidRPr="00D917CA">
              <w:rPr>
                <w:rFonts w:eastAsia="Times New Roman"/>
                <w:b/>
                <w:color w:val="000000" w:themeColor="text1"/>
                <w:sz w:val="22"/>
                <w:szCs w:val="22"/>
              </w:rPr>
              <w:t>Parametrai</w:t>
            </w:r>
          </w:p>
        </w:tc>
        <w:tc>
          <w:tcPr>
            <w:tcW w:w="1298" w:type="pct"/>
            <w:gridSpan w:val="2"/>
            <w:vAlign w:val="center"/>
            <w:hideMark/>
          </w:tcPr>
          <w:p w:rsidR="00D917CA" w:rsidRPr="00D917CA" w:rsidRDefault="00D917CA" w:rsidP="00DA4E89">
            <w:pPr>
              <w:spacing w:line="256" w:lineRule="auto"/>
              <w:ind w:right="-250" w:hanging="108"/>
              <w:jc w:val="center"/>
              <w:rPr>
                <w:rFonts w:eastAsia="Times New Roman"/>
                <w:b/>
                <w:color w:val="000000" w:themeColor="text1"/>
                <w:sz w:val="22"/>
                <w:szCs w:val="22"/>
              </w:rPr>
            </w:pPr>
            <w:r w:rsidRPr="00D917CA">
              <w:rPr>
                <w:rFonts w:eastAsia="Times New Roman"/>
                <w:b/>
                <w:color w:val="000000" w:themeColor="text1"/>
                <w:sz w:val="22"/>
                <w:szCs w:val="22"/>
              </w:rPr>
              <w:t>Vertinimo būdas</w:t>
            </w:r>
          </w:p>
        </w:tc>
        <w:tc>
          <w:tcPr>
            <w:tcW w:w="972" w:type="pct"/>
          </w:tcPr>
          <w:p w:rsidR="00D917CA" w:rsidRPr="00D917CA" w:rsidRDefault="00D917CA" w:rsidP="00DA4E89">
            <w:pPr>
              <w:spacing w:line="256" w:lineRule="auto"/>
              <w:jc w:val="center"/>
              <w:rPr>
                <w:rFonts w:eastAsia="Times New Roman"/>
                <w:b/>
                <w:color w:val="000000" w:themeColor="text1"/>
                <w:sz w:val="22"/>
                <w:szCs w:val="22"/>
              </w:rPr>
            </w:pPr>
          </w:p>
        </w:tc>
      </w:tr>
      <w:tr w:rsidR="00D917CA" w:rsidRPr="00D917CA" w:rsidTr="00DA4E89">
        <w:trPr>
          <w:trHeight w:val="582"/>
        </w:trPr>
        <w:tc>
          <w:tcPr>
            <w:tcW w:w="254" w:type="pct"/>
            <w:vAlign w:val="center"/>
            <w:hideMark/>
          </w:tcPr>
          <w:p w:rsidR="00D917CA" w:rsidRPr="00D917CA" w:rsidRDefault="00D917CA" w:rsidP="00DA4E89">
            <w:pPr>
              <w:jc w:val="center"/>
              <w:rPr>
                <w:rFonts w:eastAsia="Times New Roman"/>
                <w:color w:val="000000" w:themeColor="text1"/>
                <w:sz w:val="22"/>
                <w:szCs w:val="22"/>
                <w:vertAlign w:val="subscript"/>
              </w:rPr>
            </w:pPr>
            <w:r w:rsidRPr="00D917CA">
              <w:rPr>
                <w:rFonts w:eastAsia="Times New Roman"/>
                <w:color w:val="000000" w:themeColor="text1"/>
                <w:sz w:val="22"/>
                <w:szCs w:val="22"/>
              </w:rPr>
              <w:t>T</w:t>
            </w:r>
            <w:r w:rsidRPr="00D917CA">
              <w:rPr>
                <w:rFonts w:eastAsia="Times New Roman"/>
                <w:color w:val="000000" w:themeColor="text1"/>
                <w:sz w:val="22"/>
                <w:szCs w:val="22"/>
                <w:vertAlign w:val="subscript"/>
              </w:rPr>
              <w:t>1</w:t>
            </w:r>
          </w:p>
        </w:tc>
        <w:tc>
          <w:tcPr>
            <w:tcW w:w="2476" w:type="pct"/>
            <w:vAlign w:val="center"/>
          </w:tcPr>
          <w:p w:rsidR="00D917CA" w:rsidRPr="00D917CA" w:rsidRDefault="00D917CA" w:rsidP="00DA4E89">
            <w:pPr>
              <w:ind w:left="28"/>
              <w:rPr>
                <w:rFonts w:eastAsia="Times New Roman"/>
                <w:color w:val="000000" w:themeColor="text1"/>
                <w:sz w:val="22"/>
                <w:szCs w:val="22"/>
              </w:rPr>
            </w:pPr>
            <w:r w:rsidRPr="00D917CA">
              <w:rPr>
                <w:rFonts w:eastAsia="Times New Roman"/>
                <w:color w:val="000000" w:themeColor="text1"/>
                <w:sz w:val="22"/>
                <w:szCs w:val="22"/>
              </w:rPr>
              <w:t>Elektrochirurgijos prietaisas turi instrumentų atpažinimo funkciją.</w:t>
            </w:r>
          </w:p>
        </w:tc>
        <w:tc>
          <w:tcPr>
            <w:tcW w:w="615" w:type="pct"/>
            <w:vAlign w:val="center"/>
            <w:hideMark/>
          </w:tcPr>
          <w:p w:rsidR="00D917CA" w:rsidRPr="00D917CA" w:rsidRDefault="00D917CA" w:rsidP="00DA4E89">
            <w:pPr>
              <w:jc w:val="center"/>
              <w:rPr>
                <w:rFonts w:eastAsia="Times New Roman"/>
                <w:color w:val="000000" w:themeColor="text1"/>
                <w:sz w:val="22"/>
                <w:szCs w:val="22"/>
              </w:rPr>
            </w:pPr>
            <w:r w:rsidRPr="00D917CA">
              <w:rPr>
                <w:rFonts w:eastAsia="Times New Roman"/>
                <w:color w:val="000000" w:themeColor="text1"/>
                <w:sz w:val="22"/>
                <w:szCs w:val="22"/>
              </w:rPr>
              <w:t xml:space="preserve">Statinis: </w:t>
            </w:r>
          </w:p>
          <w:p w:rsidR="00D917CA" w:rsidRPr="00D917CA" w:rsidRDefault="00D917CA" w:rsidP="00DA4E89">
            <w:pPr>
              <w:jc w:val="center"/>
              <w:rPr>
                <w:rFonts w:eastAsia="Times New Roman"/>
                <w:color w:val="000000" w:themeColor="text1"/>
                <w:sz w:val="22"/>
                <w:szCs w:val="22"/>
              </w:rPr>
            </w:pPr>
            <w:r w:rsidRPr="00D917CA">
              <w:rPr>
                <w:rFonts w:eastAsia="Times New Roman"/>
                <w:color w:val="000000" w:themeColor="text1"/>
                <w:sz w:val="22"/>
                <w:szCs w:val="22"/>
              </w:rPr>
              <w:t>(yra/nėra)</w:t>
            </w:r>
          </w:p>
        </w:tc>
        <w:tc>
          <w:tcPr>
            <w:tcW w:w="683" w:type="pct"/>
            <w:vAlign w:val="center"/>
            <w:hideMark/>
          </w:tcPr>
          <w:p w:rsidR="00D917CA" w:rsidRPr="00D917CA" w:rsidRDefault="00D917CA" w:rsidP="00DA4E89">
            <w:pPr>
              <w:ind w:left="522" w:hanging="491"/>
              <w:jc w:val="center"/>
              <w:rPr>
                <w:rFonts w:eastAsia="Times New Roman"/>
                <w:color w:val="000000" w:themeColor="text1"/>
                <w:sz w:val="22"/>
                <w:szCs w:val="22"/>
              </w:rPr>
            </w:pPr>
            <w:r w:rsidRPr="00D917CA">
              <w:rPr>
                <w:rFonts w:eastAsia="Times New Roman"/>
                <w:color w:val="000000" w:themeColor="text1"/>
                <w:sz w:val="22"/>
                <w:szCs w:val="22"/>
              </w:rPr>
              <w:t>L</w:t>
            </w:r>
            <w:r w:rsidRPr="00D917CA">
              <w:rPr>
                <w:rFonts w:eastAsia="Times New Roman"/>
                <w:color w:val="000000" w:themeColor="text1"/>
                <w:sz w:val="22"/>
                <w:szCs w:val="22"/>
                <w:vertAlign w:val="subscript"/>
              </w:rPr>
              <w:t>1</w:t>
            </w:r>
            <w:r w:rsidRPr="00D917CA">
              <w:rPr>
                <w:rFonts w:eastAsia="Times New Roman"/>
                <w:color w:val="000000" w:themeColor="text1"/>
                <w:sz w:val="22"/>
                <w:szCs w:val="22"/>
              </w:rPr>
              <w:t xml:space="preserve"> = 1</w:t>
            </w:r>
          </w:p>
        </w:tc>
        <w:tc>
          <w:tcPr>
            <w:tcW w:w="972" w:type="pct"/>
            <w:vAlign w:val="center"/>
          </w:tcPr>
          <w:p w:rsidR="00D917CA" w:rsidRPr="00D917CA" w:rsidRDefault="00D917CA" w:rsidP="00DA4E89">
            <w:pPr>
              <w:jc w:val="center"/>
              <w:rPr>
                <w:rFonts w:eastAsia="Times New Roman"/>
                <w:color w:val="808080" w:themeColor="background1" w:themeShade="80"/>
                <w:sz w:val="22"/>
                <w:szCs w:val="22"/>
              </w:rPr>
            </w:pPr>
            <w:r w:rsidRPr="00D917CA">
              <w:rPr>
                <w:rFonts w:eastAsia="Times New Roman"/>
                <w:color w:val="808080" w:themeColor="background1" w:themeShade="80"/>
                <w:sz w:val="22"/>
                <w:szCs w:val="22"/>
              </w:rPr>
              <w:t xml:space="preserve">Įrašyti parametro vertę: </w:t>
            </w:r>
          </w:p>
          <w:p w:rsidR="00D917CA" w:rsidRPr="00D917CA" w:rsidRDefault="00D917CA" w:rsidP="00DA4E89">
            <w:pPr>
              <w:jc w:val="center"/>
              <w:rPr>
                <w:rFonts w:eastAsia="Times New Roman"/>
                <w:color w:val="000000" w:themeColor="text1"/>
                <w:sz w:val="22"/>
                <w:szCs w:val="22"/>
              </w:rPr>
            </w:pPr>
            <w:r w:rsidRPr="00D917CA">
              <w:rPr>
                <w:rFonts w:eastAsia="Times New Roman"/>
                <w:color w:val="808080" w:themeColor="background1" w:themeShade="80"/>
                <w:sz w:val="22"/>
                <w:szCs w:val="22"/>
              </w:rPr>
              <w:t>yra/nėra</w:t>
            </w:r>
          </w:p>
        </w:tc>
      </w:tr>
    </w:tbl>
    <w:p w:rsidR="00D917CA" w:rsidRPr="00D917CA" w:rsidRDefault="00D917CA" w:rsidP="00D917CA">
      <w:pPr>
        <w:shd w:val="clear" w:color="auto" w:fill="FFFFFF"/>
        <w:spacing w:line="254" w:lineRule="auto"/>
        <w:jc w:val="both"/>
        <w:rPr>
          <w:rFonts w:eastAsia="Times New Roman"/>
          <w:color w:val="000000" w:themeColor="text1"/>
          <w:sz w:val="22"/>
          <w:szCs w:val="22"/>
        </w:rPr>
      </w:pPr>
    </w:p>
    <w:p w:rsidR="00D917CA" w:rsidRPr="00D917CA" w:rsidRDefault="00314B89" w:rsidP="00314B89">
      <w:pPr>
        <w:shd w:val="clear" w:color="auto" w:fill="FFFFFF"/>
        <w:ind w:firstLine="567"/>
        <w:jc w:val="both"/>
        <w:rPr>
          <w:color w:val="000000" w:themeColor="text1"/>
          <w:sz w:val="22"/>
          <w:szCs w:val="22"/>
        </w:rPr>
      </w:pPr>
      <w:r>
        <w:rPr>
          <w:color w:val="000000" w:themeColor="text1"/>
          <w:sz w:val="22"/>
          <w:szCs w:val="22"/>
        </w:rPr>
        <w:t xml:space="preserve">14.4.2. </w:t>
      </w:r>
      <w:r w:rsidR="00D917CA" w:rsidRPr="00D917CA">
        <w:rPr>
          <w:color w:val="000000" w:themeColor="text1"/>
          <w:sz w:val="22"/>
          <w:szCs w:val="22"/>
        </w:rPr>
        <w:t>Pasiūlymo ekonominio naudingumo (kainos ir kokybės santykio) apskaičiavimo tvarka (formulė) yra pateikiama žemiau:</w:t>
      </w:r>
    </w:p>
    <w:p w:rsidR="00D917CA" w:rsidRPr="00D917CA" w:rsidRDefault="00D917CA" w:rsidP="00314B89">
      <w:pPr>
        <w:pStyle w:val="ListParagraph"/>
        <w:shd w:val="clear" w:color="auto" w:fill="FFFFFF"/>
        <w:ind w:left="0" w:firstLine="567"/>
        <w:jc w:val="both"/>
        <w:rPr>
          <w:rFonts w:ascii="Times New Roman" w:hAnsi="Times New Roman"/>
          <w:noProof/>
          <w:color w:val="000000" w:themeColor="text1"/>
        </w:rPr>
      </w:pPr>
      <w:r w:rsidRPr="00D917CA">
        <w:rPr>
          <w:rFonts w:ascii="Times New Roman" w:hAnsi="Times New Roman"/>
          <w:noProof/>
          <w:color w:val="000000" w:themeColor="text1"/>
        </w:rPr>
        <w:t>1. Pasiūlymo ekonominis naudingumas (E) apskaičiuojamas sudedant tiekėjo pasiūlymo kainos (K) ir techninių pranašumų (T) balus:</w:t>
      </w:r>
    </w:p>
    <w:p w:rsidR="00D917CA" w:rsidRPr="00D917CA" w:rsidRDefault="00D917CA" w:rsidP="00314B89">
      <w:pPr>
        <w:shd w:val="clear" w:color="auto" w:fill="FFFFFF"/>
        <w:ind w:firstLine="567"/>
        <w:jc w:val="center"/>
        <w:rPr>
          <w:color w:val="000000" w:themeColor="text1"/>
          <w:sz w:val="22"/>
          <w:szCs w:val="22"/>
        </w:rPr>
      </w:pPr>
      <w:r w:rsidRPr="00D917CA">
        <w:rPr>
          <w:i/>
          <w:iCs/>
          <w:color w:val="000000" w:themeColor="text1"/>
          <w:sz w:val="22"/>
          <w:szCs w:val="22"/>
        </w:rPr>
        <w:t xml:space="preserve">E </w:t>
      </w:r>
      <w:r w:rsidRPr="00D917CA">
        <w:rPr>
          <w:color w:val="000000" w:themeColor="text1"/>
          <w:sz w:val="22"/>
          <w:szCs w:val="22"/>
        </w:rPr>
        <w:t xml:space="preserve">= </w:t>
      </w:r>
      <w:r w:rsidRPr="00D917CA">
        <w:rPr>
          <w:i/>
          <w:color w:val="000000" w:themeColor="text1"/>
          <w:sz w:val="22"/>
          <w:szCs w:val="22"/>
        </w:rPr>
        <w:t>K</w:t>
      </w:r>
      <w:r w:rsidRPr="00D917CA">
        <w:rPr>
          <w:i/>
          <w:iCs/>
          <w:color w:val="000000" w:themeColor="text1"/>
          <w:sz w:val="22"/>
          <w:szCs w:val="22"/>
        </w:rPr>
        <w:t>+ T</w:t>
      </w:r>
    </w:p>
    <w:p w:rsidR="00D917CA" w:rsidRPr="00D917CA" w:rsidRDefault="00D917CA" w:rsidP="00314B89">
      <w:pPr>
        <w:pStyle w:val="ListParagraph"/>
        <w:shd w:val="clear" w:color="auto" w:fill="FFFFFF"/>
        <w:ind w:left="0" w:firstLine="567"/>
        <w:jc w:val="both"/>
        <w:rPr>
          <w:rFonts w:ascii="Times New Roman" w:hAnsi="Times New Roman"/>
          <w:noProof/>
          <w:color w:val="000000" w:themeColor="text1"/>
        </w:rPr>
      </w:pPr>
      <w:r w:rsidRPr="00D917CA">
        <w:rPr>
          <w:rFonts w:ascii="Times New Roman" w:hAnsi="Times New Roman"/>
          <w:noProof/>
          <w:color w:val="000000" w:themeColor="text1"/>
        </w:rPr>
        <w:t>2. Pasiūlymo kainos (K) balai apskaičiuojami mažiausios pasiūlytos kainos (K</w:t>
      </w:r>
      <w:r w:rsidRPr="00D917CA">
        <w:rPr>
          <w:rFonts w:ascii="Times New Roman" w:hAnsi="Times New Roman"/>
          <w:noProof/>
          <w:color w:val="000000" w:themeColor="text1"/>
          <w:vertAlign w:val="subscript"/>
        </w:rPr>
        <w:t>min</w:t>
      </w:r>
      <w:r w:rsidRPr="00D917CA">
        <w:rPr>
          <w:rFonts w:ascii="Times New Roman" w:hAnsi="Times New Roman"/>
          <w:noProof/>
          <w:color w:val="000000" w:themeColor="text1"/>
        </w:rPr>
        <w:t>) ir vertinamo pasiūlymo kainos (K</w:t>
      </w:r>
      <w:r w:rsidRPr="00D917CA">
        <w:rPr>
          <w:rFonts w:ascii="Times New Roman" w:hAnsi="Times New Roman"/>
          <w:noProof/>
          <w:color w:val="000000" w:themeColor="text1"/>
          <w:vertAlign w:val="subscript"/>
        </w:rPr>
        <w:t>v</w:t>
      </w:r>
      <w:r w:rsidRPr="00D917CA">
        <w:rPr>
          <w:rFonts w:ascii="Times New Roman" w:hAnsi="Times New Roman"/>
          <w:noProof/>
          <w:color w:val="000000" w:themeColor="text1"/>
        </w:rPr>
        <w:t>) santykį padauginant iš kainos lyginamojo svorio (X):</w:t>
      </w:r>
    </w:p>
    <w:p w:rsidR="00D917CA" w:rsidRPr="00D917CA" w:rsidRDefault="00D917CA" w:rsidP="00314B89">
      <w:pPr>
        <w:shd w:val="clear" w:color="auto" w:fill="FFFFFF"/>
        <w:ind w:firstLine="567"/>
        <w:jc w:val="center"/>
        <w:rPr>
          <w:rFonts w:eastAsiaTheme="minorEastAsia"/>
          <w:color w:val="000000" w:themeColor="text1"/>
          <w:sz w:val="22"/>
          <w:szCs w:val="22"/>
        </w:rPr>
      </w:pPr>
      <m:oMathPara>
        <m:oMath>
          <m:r>
            <w:rPr>
              <w:rFonts w:ascii="Cambria Math" w:hAnsi="Cambria Math"/>
              <w:color w:val="000000" w:themeColor="text1"/>
              <w:sz w:val="22"/>
              <w:szCs w:val="22"/>
            </w:rPr>
            <m:t>K=</m:t>
          </m:r>
          <m:f>
            <m:fPr>
              <m:ctrlPr>
                <w:rPr>
                  <w:rFonts w:ascii="Cambria Math" w:hAnsi="Cambria Math"/>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min</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v</m:t>
                  </m:r>
                </m:sub>
              </m:sSub>
            </m:den>
          </m:f>
          <m:r>
            <w:rPr>
              <w:rFonts w:ascii="Cambria Math" w:hAnsi="Cambria Math"/>
              <w:color w:val="000000" w:themeColor="text1"/>
              <w:sz w:val="22"/>
              <w:szCs w:val="22"/>
            </w:rPr>
            <m:t xml:space="preserve"> ×X</m:t>
          </m:r>
        </m:oMath>
      </m:oMathPara>
    </w:p>
    <w:p w:rsidR="00D917CA" w:rsidRPr="00D917CA" w:rsidRDefault="00D917CA" w:rsidP="00314B89">
      <w:pPr>
        <w:ind w:firstLine="567"/>
        <w:jc w:val="both"/>
        <w:rPr>
          <w:color w:val="000000" w:themeColor="text1"/>
          <w:sz w:val="22"/>
          <w:szCs w:val="22"/>
          <w:bdr w:val="none" w:sz="0" w:space="0" w:color="auto" w:frame="1"/>
        </w:rPr>
      </w:pPr>
      <w:r w:rsidRPr="00D917CA">
        <w:rPr>
          <w:color w:val="000000" w:themeColor="text1"/>
          <w:sz w:val="22"/>
          <w:szCs w:val="22"/>
          <w:bdr w:val="none" w:sz="0" w:space="0" w:color="auto" w:frame="1"/>
        </w:rPr>
        <w:t>3. Siūlomo objekto T</w:t>
      </w:r>
      <w:r w:rsidRPr="00D917CA">
        <w:rPr>
          <w:color w:val="000000" w:themeColor="text1"/>
          <w:sz w:val="22"/>
          <w:szCs w:val="22"/>
          <w:bdr w:val="none" w:sz="0" w:space="0" w:color="auto" w:frame="1"/>
          <w:vertAlign w:val="subscript"/>
        </w:rPr>
        <w:t>i</w:t>
      </w:r>
      <w:r w:rsidRPr="00D917CA">
        <w:rPr>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D917CA" w:rsidRPr="00D917CA" w:rsidRDefault="00D917CA" w:rsidP="00314B89">
      <w:pPr>
        <w:ind w:firstLine="567"/>
        <w:jc w:val="both"/>
        <w:rPr>
          <w:color w:val="000000" w:themeColor="text1"/>
          <w:sz w:val="22"/>
          <w:szCs w:val="22"/>
          <w:bdr w:val="none" w:sz="0" w:space="0" w:color="auto" w:frame="1"/>
        </w:rPr>
      </w:pPr>
      <w:r w:rsidRPr="00D917CA">
        <w:rPr>
          <w:color w:val="000000" w:themeColor="text1"/>
          <w:sz w:val="22"/>
          <w:szCs w:val="22"/>
          <w:bdr w:val="none" w:sz="0" w:space="0" w:color="auto" w:frame="1"/>
        </w:rPr>
        <w:t xml:space="preserve">Jei siūlomas objektas turi nurodytą pranašumą: </w:t>
      </w:r>
      <w:r w:rsidRPr="00D917CA">
        <w:rPr>
          <w:i/>
          <w:color w:val="000000" w:themeColor="text1"/>
          <w:sz w:val="22"/>
          <w:szCs w:val="22"/>
          <w:bdr w:val="none" w:sz="0" w:space="0" w:color="auto" w:frame="1"/>
        </w:rPr>
        <w:t>T</w:t>
      </w:r>
      <w:r w:rsidRPr="00D917CA">
        <w:rPr>
          <w:i/>
          <w:color w:val="000000" w:themeColor="text1"/>
          <w:sz w:val="22"/>
          <w:szCs w:val="22"/>
          <w:bdr w:val="none" w:sz="0" w:space="0" w:color="auto" w:frame="1"/>
          <w:vertAlign w:val="subscript"/>
        </w:rPr>
        <w:t>i</w:t>
      </w:r>
      <w:r w:rsidRPr="00D917CA">
        <w:rPr>
          <w:i/>
          <w:color w:val="000000" w:themeColor="text1"/>
          <w:sz w:val="22"/>
          <w:szCs w:val="22"/>
          <w:bdr w:val="none" w:sz="0" w:space="0" w:color="auto" w:frame="1"/>
        </w:rPr>
        <w:t xml:space="preserve"> = L</w:t>
      </w:r>
      <w:r w:rsidRPr="00D917CA">
        <w:rPr>
          <w:i/>
          <w:color w:val="000000" w:themeColor="text1"/>
          <w:sz w:val="22"/>
          <w:szCs w:val="22"/>
          <w:bdr w:val="none" w:sz="0" w:space="0" w:color="auto" w:frame="1"/>
          <w:vertAlign w:val="subscript"/>
        </w:rPr>
        <w:t>i</w:t>
      </w:r>
      <w:r w:rsidRPr="00D917CA">
        <w:rPr>
          <w:i/>
          <w:color w:val="000000" w:themeColor="text1"/>
          <w:sz w:val="22"/>
          <w:szCs w:val="22"/>
          <w:bdr w:val="none" w:sz="0" w:space="0" w:color="auto" w:frame="1"/>
        </w:rPr>
        <w:t>;</w:t>
      </w:r>
    </w:p>
    <w:p w:rsidR="00D917CA" w:rsidRPr="00D917CA" w:rsidRDefault="00D917CA" w:rsidP="00314B89">
      <w:pPr>
        <w:ind w:firstLine="567"/>
        <w:rPr>
          <w:i/>
          <w:color w:val="000000" w:themeColor="text1"/>
          <w:sz w:val="22"/>
          <w:szCs w:val="22"/>
          <w:bdr w:val="none" w:sz="0" w:space="0" w:color="auto" w:frame="1"/>
        </w:rPr>
      </w:pPr>
      <w:r w:rsidRPr="00D917CA">
        <w:rPr>
          <w:color w:val="000000" w:themeColor="text1"/>
          <w:sz w:val="22"/>
          <w:szCs w:val="22"/>
          <w:bdr w:val="none" w:sz="0" w:space="0" w:color="auto" w:frame="1"/>
        </w:rPr>
        <w:t xml:space="preserve">Jei siūlomas objektas neturi nurodyto pranašumo: </w:t>
      </w:r>
      <w:r w:rsidRPr="00D917CA">
        <w:rPr>
          <w:i/>
          <w:color w:val="000000" w:themeColor="text1"/>
          <w:sz w:val="22"/>
          <w:szCs w:val="22"/>
          <w:bdr w:val="none" w:sz="0" w:space="0" w:color="auto" w:frame="1"/>
        </w:rPr>
        <w:t>T</w:t>
      </w:r>
      <w:r w:rsidRPr="00D917CA">
        <w:rPr>
          <w:i/>
          <w:color w:val="000000" w:themeColor="text1"/>
          <w:sz w:val="22"/>
          <w:szCs w:val="22"/>
          <w:bdr w:val="none" w:sz="0" w:space="0" w:color="auto" w:frame="1"/>
          <w:vertAlign w:val="subscript"/>
        </w:rPr>
        <w:t>i</w:t>
      </w:r>
      <w:r w:rsidRPr="00D917CA">
        <w:rPr>
          <w:i/>
          <w:color w:val="000000" w:themeColor="text1"/>
          <w:sz w:val="22"/>
          <w:szCs w:val="22"/>
          <w:bdr w:val="none" w:sz="0" w:space="0" w:color="auto" w:frame="1"/>
        </w:rPr>
        <w:t xml:space="preserve"> = L</w:t>
      </w:r>
      <w:r w:rsidRPr="00D917CA">
        <w:rPr>
          <w:i/>
          <w:color w:val="000000" w:themeColor="text1"/>
          <w:sz w:val="22"/>
          <w:szCs w:val="22"/>
          <w:bdr w:val="none" w:sz="0" w:space="0" w:color="auto" w:frame="1"/>
          <w:vertAlign w:val="subscript"/>
        </w:rPr>
        <w:t>i</w:t>
      </w:r>
      <w:r w:rsidRPr="00D917CA">
        <w:rPr>
          <w:i/>
          <w:color w:val="000000" w:themeColor="text1"/>
          <w:sz w:val="22"/>
          <w:szCs w:val="22"/>
          <w:bdr w:val="none" w:sz="0" w:space="0" w:color="auto" w:frame="1"/>
        </w:rPr>
        <w:t>= 0;</w:t>
      </w:r>
    </w:p>
    <w:p w:rsidR="00D917CA" w:rsidRPr="00D917CA" w:rsidRDefault="00D917CA" w:rsidP="00314B89">
      <w:pPr>
        <w:shd w:val="clear" w:color="auto" w:fill="FFFFFF"/>
        <w:ind w:firstLine="567"/>
        <w:jc w:val="both"/>
        <w:rPr>
          <w:color w:val="000000" w:themeColor="text1"/>
          <w:sz w:val="22"/>
          <w:szCs w:val="22"/>
          <w:bdr w:val="none" w:sz="0" w:space="0" w:color="auto" w:frame="1"/>
        </w:rPr>
      </w:pPr>
    </w:p>
    <w:p w:rsidR="00D917CA" w:rsidRDefault="00D917CA" w:rsidP="00314B89">
      <w:pPr>
        <w:shd w:val="clear" w:color="auto" w:fill="FFFFFF"/>
        <w:ind w:firstLine="567"/>
        <w:jc w:val="both"/>
        <w:rPr>
          <w:color w:val="000000" w:themeColor="text1"/>
          <w:sz w:val="22"/>
          <w:szCs w:val="22"/>
          <w:bdr w:val="none" w:sz="0" w:space="0" w:color="auto" w:frame="1"/>
        </w:rPr>
      </w:pPr>
      <w:r w:rsidRPr="00D917CA">
        <w:rPr>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4A165F" w:rsidRPr="00D917CA" w:rsidRDefault="004A165F" w:rsidP="00314B89">
      <w:pPr>
        <w:shd w:val="clear" w:color="auto" w:fill="FFFFFF"/>
        <w:ind w:firstLine="567"/>
        <w:jc w:val="both"/>
        <w:rPr>
          <w:color w:val="000000" w:themeColor="text1"/>
          <w:sz w:val="22"/>
          <w:szCs w:val="22"/>
          <w:bdr w:val="none" w:sz="0" w:space="0" w:color="auto" w:frame="1"/>
        </w:rPr>
      </w:pPr>
    </w:p>
    <w:p w:rsidR="00D917CA" w:rsidRPr="00D917CA" w:rsidRDefault="00D917CA" w:rsidP="00314B89">
      <w:pPr>
        <w:ind w:firstLine="567"/>
        <w:jc w:val="center"/>
        <w:rPr>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1</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4A165F" w:rsidRDefault="004A165F" w:rsidP="00314B89">
      <w:pPr>
        <w:ind w:firstLine="567"/>
        <w:jc w:val="both"/>
        <w:rPr>
          <w:color w:val="000000" w:themeColor="text1"/>
          <w:sz w:val="22"/>
          <w:szCs w:val="22"/>
          <w:lang w:bidi="hi-IN"/>
        </w:rPr>
      </w:pPr>
    </w:p>
    <w:p w:rsidR="00D917CA" w:rsidRPr="005B497E" w:rsidRDefault="004A165F" w:rsidP="00314B89">
      <w:pPr>
        <w:ind w:firstLine="567"/>
        <w:jc w:val="both"/>
        <w:rPr>
          <w:rFonts w:eastAsia="Calibri"/>
          <w:color w:val="000000" w:themeColor="text1"/>
          <w:sz w:val="22"/>
          <w:szCs w:val="22"/>
        </w:rPr>
      </w:pPr>
      <w:r w:rsidRPr="005B497E">
        <w:rPr>
          <w:color w:val="000000" w:themeColor="text1"/>
          <w:sz w:val="22"/>
          <w:szCs w:val="22"/>
          <w:lang w:bidi="hi-IN"/>
        </w:rPr>
        <w:t xml:space="preserve">14.4.3. </w:t>
      </w:r>
      <w:r w:rsidR="00D917CA" w:rsidRPr="005B497E">
        <w:rPr>
          <w:color w:val="000000" w:themeColor="text1"/>
          <w:sz w:val="22"/>
          <w:szCs w:val="22"/>
          <w:lang w:bidi="hi-IN"/>
        </w:rPr>
        <w:t>Laimėjusiu Pasiūlymu bus pripažintas Pasiūlymas, atitinkantis visus Pirkimo dokumentuose nustatytus reikalavimus, kurio ekonominis naudingumas (E) bus didžiausias.</w:t>
      </w:r>
    </w:p>
    <w:p w:rsidR="00D917CA" w:rsidRPr="005B497E" w:rsidRDefault="004A165F" w:rsidP="00314B89">
      <w:pPr>
        <w:ind w:firstLine="567"/>
        <w:jc w:val="both"/>
        <w:rPr>
          <w:color w:val="000000" w:themeColor="text1"/>
          <w:sz w:val="22"/>
          <w:szCs w:val="22"/>
        </w:rPr>
      </w:pPr>
      <w:r w:rsidRPr="005B497E">
        <w:rPr>
          <w:rFonts w:eastAsia="Calibri"/>
          <w:color w:val="000000" w:themeColor="text1"/>
          <w:sz w:val="22"/>
          <w:szCs w:val="22"/>
        </w:rPr>
        <w:t xml:space="preserve">14.4.4. </w:t>
      </w:r>
      <w:r w:rsidR="00D917CA" w:rsidRPr="005B497E">
        <w:rPr>
          <w:rFonts w:eastAsia="Calibri"/>
          <w:color w:val="000000" w:themeColor="text1"/>
          <w:sz w:val="22"/>
          <w:szCs w:val="22"/>
        </w:rPr>
        <w:t>Tais atvejais, kai kelių dalyvių pasiūlymų ekonominis naudingumas yra vienodas, nustatant pasiūlymų eilę, pirmesnis į šią eilę įrašomas dalyvis, kurio pasiūlymas pateiktas anksčiausiai.</w:t>
      </w:r>
      <w:bookmarkStart w:id="2" w:name="_Toc47844937"/>
      <w:bookmarkStart w:id="3" w:name="_Toc60525491"/>
      <w:bookmarkEnd w:id="2"/>
      <w:bookmarkEnd w:id="3"/>
      <w:r w:rsidR="00D917CA" w:rsidRPr="005B497E">
        <w:rPr>
          <w:color w:val="000000" w:themeColor="text1"/>
          <w:sz w:val="22"/>
          <w:szCs w:val="22"/>
        </w:rPr>
        <w:t xml:space="preserve"> </w:t>
      </w:r>
    </w:p>
    <w:p w:rsidR="0068529E" w:rsidRPr="005B497E" w:rsidRDefault="0068529E"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35AEA" w:rsidRPr="005B497E" w:rsidRDefault="00535AEA" w:rsidP="00535AEA">
      <w:pPr>
        <w:tabs>
          <w:tab w:val="left" w:pos="993"/>
          <w:tab w:val="left" w:pos="1134"/>
          <w:tab w:val="left" w:pos="1276"/>
          <w:tab w:val="left" w:pos="1440"/>
          <w:tab w:val="left" w:pos="1560"/>
          <w:tab w:val="left" w:pos="2127"/>
        </w:tabs>
        <w:ind w:firstLine="567"/>
        <w:jc w:val="both"/>
        <w:rPr>
          <w:b/>
          <w:sz w:val="22"/>
          <w:szCs w:val="22"/>
        </w:rPr>
      </w:pPr>
      <w:r w:rsidRPr="005B497E">
        <w:rPr>
          <w:b/>
          <w:sz w:val="22"/>
          <w:szCs w:val="22"/>
        </w:rPr>
        <w:t>14.</w:t>
      </w:r>
      <w:r w:rsidR="002D1BD4" w:rsidRPr="005B497E">
        <w:rPr>
          <w:b/>
          <w:sz w:val="22"/>
          <w:szCs w:val="22"/>
        </w:rPr>
        <w:t xml:space="preserve">5. </w:t>
      </w:r>
      <w:r w:rsidRPr="005B497E">
        <w:rPr>
          <w:b/>
          <w:sz w:val="22"/>
          <w:szCs w:val="22"/>
        </w:rPr>
        <w:t xml:space="preserve"> </w:t>
      </w:r>
      <w:r w:rsidR="00305F75" w:rsidRPr="005B497E">
        <w:rPr>
          <w:b/>
          <w:sz w:val="22"/>
          <w:szCs w:val="22"/>
        </w:rPr>
        <w:t xml:space="preserve">2 </w:t>
      </w:r>
      <w:r w:rsidRPr="005B497E">
        <w:rPr>
          <w:b/>
          <w:sz w:val="22"/>
          <w:szCs w:val="22"/>
        </w:rPr>
        <w:t>pirkimo dalies</w:t>
      </w:r>
      <w:r w:rsidRPr="005B497E">
        <w:rPr>
          <w:rFonts w:eastAsia="Arial Unicode MS"/>
          <w:bCs/>
          <w:sz w:val="22"/>
          <w:szCs w:val="22"/>
          <w:bdr w:val="nil"/>
          <w:lang w:eastAsia="ar-SA"/>
        </w:rPr>
        <w:t xml:space="preserve"> „</w:t>
      </w:r>
      <w:r w:rsidR="004A165F" w:rsidRPr="005B497E">
        <w:rPr>
          <w:b/>
          <w:bCs/>
          <w:sz w:val="22"/>
          <w:szCs w:val="22"/>
        </w:rPr>
        <w:t>Videoendoskopinė sistema su priedais</w:t>
      </w:r>
      <w:r w:rsidRPr="005B497E">
        <w:rPr>
          <w:b/>
          <w:bCs/>
          <w:sz w:val="22"/>
          <w:szCs w:val="22"/>
        </w:rPr>
        <w:t>“</w:t>
      </w:r>
      <w:r w:rsidRPr="005B497E">
        <w:rPr>
          <w:b/>
          <w:sz w:val="22"/>
          <w:szCs w:val="22"/>
        </w:rPr>
        <w:t xml:space="preserve"> ekonominio vertinimo kriterijai:</w:t>
      </w:r>
    </w:p>
    <w:p w:rsidR="0052258D" w:rsidRPr="005B497E" w:rsidRDefault="00535AEA"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5B497E">
        <w:rPr>
          <w:rFonts w:eastAsia="Calibri"/>
          <w:color w:val="000000" w:themeColor="text1"/>
          <w:sz w:val="22"/>
          <w:szCs w:val="22"/>
        </w:rPr>
        <w:t>14.5.1.</w:t>
      </w:r>
      <w:r w:rsidR="0052258D" w:rsidRPr="005B497E">
        <w:rPr>
          <w:noProof/>
          <w:sz w:val="22"/>
          <w:szCs w:val="22"/>
        </w:rPr>
        <w:t xml:space="preserve"> </w:t>
      </w:r>
      <w:r w:rsidR="0052258D" w:rsidRPr="005B497E">
        <w:rPr>
          <w:rFonts w:eastAsia="Calibri"/>
          <w:color w:val="000000" w:themeColor="text1"/>
          <w:sz w:val="22"/>
          <w:szCs w:val="22"/>
        </w:rPr>
        <w:t>Numatytų vertinimo kriterijų lyginamieji svoriai:</w:t>
      </w:r>
    </w:p>
    <w:p w:rsidR="0052258D" w:rsidRPr="005B497E" w:rsidRDefault="005B497E"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B497E">
        <w:rPr>
          <w:rFonts w:eastAsia="Calibri"/>
          <w:color w:val="000000" w:themeColor="text1"/>
          <w:sz w:val="22"/>
          <w:szCs w:val="22"/>
        </w:rPr>
        <w:t>1) Kaina (K) – 6</w:t>
      </w:r>
      <w:r w:rsidR="0052258D" w:rsidRPr="005B497E">
        <w:rPr>
          <w:rFonts w:eastAsia="Calibri"/>
          <w:color w:val="000000" w:themeColor="text1"/>
          <w:sz w:val="22"/>
          <w:szCs w:val="22"/>
        </w:rPr>
        <w:t>0;</w:t>
      </w:r>
    </w:p>
    <w:p w:rsid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B497E">
        <w:rPr>
          <w:rFonts w:eastAsia="Calibri"/>
          <w:color w:val="000000" w:themeColor="text1"/>
          <w:sz w:val="22"/>
          <w:szCs w:val="22"/>
        </w:rPr>
        <w:t xml:space="preserve">2) Techniniai pranašumai (T) – </w:t>
      </w:r>
      <w:r w:rsidR="005B497E" w:rsidRPr="005B497E">
        <w:rPr>
          <w:rFonts w:eastAsia="Calibri"/>
          <w:color w:val="000000" w:themeColor="text1"/>
          <w:sz w:val="22"/>
          <w:szCs w:val="22"/>
        </w:rPr>
        <w:t>4</w:t>
      </w:r>
      <w:r w:rsidRPr="005B497E">
        <w:rPr>
          <w:rFonts w:eastAsia="Calibri"/>
          <w:color w:val="000000" w:themeColor="text1"/>
          <w:sz w:val="22"/>
          <w:szCs w:val="22"/>
        </w:rPr>
        <w:t>0</w:t>
      </w:r>
      <w:r w:rsidR="005B497E" w:rsidRPr="005B497E">
        <w:rPr>
          <w:rFonts w:eastAsia="Calibri"/>
          <w:color w:val="000000" w:themeColor="text1"/>
          <w:sz w:val="22"/>
          <w:szCs w:val="22"/>
        </w:rPr>
        <w:t>.</w:t>
      </w:r>
    </w:p>
    <w:p w:rsidR="005B497E" w:rsidRPr="005B497E" w:rsidRDefault="005B497E"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p>
    <w:p w:rsidR="005B497E" w:rsidRPr="005B497E" w:rsidRDefault="005B497E"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5B497E">
        <w:rPr>
          <w:rFonts w:eastAsia="Calibri"/>
          <w:color w:val="000000" w:themeColor="text1"/>
          <w:sz w:val="22"/>
          <w:szCs w:val="22"/>
        </w:rPr>
        <w:lastRenderedPageBreak/>
        <w:t>Vertinimo kriterijai ir jų parametrų lyginamieji svoriai:</w:t>
      </w:r>
    </w:p>
    <w:tbl>
      <w:tblPr>
        <w:tblW w:w="493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849"/>
        <w:gridCol w:w="1204"/>
        <w:gridCol w:w="1339"/>
        <w:gridCol w:w="1607"/>
      </w:tblGrid>
      <w:tr w:rsidR="005B497E" w:rsidRPr="005B497E" w:rsidTr="00D00563">
        <w:tc>
          <w:tcPr>
            <w:tcW w:w="3449"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bCs/>
                <w:noProof/>
                <w:color w:val="000000"/>
                <w:sz w:val="22"/>
                <w:szCs w:val="22"/>
              </w:rPr>
            </w:pPr>
            <w:r w:rsidRPr="005B497E">
              <w:rPr>
                <w:rFonts w:eastAsia="Times New Roman"/>
                <w:b/>
                <w:noProof/>
                <w:color w:val="000000"/>
                <w:sz w:val="22"/>
                <w:szCs w:val="22"/>
              </w:rPr>
              <w:t>Vertinimo kriterijai</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14" w:right="-90"/>
              <w:jc w:val="center"/>
              <w:rPr>
                <w:rFonts w:eastAsia="Times New Roman"/>
                <w:b/>
                <w:noProof/>
                <w:color w:val="000000"/>
                <w:sz w:val="22"/>
                <w:szCs w:val="22"/>
              </w:rPr>
            </w:pPr>
            <w:r w:rsidRPr="005B497E">
              <w:rPr>
                <w:rFonts w:eastAsia="Times New Roman"/>
                <w:b/>
                <w:noProof/>
                <w:color w:val="000000"/>
                <w:sz w:val="22"/>
                <w:szCs w:val="22"/>
              </w:rPr>
              <w:t>Parametro lyginamasis svoris</w:t>
            </w:r>
          </w:p>
        </w:tc>
        <w:tc>
          <w:tcPr>
            <w:tcW w:w="84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Times New Roman"/>
                <w:b/>
                <w:noProof/>
                <w:color w:val="000000"/>
                <w:sz w:val="22"/>
                <w:szCs w:val="22"/>
              </w:rPr>
            </w:pPr>
            <w:r w:rsidRPr="005B497E">
              <w:rPr>
                <w:rFonts w:eastAsia="Times New Roman"/>
                <w:b/>
                <w:noProof/>
                <w:color w:val="000000"/>
                <w:sz w:val="22"/>
                <w:szCs w:val="22"/>
              </w:rPr>
              <w:t>Lyginamasis svoris ekonominio naudingumo įvertinime</w:t>
            </w:r>
          </w:p>
        </w:tc>
      </w:tr>
      <w:tr w:rsidR="005B497E" w:rsidRPr="005B497E" w:rsidTr="00D00563">
        <w:trPr>
          <w:trHeight w:hRule="exact" w:val="274"/>
        </w:trPr>
        <w:tc>
          <w:tcPr>
            <w:tcW w:w="4153"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eastAsia="Calibri"/>
                <w:b/>
                <w:bCs/>
                <w:noProof/>
                <w:color w:val="000000"/>
                <w:sz w:val="22"/>
                <w:szCs w:val="22"/>
              </w:rPr>
            </w:pPr>
            <w:r w:rsidRPr="005B497E">
              <w:rPr>
                <w:rFonts w:eastAsia="Times New Roman"/>
                <w:b/>
                <w:noProof/>
                <w:color w:val="000000"/>
                <w:sz w:val="22"/>
                <w:szCs w:val="22"/>
              </w:rPr>
              <w:t>Kaina (K)</w:t>
            </w:r>
          </w:p>
        </w:tc>
        <w:tc>
          <w:tcPr>
            <w:tcW w:w="847" w:type="pct"/>
            <w:tcBorders>
              <w:top w:val="single" w:sz="4" w:space="0" w:color="auto"/>
              <w:left w:val="single" w:sz="4" w:space="0" w:color="auto"/>
              <w:bottom w:val="single" w:sz="4" w:space="0" w:color="auto"/>
              <w:right w:val="single" w:sz="4" w:space="0" w:color="auto"/>
            </w:tcBorders>
            <w:shd w:val="clear" w:color="auto" w:fill="D9D9D9"/>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bCs/>
                <w:noProof/>
                <w:color w:val="000000"/>
                <w:sz w:val="22"/>
                <w:szCs w:val="22"/>
              </w:rPr>
            </w:pPr>
            <w:r w:rsidRPr="005B497E">
              <w:rPr>
                <w:rFonts w:eastAsia="Times New Roman"/>
                <w:b/>
                <w:noProof/>
                <w:color w:val="000000"/>
                <w:sz w:val="22"/>
                <w:szCs w:val="22"/>
              </w:rPr>
              <w:t>X=60</w:t>
            </w:r>
          </w:p>
        </w:tc>
      </w:tr>
      <w:tr w:rsidR="005B497E" w:rsidRPr="005B497E" w:rsidTr="00D00563">
        <w:trPr>
          <w:trHeight w:hRule="exact" w:val="291"/>
        </w:trPr>
        <w:tc>
          <w:tcPr>
            <w:tcW w:w="4153"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rPr>
                <w:rFonts w:eastAsia="Calibri"/>
                <w:b/>
                <w:bCs/>
                <w:noProof/>
                <w:color w:val="000000"/>
                <w:sz w:val="22"/>
                <w:szCs w:val="22"/>
              </w:rPr>
            </w:pPr>
            <w:r w:rsidRPr="005B497E">
              <w:rPr>
                <w:rFonts w:eastAsia="Times New Roman"/>
                <w:b/>
                <w:noProof/>
                <w:color w:val="000000"/>
                <w:sz w:val="22"/>
                <w:szCs w:val="22"/>
              </w:rPr>
              <w:t>Techniniai pranašumai (T)</w:t>
            </w:r>
          </w:p>
        </w:tc>
        <w:tc>
          <w:tcPr>
            <w:tcW w:w="847" w:type="pct"/>
            <w:tcBorders>
              <w:top w:val="single" w:sz="4" w:space="0" w:color="auto"/>
              <w:left w:val="single" w:sz="4" w:space="0" w:color="auto"/>
              <w:bottom w:val="single" w:sz="4" w:space="0" w:color="auto"/>
              <w:right w:val="single" w:sz="4" w:space="0" w:color="auto"/>
            </w:tcBorders>
            <w:shd w:val="clear" w:color="auto" w:fill="D9D9D9"/>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Calibri"/>
                <w:b/>
                <w:bCs/>
                <w:noProof/>
                <w:color w:val="000000"/>
                <w:sz w:val="22"/>
                <w:szCs w:val="22"/>
              </w:rPr>
            </w:pPr>
            <w:r w:rsidRPr="005B497E">
              <w:rPr>
                <w:rFonts w:eastAsia="Times New Roman"/>
                <w:b/>
                <w:noProof/>
                <w:color w:val="000000"/>
                <w:sz w:val="22"/>
                <w:szCs w:val="22"/>
              </w:rPr>
              <w:t>Y=40</w:t>
            </w:r>
          </w:p>
        </w:tc>
      </w:tr>
      <w:tr w:rsidR="005B497E" w:rsidRPr="005B497E" w:rsidTr="00D00563">
        <w:trPr>
          <w:trHeight w:hRule="exact" w:val="271"/>
        </w:trPr>
        <w:tc>
          <w:tcPr>
            <w:tcW w:w="262" w:type="pct"/>
            <w:tcBorders>
              <w:top w:val="single" w:sz="4" w:space="0" w:color="auto"/>
              <w:left w:val="single" w:sz="4" w:space="0" w:color="auto"/>
              <w:bottom w:val="single" w:sz="4" w:space="0" w:color="auto"/>
              <w:right w:val="single" w:sz="4" w:space="0" w:color="auto"/>
            </w:tcBorders>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right="-81"/>
              <w:jc w:val="center"/>
              <w:rPr>
                <w:rFonts w:eastAsia="Times New Roman"/>
                <w:b/>
                <w:noProof/>
                <w:color w:val="000000"/>
                <w:sz w:val="22"/>
                <w:szCs w:val="22"/>
              </w:rPr>
            </w:pPr>
            <w:r w:rsidRPr="005B497E">
              <w:rPr>
                <w:rFonts w:eastAsia="Times New Roman"/>
                <w:b/>
                <w:noProof/>
                <w:color w:val="000000"/>
                <w:sz w:val="22"/>
                <w:szCs w:val="22"/>
              </w:rPr>
              <w:t>Nr.</w:t>
            </w:r>
          </w:p>
        </w:tc>
        <w:tc>
          <w:tcPr>
            <w:tcW w:w="2553" w:type="pct"/>
            <w:tcBorders>
              <w:top w:val="single" w:sz="4" w:space="0" w:color="auto"/>
              <w:left w:val="single" w:sz="4" w:space="0" w:color="auto"/>
              <w:bottom w:val="single" w:sz="4" w:space="0" w:color="auto"/>
              <w:right w:val="single" w:sz="4" w:space="0" w:color="auto"/>
            </w:tcBorders>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Times New Roman"/>
                <w:b/>
                <w:noProof/>
                <w:color w:val="000000"/>
                <w:sz w:val="22"/>
                <w:szCs w:val="22"/>
              </w:rPr>
            </w:pPr>
            <w:r w:rsidRPr="005B497E">
              <w:rPr>
                <w:rFonts w:eastAsia="Times New Roman"/>
                <w:b/>
                <w:noProof/>
                <w:color w:val="000000"/>
                <w:sz w:val="22"/>
                <w:szCs w:val="22"/>
              </w:rPr>
              <w:t>Parametrai</w:t>
            </w:r>
          </w:p>
        </w:tc>
        <w:tc>
          <w:tcPr>
            <w:tcW w:w="1339" w:type="pct"/>
            <w:gridSpan w:val="2"/>
            <w:tcBorders>
              <w:top w:val="single" w:sz="4" w:space="0" w:color="auto"/>
              <w:left w:val="single" w:sz="4" w:space="0" w:color="auto"/>
              <w:bottom w:val="single" w:sz="4" w:space="0" w:color="auto"/>
              <w:right w:val="single" w:sz="4" w:space="0" w:color="auto"/>
            </w:tcBorders>
            <w:vAlign w:val="center"/>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right="-250" w:hanging="108"/>
              <w:jc w:val="center"/>
              <w:rPr>
                <w:rFonts w:eastAsia="Times New Roman"/>
                <w:b/>
                <w:noProof/>
                <w:color w:val="000000"/>
                <w:sz w:val="22"/>
                <w:szCs w:val="22"/>
              </w:rPr>
            </w:pPr>
            <w:r w:rsidRPr="005B497E">
              <w:rPr>
                <w:rFonts w:eastAsia="Times New Roman"/>
                <w:b/>
                <w:noProof/>
                <w:color w:val="000000"/>
                <w:sz w:val="22"/>
                <w:szCs w:val="22"/>
              </w:rPr>
              <w:t>Vertinimo būdas</w:t>
            </w:r>
          </w:p>
        </w:tc>
        <w:tc>
          <w:tcPr>
            <w:tcW w:w="847" w:type="pct"/>
            <w:tcBorders>
              <w:top w:val="single" w:sz="4" w:space="0" w:color="auto"/>
              <w:left w:val="single" w:sz="4" w:space="0" w:color="auto"/>
              <w:bottom w:val="single" w:sz="4" w:space="0" w:color="auto"/>
              <w:right w:val="single" w:sz="4" w:space="0" w:color="auto"/>
            </w:tcBorders>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jc w:val="center"/>
              <w:rPr>
                <w:rFonts w:eastAsia="Times New Roman"/>
                <w:b/>
                <w:noProof/>
                <w:color w:val="000000"/>
                <w:sz w:val="22"/>
                <w:szCs w:val="22"/>
              </w:rPr>
            </w:pPr>
          </w:p>
        </w:tc>
      </w:tr>
      <w:tr w:rsidR="005B497E" w:rsidRPr="005B497E" w:rsidTr="00D00563">
        <w:trPr>
          <w:trHeight w:val="591"/>
        </w:trPr>
        <w:tc>
          <w:tcPr>
            <w:tcW w:w="262" w:type="pct"/>
            <w:tcBorders>
              <w:top w:val="single" w:sz="4" w:space="0" w:color="auto"/>
              <w:left w:val="single" w:sz="4" w:space="0" w:color="auto"/>
              <w:bottom w:val="single" w:sz="4" w:space="0" w:color="auto"/>
              <w:right w:val="single" w:sz="4" w:space="0" w:color="auto"/>
            </w:tcBorders>
            <w:vAlign w:val="center"/>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vertAlign w:val="subscript"/>
              </w:rPr>
            </w:pPr>
            <w:r w:rsidRPr="005B497E">
              <w:rPr>
                <w:rFonts w:eastAsia="Times New Roman"/>
                <w:noProof/>
                <w:color w:val="000000"/>
                <w:sz w:val="22"/>
                <w:szCs w:val="22"/>
              </w:rPr>
              <w:t>T</w:t>
            </w:r>
            <w:r w:rsidRPr="005B497E">
              <w:rPr>
                <w:rFonts w:eastAsia="Times New Roman"/>
                <w:noProof/>
                <w:color w:val="000000"/>
                <w:sz w:val="22"/>
                <w:szCs w:val="22"/>
                <w:vertAlign w:val="subscript"/>
              </w:rPr>
              <w:t>1</w:t>
            </w:r>
          </w:p>
        </w:tc>
        <w:tc>
          <w:tcPr>
            <w:tcW w:w="2553"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ind w:left="28"/>
              <w:jc w:val="both"/>
              <w:rPr>
                <w:rFonts w:eastAsia="Times New Roman"/>
                <w:noProof/>
                <w:color w:val="000000"/>
                <w:sz w:val="22"/>
                <w:szCs w:val="22"/>
              </w:rPr>
            </w:pPr>
            <w:r w:rsidRPr="005B497E">
              <w:rPr>
                <w:rFonts w:eastAsia="Times New Roman"/>
                <w:noProof/>
                <w:color w:val="000000"/>
                <w:sz w:val="22"/>
                <w:szCs w:val="22"/>
              </w:rPr>
              <w:t>Skaitmeninis vaizdo didinimas ≥ 3 kartai.</w:t>
            </w:r>
          </w:p>
        </w:tc>
        <w:tc>
          <w:tcPr>
            <w:tcW w:w="634" w:type="pct"/>
            <w:tcBorders>
              <w:top w:val="single" w:sz="4" w:space="0" w:color="auto"/>
              <w:left w:val="single" w:sz="4" w:space="0" w:color="auto"/>
              <w:bottom w:val="single" w:sz="4" w:space="0" w:color="auto"/>
              <w:right w:val="single" w:sz="4" w:space="0" w:color="auto"/>
            </w:tcBorders>
            <w:vAlign w:val="center"/>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r w:rsidRPr="005B497E">
              <w:rPr>
                <w:rFonts w:eastAsia="Times New Roman"/>
                <w:noProof/>
                <w:color w:val="000000"/>
                <w:sz w:val="22"/>
                <w:szCs w:val="22"/>
              </w:rPr>
              <w:t xml:space="preserve">Statinis: </w:t>
            </w:r>
          </w:p>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r w:rsidRPr="005B497E">
              <w:rPr>
                <w:rFonts w:eastAsia="Times New Roman"/>
                <w:noProof/>
                <w:color w:val="000000"/>
                <w:sz w:val="22"/>
                <w:szCs w:val="22"/>
              </w:rPr>
              <w:t>(yra/nėra)</w:t>
            </w:r>
          </w:p>
        </w:tc>
        <w:tc>
          <w:tcPr>
            <w:tcW w:w="704" w:type="pct"/>
            <w:tcBorders>
              <w:top w:val="single" w:sz="4" w:space="0" w:color="auto"/>
              <w:left w:val="single" w:sz="4" w:space="0" w:color="auto"/>
              <w:bottom w:val="single" w:sz="4" w:space="0" w:color="auto"/>
              <w:right w:val="single" w:sz="4" w:space="0" w:color="auto"/>
            </w:tcBorders>
            <w:vAlign w:val="center"/>
            <w:hideMark/>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ind w:left="522" w:hanging="491"/>
              <w:jc w:val="center"/>
              <w:rPr>
                <w:rFonts w:eastAsia="Times New Roman"/>
                <w:noProof/>
                <w:color w:val="000000"/>
                <w:sz w:val="22"/>
                <w:szCs w:val="22"/>
              </w:rPr>
            </w:pPr>
            <w:r w:rsidRPr="005B497E">
              <w:rPr>
                <w:rFonts w:eastAsia="Times New Roman"/>
                <w:noProof/>
                <w:color w:val="000000"/>
                <w:sz w:val="22"/>
                <w:szCs w:val="22"/>
              </w:rPr>
              <w:t>L</w:t>
            </w:r>
            <w:r w:rsidRPr="005B497E">
              <w:rPr>
                <w:rFonts w:eastAsia="Times New Roman"/>
                <w:noProof/>
                <w:color w:val="000000"/>
                <w:sz w:val="22"/>
                <w:szCs w:val="22"/>
                <w:vertAlign w:val="subscript"/>
              </w:rPr>
              <w:t>1</w:t>
            </w:r>
            <w:r w:rsidRPr="005B497E">
              <w:rPr>
                <w:rFonts w:eastAsia="Times New Roman"/>
                <w:noProof/>
                <w:color w:val="000000"/>
                <w:sz w:val="22"/>
                <w:szCs w:val="22"/>
              </w:rPr>
              <w:t xml:space="preserve"> = 0,25</w:t>
            </w:r>
          </w:p>
        </w:tc>
        <w:tc>
          <w:tcPr>
            <w:tcW w:w="847"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p>
        </w:tc>
      </w:tr>
      <w:tr w:rsidR="005B497E" w:rsidRPr="005B497E" w:rsidTr="00D00563">
        <w:trPr>
          <w:trHeight w:val="841"/>
        </w:trPr>
        <w:tc>
          <w:tcPr>
            <w:tcW w:w="262"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r w:rsidRPr="005B497E">
              <w:rPr>
                <w:rFonts w:eastAsia="Times New Roman"/>
                <w:noProof/>
                <w:color w:val="000000"/>
                <w:sz w:val="22"/>
                <w:szCs w:val="22"/>
              </w:rPr>
              <w:t>T</w:t>
            </w:r>
            <w:r w:rsidRPr="005B497E">
              <w:rPr>
                <w:rFonts w:eastAsia="Times New Roman"/>
                <w:noProof/>
                <w:color w:val="000000"/>
                <w:sz w:val="22"/>
                <w:szCs w:val="22"/>
                <w:vertAlign w:val="subscript"/>
              </w:rPr>
              <w:t>2</w:t>
            </w:r>
          </w:p>
        </w:tc>
        <w:tc>
          <w:tcPr>
            <w:tcW w:w="2553"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ind w:left="28"/>
              <w:jc w:val="both"/>
              <w:rPr>
                <w:rFonts w:eastAsia="Times New Roman"/>
                <w:noProof/>
                <w:color w:val="000000"/>
                <w:sz w:val="22"/>
                <w:szCs w:val="22"/>
              </w:rPr>
            </w:pPr>
            <w:r w:rsidRPr="005B497E">
              <w:rPr>
                <w:rFonts w:eastAsia="Times New Roman"/>
                <w:noProof/>
                <w:color w:val="000000"/>
                <w:sz w:val="22"/>
                <w:szCs w:val="22"/>
              </w:rPr>
              <w:t>ICG fluorescencinis režimas: fluorescencinio signalo intensyvumo atvaizdavimas skirtingomis spalvomis santykinėje skalėje.</w:t>
            </w:r>
          </w:p>
        </w:tc>
        <w:tc>
          <w:tcPr>
            <w:tcW w:w="634"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r w:rsidRPr="005B497E">
              <w:rPr>
                <w:rFonts w:eastAsia="Times New Roman"/>
                <w:noProof/>
                <w:color w:val="000000"/>
                <w:sz w:val="22"/>
                <w:szCs w:val="22"/>
              </w:rPr>
              <w:t xml:space="preserve">Statinis: </w:t>
            </w:r>
          </w:p>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r w:rsidRPr="005B497E">
              <w:rPr>
                <w:rFonts w:eastAsia="Times New Roman"/>
                <w:noProof/>
                <w:color w:val="000000"/>
                <w:sz w:val="22"/>
                <w:szCs w:val="22"/>
              </w:rPr>
              <w:t>(yra/nėra)</w:t>
            </w:r>
          </w:p>
        </w:tc>
        <w:tc>
          <w:tcPr>
            <w:tcW w:w="704"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ind w:left="522" w:hanging="491"/>
              <w:jc w:val="center"/>
              <w:rPr>
                <w:rFonts w:eastAsia="Times New Roman"/>
                <w:noProof/>
                <w:color w:val="000000"/>
                <w:sz w:val="22"/>
                <w:szCs w:val="22"/>
              </w:rPr>
            </w:pPr>
            <w:r w:rsidRPr="005B497E">
              <w:rPr>
                <w:rFonts w:eastAsia="Times New Roman"/>
                <w:noProof/>
                <w:color w:val="000000"/>
                <w:sz w:val="22"/>
                <w:szCs w:val="22"/>
              </w:rPr>
              <w:t>L</w:t>
            </w:r>
            <w:r w:rsidRPr="005B497E">
              <w:rPr>
                <w:rFonts w:eastAsia="Times New Roman"/>
                <w:noProof/>
                <w:color w:val="000000"/>
                <w:sz w:val="22"/>
                <w:szCs w:val="22"/>
                <w:vertAlign w:val="subscript"/>
              </w:rPr>
              <w:t xml:space="preserve">2 </w:t>
            </w:r>
            <w:r w:rsidRPr="005B497E">
              <w:rPr>
                <w:rFonts w:eastAsia="Times New Roman"/>
                <w:noProof/>
                <w:color w:val="000000"/>
                <w:sz w:val="22"/>
                <w:szCs w:val="22"/>
              </w:rPr>
              <w:t>= 0,25</w:t>
            </w:r>
          </w:p>
        </w:tc>
        <w:tc>
          <w:tcPr>
            <w:tcW w:w="847"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p>
        </w:tc>
      </w:tr>
      <w:tr w:rsidR="005B497E" w:rsidRPr="005B497E" w:rsidTr="00D00563">
        <w:trPr>
          <w:trHeight w:val="1128"/>
        </w:trPr>
        <w:tc>
          <w:tcPr>
            <w:tcW w:w="262"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vertAlign w:val="subscript"/>
              </w:rPr>
            </w:pPr>
            <w:r w:rsidRPr="005B497E">
              <w:rPr>
                <w:rFonts w:eastAsia="Times New Roman"/>
                <w:noProof/>
                <w:color w:val="000000"/>
                <w:sz w:val="22"/>
                <w:szCs w:val="22"/>
              </w:rPr>
              <w:t>T</w:t>
            </w:r>
            <w:r w:rsidRPr="005B497E">
              <w:rPr>
                <w:rFonts w:eastAsia="Times New Roman"/>
                <w:noProof/>
                <w:color w:val="000000"/>
                <w:sz w:val="22"/>
                <w:szCs w:val="22"/>
                <w:vertAlign w:val="subscript"/>
              </w:rPr>
              <w:t>3</w:t>
            </w:r>
          </w:p>
        </w:tc>
        <w:tc>
          <w:tcPr>
            <w:tcW w:w="2553"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ind w:left="28"/>
              <w:jc w:val="both"/>
              <w:rPr>
                <w:rFonts w:eastAsia="Times New Roman"/>
                <w:noProof/>
                <w:color w:val="000000"/>
                <w:sz w:val="22"/>
                <w:szCs w:val="22"/>
              </w:rPr>
            </w:pPr>
            <w:r w:rsidRPr="005B497E">
              <w:rPr>
                <w:rFonts w:eastAsia="Calibri"/>
                <w:noProof/>
                <w:color w:val="000000"/>
                <w:sz w:val="22"/>
                <w:szCs w:val="22"/>
              </w:rPr>
              <w:t>Elektrochirurginis generatorius turi instrumento automatinio atpažinimo funkciją (prijungus darbinį instrumentą (bipoliarinį rezektoskopą), įrenginys automatiškai nustato atitinkamą darbo režimą.</w:t>
            </w:r>
          </w:p>
        </w:tc>
        <w:tc>
          <w:tcPr>
            <w:tcW w:w="634"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r w:rsidRPr="005B497E">
              <w:rPr>
                <w:rFonts w:eastAsia="Times New Roman"/>
                <w:noProof/>
                <w:color w:val="000000"/>
                <w:sz w:val="22"/>
                <w:szCs w:val="22"/>
              </w:rPr>
              <w:t xml:space="preserve">Statinis: </w:t>
            </w:r>
          </w:p>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r w:rsidRPr="005B497E">
              <w:rPr>
                <w:rFonts w:eastAsia="Times New Roman"/>
                <w:noProof/>
                <w:color w:val="000000"/>
                <w:sz w:val="22"/>
                <w:szCs w:val="22"/>
              </w:rPr>
              <w:t>(yra/nėra)</w:t>
            </w:r>
          </w:p>
        </w:tc>
        <w:tc>
          <w:tcPr>
            <w:tcW w:w="704"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ind w:left="522" w:hanging="491"/>
              <w:jc w:val="center"/>
              <w:rPr>
                <w:rFonts w:eastAsia="Times New Roman"/>
                <w:noProof/>
                <w:color w:val="000000"/>
                <w:sz w:val="22"/>
                <w:szCs w:val="22"/>
              </w:rPr>
            </w:pPr>
            <w:r w:rsidRPr="005B497E">
              <w:rPr>
                <w:rFonts w:eastAsia="Times New Roman"/>
                <w:noProof/>
                <w:color w:val="000000"/>
                <w:sz w:val="22"/>
                <w:szCs w:val="22"/>
              </w:rPr>
              <w:t>L</w:t>
            </w:r>
            <w:r w:rsidRPr="005B497E">
              <w:rPr>
                <w:rFonts w:eastAsia="Times New Roman"/>
                <w:noProof/>
                <w:color w:val="000000"/>
                <w:sz w:val="22"/>
                <w:szCs w:val="22"/>
                <w:vertAlign w:val="subscript"/>
              </w:rPr>
              <w:t>3</w:t>
            </w:r>
            <w:r w:rsidRPr="005B497E">
              <w:rPr>
                <w:rFonts w:eastAsia="Times New Roman"/>
                <w:noProof/>
                <w:color w:val="000000"/>
                <w:sz w:val="22"/>
                <w:szCs w:val="22"/>
              </w:rPr>
              <w:t xml:space="preserve"> = 0,25</w:t>
            </w:r>
          </w:p>
        </w:tc>
        <w:tc>
          <w:tcPr>
            <w:tcW w:w="847"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p>
        </w:tc>
      </w:tr>
      <w:tr w:rsidR="005B497E" w:rsidRPr="005B497E" w:rsidTr="00D00563">
        <w:trPr>
          <w:trHeight w:val="996"/>
        </w:trPr>
        <w:tc>
          <w:tcPr>
            <w:tcW w:w="262"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vertAlign w:val="subscript"/>
              </w:rPr>
            </w:pPr>
            <w:r w:rsidRPr="005B497E">
              <w:rPr>
                <w:rFonts w:eastAsia="Times New Roman"/>
                <w:noProof/>
                <w:color w:val="000000"/>
                <w:sz w:val="22"/>
                <w:szCs w:val="22"/>
              </w:rPr>
              <w:t>T</w:t>
            </w:r>
            <w:r w:rsidRPr="005B497E">
              <w:rPr>
                <w:rFonts w:eastAsia="Times New Roman"/>
                <w:noProof/>
                <w:color w:val="000000"/>
                <w:sz w:val="22"/>
                <w:szCs w:val="22"/>
                <w:vertAlign w:val="subscript"/>
              </w:rPr>
              <w:t>4</w:t>
            </w:r>
          </w:p>
        </w:tc>
        <w:tc>
          <w:tcPr>
            <w:tcW w:w="2553"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ind w:left="28"/>
              <w:jc w:val="both"/>
              <w:rPr>
                <w:rFonts w:eastAsia="Times New Roman"/>
                <w:noProof/>
                <w:color w:val="000000"/>
                <w:sz w:val="22"/>
                <w:szCs w:val="22"/>
              </w:rPr>
            </w:pPr>
            <w:r w:rsidRPr="005B497E">
              <w:rPr>
                <w:rFonts w:eastAsia="Calibri"/>
                <w:noProof/>
                <w:color w:val="000000"/>
                <w:sz w:val="22"/>
                <w:szCs w:val="22"/>
              </w:rPr>
              <w:t>Galimybė ateityje į turimą video kameros valdymo bloką integruoti PDD funkciją (fotodinaminė diagnostika), skirtą šlapimo pūslės vėžiui diagnozuoti.</w:t>
            </w:r>
          </w:p>
        </w:tc>
        <w:tc>
          <w:tcPr>
            <w:tcW w:w="634"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r w:rsidRPr="005B497E">
              <w:rPr>
                <w:rFonts w:eastAsia="Times New Roman"/>
                <w:noProof/>
                <w:color w:val="000000"/>
                <w:sz w:val="22"/>
                <w:szCs w:val="22"/>
              </w:rPr>
              <w:t xml:space="preserve">Statinis: </w:t>
            </w:r>
          </w:p>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r w:rsidRPr="005B497E">
              <w:rPr>
                <w:rFonts w:eastAsia="Times New Roman"/>
                <w:noProof/>
                <w:color w:val="000000"/>
                <w:sz w:val="22"/>
                <w:szCs w:val="22"/>
              </w:rPr>
              <w:t>(yra/nėra)</w:t>
            </w:r>
          </w:p>
        </w:tc>
        <w:tc>
          <w:tcPr>
            <w:tcW w:w="704"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ind w:left="522" w:hanging="491"/>
              <w:jc w:val="center"/>
              <w:rPr>
                <w:rFonts w:eastAsia="Times New Roman"/>
                <w:noProof/>
                <w:color w:val="000000"/>
                <w:sz w:val="22"/>
                <w:szCs w:val="22"/>
              </w:rPr>
            </w:pPr>
            <w:r w:rsidRPr="005B497E">
              <w:rPr>
                <w:rFonts w:eastAsia="Times New Roman"/>
                <w:noProof/>
                <w:color w:val="000000"/>
                <w:sz w:val="22"/>
                <w:szCs w:val="22"/>
              </w:rPr>
              <w:t>L</w:t>
            </w:r>
            <w:r w:rsidRPr="005B497E">
              <w:rPr>
                <w:rFonts w:eastAsia="Times New Roman"/>
                <w:noProof/>
                <w:color w:val="000000"/>
                <w:sz w:val="22"/>
                <w:szCs w:val="22"/>
                <w:vertAlign w:val="subscript"/>
              </w:rPr>
              <w:t>4</w:t>
            </w:r>
            <w:r w:rsidRPr="005B497E">
              <w:rPr>
                <w:rFonts w:eastAsia="Times New Roman"/>
                <w:noProof/>
                <w:color w:val="000000"/>
                <w:sz w:val="22"/>
                <w:szCs w:val="22"/>
              </w:rPr>
              <w:t xml:space="preserve"> = 0,25</w:t>
            </w:r>
          </w:p>
        </w:tc>
        <w:tc>
          <w:tcPr>
            <w:tcW w:w="847" w:type="pct"/>
            <w:tcBorders>
              <w:top w:val="single" w:sz="4" w:space="0" w:color="auto"/>
              <w:left w:val="single" w:sz="4" w:space="0" w:color="auto"/>
              <w:bottom w:val="single" w:sz="4" w:space="0" w:color="auto"/>
              <w:right w:val="single" w:sz="4" w:space="0" w:color="auto"/>
            </w:tcBorders>
            <w:vAlign w:val="center"/>
          </w:tcPr>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color w:val="000000"/>
                <w:sz w:val="22"/>
                <w:szCs w:val="22"/>
              </w:rPr>
            </w:pPr>
          </w:p>
        </w:tc>
      </w:tr>
    </w:tbl>
    <w:p w:rsidR="005B497E" w:rsidRPr="005B497E" w:rsidRDefault="005B497E" w:rsidP="005B49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4" w:lineRule="auto"/>
        <w:jc w:val="both"/>
        <w:rPr>
          <w:rFonts w:ascii="Cambria" w:eastAsia="Times New Roman" w:hAnsi="Cambria"/>
          <w:noProof/>
          <w:color w:val="000000"/>
          <w:sz w:val="22"/>
          <w:szCs w:val="22"/>
        </w:rPr>
      </w:pPr>
    </w:p>
    <w:p w:rsidR="005B497E" w:rsidRPr="005B497E" w:rsidRDefault="00D00563" w:rsidP="00D005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Calibri"/>
          <w:noProof/>
          <w:color w:val="000000"/>
          <w:sz w:val="22"/>
          <w:szCs w:val="22"/>
        </w:rPr>
      </w:pPr>
      <w:r>
        <w:rPr>
          <w:rFonts w:eastAsia="Calibri"/>
          <w:noProof/>
          <w:color w:val="000000"/>
          <w:sz w:val="22"/>
          <w:szCs w:val="22"/>
        </w:rPr>
        <w:t xml:space="preserve">14.5.2. </w:t>
      </w:r>
      <w:r w:rsidR="005B497E" w:rsidRPr="005B497E">
        <w:rPr>
          <w:rFonts w:eastAsia="Calibri"/>
          <w:noProof/>
          <w:color w:val="000000"/>
          <w:sz w:val="22"/>
          <w:szCs w:val="22"/>
        </w:rPr>
        <w:t>Pasiūlymo ekonominio naudingumo (kainos ir kokybės santykio) apskaičiavimo tvarka (formulė) yra pateikiama žemiau:</w:t>
      </w:r>
    </w:p>
    <w:p w:rsidR="005B497E" w:rsidRPr="005B497E" w:rsidRDefault="005B497E" w:rsidP="00D005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contextualSpacing/>
        <w:jc w:val="both"/>
        <w:rPr>
          <w:rFonts w:eastAsia="Calibri"/>
          <w:noProof/>
          <w:color w:val="000000"/>
          <w:sz w:val="22"/>
          <w:szCs w:val="22"/>
        </w:rPr>
      </w:pPr>
      <w:r w:rsidRPr="005B497E">
        <w:rPr>
          <w:rFonts w:eastAsia="Calibri"/>
          <w:noProof/>
          <w:color w:val="000000"/>
          <w:sz w:val="22"/>
          <w:szCs w:val="22"/>
        </w:rPr>
        <w:t>1. Pasiūlymo ekonominis naudingumas (E) apskaičiuojamas sudedant tiekėjo pasiūlymo kainos (K) ir techninių pranašumų (T) balus:</w:t>
      </w:r>
    </w:p>
    <w:p w:rsidR="005B497E" w:rsidRPr="005B497E" w:rsidRDefault="005B497E" w:rsidP="00D005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9" w:lineRule="auto"/>
        <w:ind w:firstLine="567"/>
        <w:jc w:val="center"/>
        <w:rPr>
          <w:rFonts w:eastAsia="Calibri"/>
          <w:noProof/>
          <w:color w:val="000000"/>
          <w:sz w:val="22"/>
          <w:szCs w:val="22"/>
        </w:rPr>
      </w:pPr>
      <w:r w:rsidRPr="005B497E">
        <w:rPr>
          <w:rFonts w:eastAsia="Calibri"/>
          <w:i/>
          <w:iCs/>
          <w:noProof/>
          <w:color w:val="000000"/>
          <w:sz w:val="22"/>
          <w:szCs w:val="22"/>
        </w:rPr>
        <w:t xml:space="preserve">E </w:t>
      </w:r>
      <w:r w:rsidRPr="005B497E">
        <w:rPr>
          <w:rFonts w:eastAsia="Calibri"/>
          <w:noProof/>
          <w:color w:val="000000"/>
          <w:sz w:val="22"/>
          <w:szCs w:val="22"/>
        </w:rPr>
        <w:t xml:space="preserve">= </w:t>
      </w:r>
      <w:r w:rsidRPr="005B497E">
        <w:rPr>
          <w:rFonts w:eastAsia="Calibri"/>
          <w:i/>
          <w:noProof/>
          <w:color w:val="000000"/>
          <w:sz w:val="22"/>
          <w:szCs w:val="22"/>
        </w:rPr>
        <w:t>K</w:t>
      </w:r>
      <w:r w:rsidRPr="005B497E">
        <w:rPr>
          <w:rFonts w:eastAsia="Calibri"/>
          <w:i/>
          <w:iCs/>
          <w:noProof/>
          <w:color w:val="000000"/>
          <w:sz w:val="22"/>
          <w:szCs w:val="22"/>
        </w:rPr>
        <w:t>+ T</w:t>
      </w:r>
    </w:p>
    <w:p w:rsidR="005B497E" w:rsidRPr="005B497E" w:rsidRDefault="005B497E" w:rsidP="00D005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6" w:lineRule="auto"/>
        <w:ind w:firstLine="567"/>
        <w:contextualSpacing/>
        <w:jc w:val="both"/>
        <w:rPr>
          <w:rFonts w:eastAsia="Calibri"/>
          <w:noProof/>
          <w:color w:val="000000"/>
          <w:sz w:val="22"/>
          <w:szCs w:val="22"/>
        </w:rPr>
      </w:pPr>
      <w:r w:rsidRPr="005B497E">
        <w:rPr>
          <w:rFonts w:eastAsia="Calibri"/>
          <w:noProof/>
          <w:color w:val="000000"/>
          <w:sz w:val="22"/>
          <w:szCs w:val="22"/>
        </w:rPr>
        <w:t>2. Pasiūlymo kainos (K) balai apskaičiuojami mažiausios pasiūlytos kainos (K</w:t>
      </w:r>
      <w:r w:rsidRPr="005B497E">
        <w:rPr>
          <w:rFonts w:eastAsia="Calibri"/>
          <w:noProof/>
          <w:color w:val="000000"/>
          <w:sz w:val="22"/>
          <w:szCs w:val="22"/>
          <w:vertAlign w:val="subscript"/>
        </w:rPr>
        <w:t>min</w:t>
      </w:r>
      <w:r w:rsidRPr="005B497E">
        <w:rPr>
          <w:rFonts w:eastAsia="Calibri"/>
          <w:noProof/>
          <w:color w:val="000000"/>
          <w:sz w:val="22"/>
          <w:szCs w:val="22"/>
        </w:rPr>
        <w:t>) ir vertinamo pasiūlymo kainos (K</w:t>
      </w:r>
      <w:r w:rsidRPr="005B497E">
        <w:rPr>
          <w:rFonts w:eastAsia="Calibri"/>
          <w:noProof/>
          <w:color w:val="000000"/>
          <w:sz w:val="22"/>
          <w:szCs w:val="22"/>
          <w:vertAlign w:val="subscript"/>
        </w:rPr>
        <w:t>v</w:t>
      </w:r>
      <w:r w:rsidRPr="005B497E">
        <w:rPr>
          <w:rFonts w:eastAsia="Calibri"/>
          <w:noProof/>
          <w:color w:val="000000"/>
          <w:sz w:val="22"/>
          <w:szCs w:val="22"/>
        </w:rPr>
        <w:t>) santykį padauginant iš kainos lyginamojo svorio (X):</w:t>
      </w:r>
    </w:p>
    <w:p w:rsidR="005B497E" w:rsidRPr="005B497E" w:rsidRDefault="005B497E" w:rsidP="00D005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9" w:lineRule="auto"/>
        <w:ind w:firstLine="567"/>
        <w:jc w:val="center"/>
        <w:rPr>
          <w:rFonts w:eastAsia="Times New Roman"/>
          <w:noProof/>
          <w:color w:val="000000"/>
          <w:sz w:val="22"/>
          <w:szCs w:val="22"/>
        </w:rPr>
      </w:pPr>
      <m:oMathPara>
        <m:oMath>
          <m:r>
            <w:rPr>
              <w:rFonts w:ascii="Cambria Math" w:eastAsia="Calibri" w:hAnsi="Cambria Math"/>
              <w:noProof/>
              <w:color w:val="000000"/>
              <w:sz w:val="22"/>
              <w:szCs w:val="22"/>
            </w:rPr>
            <m:t>K=</m:t>
          </m:r>
          <m:f>
            <m:fPr>
              <m:ctrlPr>
                <w:rPr>
                  <w:rFonts w:ascii="Cambria Math" w:eastAsia="Calibri" w:hAnsi="Cambria Math"/>
                  <w:noProof/>
                  <w:color w:val="000000"/>
                  <w:sz w:val="22"/>
                  <w:szCs w:val="22"/>
                </w:rPr>
              </m:ctrlPr>
            </m:fPr>
            <m:num>
              <m:sSub>
                <m:sSubPr>
                  <m:ctrlPr>
                    <w:rPr>
                      <w:rFonts w:ascii="Cambria Math" w:eastAsia="Calibri" w:hAnsi="Cambria Math"/>
                      <w:i/>
                      <w:noProof/>
                      <w:color w:val="000000"/>
                      <w:sz w:val="22"/>
                      <w:szCs w:val="22"/>
                    </w:rPr>
                  </m:ctrlPr>
                </m:sSubPr>
                <m:e>
                  <m:r>
                    <w:rPr>
                      <w:rFonts w:ascii="Cambria Math" w:eastAsia="Calibri" w:hAnsi="Cambria Math"/>
                      <w:noProof/>
                      <w:color w:val="000000"/>
                      <w:sz w:val="22"/>
                      <w:szCs w:val="22"/>
                    </w:rPr>
                    <m:t>K</m:t>
                  </m:r>
                </m:e>
                <m:sub>
                  <m:r>
                    <w:rPr>
                      <w:rFonts w:ascii="Cambria Math" w:eastAsia="Calibri" w:hAnsi="Cambria Math"/>
                      <w:noProof/>
                      <w:color w:val="000000"/>
                      <w:sz w:val="22"/>
                      <w:szCs w:val="22"/>
                    </w:rPr>
                    <m:t>min</m:t>
                  </m:r>
                </m:sub>
              </m:sSub>
            </m:num>
            <m:den>
              <m:sSub>
                <m:sSubPr>
                  <m:ctrlPr>
                    <w:rPr>
                      <w:rFonts w:ascii="Cambria Math" w:eastAsia="Calibri" w:hAnsi="Cambria Math"/>
                      <w:i/>
                      <w:noProof/>
                      <w:color w:val="000000"/>
                      <w:sz w:val="22"/>
                      <w:szCs w:val="22"/>
                    </w:rPr>
                  </m:ctrlPr>
                </m:sSubPr>
                <m:e>
                  <m:r>
                    <w:rPr>
                      <w:rFonts w:ascii="Cambria Math" w:eastAsia="Calibri" w:hAnsi="Cambria Math"/>
                      <w:noProof/>
                      <w:color w:val="000000"/>
                      <w:sz w:val="22"/>
                      <w:szCs w:val="22"/>
                    </w:rPr>
                    <m:t>K</m:t>
                  </m:r>
                </m:e>
                <m:sub>
                  <m:r>
                    <w:rPr>
                      <w:rFonts w:ascii="Cambria Math" w:eastAsia="Calibri" w:hAnsi="Cambria Math"/>
                      <w:noProof/>
                      <w:color w:val="000000"/>
                      <w:sz w:val="22"/>
                      <w:szCs w:val="22"/>
                    </w:rPr>
                    <m:t>v</m:t>
                  </m:r>
                </m:sub>
              </m:sSub>
            </m:den>
          </m:f>
          <m:r>
            <w:rPr>
              <w:rFonts w:ascii="Cambria Math" w:eastAsia="Calibri" w:hAnsi="Cambria Math"/>
              <w:noProof/>
              <w:color w:val="000000"/>
              <w:sz w:val="22"/>
              <w:szCs w:val="22"/>
            </w:rPr>
            <m:t xml:space="preserve"> ×X</m:t>
          </m:r>
        </m:oMath>
      </m:oMathPara>
    </w:p>
    <w:p w:rsidR="005B497E" w:rsidRPr="005B497E" w:rsidRDefault="005B497E" w:rsidP="00D005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567"/>
        <w:jc w:val="both"/>
        <w:rPr>
          <w:rFonts w:eastAsia="Calibri"/>
          <w:noProof/>
          <w:color w:val="000000"/>
          <w:sz w:val="22"/>
          <w:szCs w:val="22"/>
          <w:bdr w:val="none" w:sz="0" w:space="0" w:color="auto" w:frame="1"/>
        </w:rPr>
      </w:pPr>
      <w:r w:rsidRPr="005B497E">
        <w:rPr>
          <w:rFonts w:eastAsia="Calibri"/>
          <w:noProof/>
          <w:color w:val="000000"/>
          <w:sz w:val="22"/>
          <w:szCs w:val="22"/>
          <w:bdr w:val="none" w:sz="0" w:space="0" w:color="auto" w:frame="1"/>
        </w:rPr>
        <w:t>3. Siūlomo objekto T</w:t>
      </w:r>
      <w:r w:rsidRPr="005B497E">
        <w:rPr>
          <w:rFonts w:eastAsia="Calibri"/>
          <w:noProof/>
          <w:color w:val="000000"/>
          <w:sz w:val="22"/>
          <w:szCs w:val="22"/>
          <w:bdr w:val="none" w:sz="0" w:space="0" w:color="auto" w:frame="1"/>
          <w:vertAlign w:val="subscript"/>
        </w:rPr>
        <w:t>i</w:t>
      </w:r>
      <w:r w:rsidRPr="005B497E">
        <w:rPr>
          <w:rFonts w:eastAsia="Calibri"/>
          <w:noProof/>
          <w:color w:val="000000"/>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5B497E" w:rsidRPr="005B497E" w:rsidRDefault="005B497E" w:rsidP="00D0056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noProof/>
          <w:color w:val="000000"/>
          <w:sz w:val="22"/>
          <w:szCs w:val="22"/>
          <w:bdr w:val="none" w:sz="0" w:space="0" w:color="auto" w:frame="1"/>
        </w:rPr>
      </w:pPr>
      <w:r w:rsidRPr="005B497E">
        <w:rPr>
          <w:rFonts w:eastAsia="Calibri"/>
          <w:noProof/>
          <w:color w:val="000000"/>
          <w:sz w:val="22"/>
          <w:szCs w:val="22"/>
          <w:bdr w:val="none" w:sz="0" w:space="0" w:color="auto" w:frame="1"/>
        </w:rPr>
        <w:t xml:space="preserve">Jei siūlomas objektas turi nurodytą pranašumą: </w:t>
      </w:r>
      <w:r w:rsidRPr="005B497E">
        <w:rPr>
          <w:rFonts w:eastAsia="Calibri"/>
          <w:i/>
          <w:noProof/>
          <w:color w:val="000000"/>
          <w:sz w:val="22"/>
          <w:szCs w:val="22"/>
          <w:bdr w:val="none" w:sz="0" w:space="0" w:color="auto" w:frame="1"/>
        </w:rPr>
        <w:t>T</w:t>
      </w:r>
      <w:r w:rsidRPr="005B497E">
        <w:rPr>
          <w:rFonts w:eastAsia="Calibri"/>
          <w:i/>
          <w:noProof/>
          <w:color w:val="000000"/>
          <w:sz w:val="22"/>
          <w:szCs w:val="22"/>
          <w:bdr w:val="none" w:sz="0" w:space="0" w:color="auto" w:frame="1"/>
          <w:vertAlign w:val="subscript"/>
        </w:rPr>
        <w:t>i</w:t>
      </w:r>
      <w:r w:rsidRPr="005B497E">
        <w:rPr>
          <w:rFonts w:eastAsia="Calibri"/>
          <w:i/>
          <w:noProof/>
          <w:color w:val="000000"/>
          <w:sz w:val="22"/>
          <w:szCs w:val="22"/>
          <w:bdr w:val="none" w:sz="0" w:space="0" w:color="auto" w:frame="1"/>
        </w:rPr>
        <w:t xml:space="preserve"> = L</w:t>
      </w:r>
      <w:r w:rsidRPr="005B497E">
        <w:rPr>
          <w:rFonts w:eastAsia="Calibri"/>
          <w:i/>
          <w:noProof/>
          <w:color w:val="000000"/>
          <w:sz w:val="22"/>
          <w:szCs w:val="22"/>
          <w:bdr w:val="none" w:sz="0" w:space="0" w:color="auto" w:frame="1"/>
          <w:vertAlign w:val="subscript"/>
        </w:rPr>
        <w:t>i</w:t>
      </w:r>
      <w:r w:rsidRPr="005B497E">
        <w:rPr>
          <w:rFonts w:eastAsia="Calibri"/>
          <w:i/>
          <w:noProof/>
          <w:color w:val="000000"/>
          <w:sz w:val="22"/>
          <w:szCs w:val="22"/>
          <w:bdr w:val="none" w:sz="0" w:space="0" w:color="auto" w:frame="1"/>
        </w:rPr>
        <w:t>;</w:t>
      </w:r>
    </w:p>
    <w:p w:rsidR="005B497E" w:rsidRPr="005B497E" w:rsidRDefault="005B497E" w:rsidP="00D00563">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Calibri"/>
          <w:i/>
          <w:noProof/>
          <w:color w:val="000000"/>
          <w:sz w:val="22"/>
          <w:szCs w:val="22"/>
          <w:bdr w:val="none" w:sz="0" w:space="0" w:color="auto" w:frame="1"/>
        </w:rPr>
      </w:pPr>
      <w:r w:rsidRPr="005B497E">
        <w:rPr>
          <w:rFonts w:eastAsia="Calibri"/>
          <w:noProof/>
          <w:color w:val="000000"/>
          <w:sz w:val="22"/>
          <w:szCs w:val="22"/>
          <w:bdr w:val="none" w:sz="0" w:space="0" w:color="auto" w:frame="1"/>
        </w:rPr>
        <w:t xml:space="preserve">Jei siūlomas objektas neturi nurodyto pranašumo: </w:t>
      </w:r>
      <w:r w:rsidRPr="005B497E">
        <w:rPr>
          <w:rFonts w:eastAsia="Calibri"/>
          <w:i/>
          <w:noProof/>
          <w:color w:val="000000"/>
          <w:sz w:val="22"/>
          <w:szCs w:val="22"/>
          <w:bdr w:val="none" w:sz="0" w:space="0" w:color="auto" w:frame="1"/>
        </w:rPr>
        <w:t>T</w:t>
      </w:r>
      <w:r w:rsidRPr="005B497E">
        <w:rPr>
          <w:rFonts w:eastAsia="Calibri"/>
          <w:i/>
          <w:noProof/>
          <w:color w:val="000000"/>
          <w:sz w:val="22"/>
          <w:szCs w:val="22"/>
          <w:bdr w:val="none" w:sz="0" w:space="0" w:color="auto" w:frame="1"/>
          <w:vertAlign w:val="subscript"/>
        </w:rPr>
        <w:t>i</w:t>
      </w:r>
      <w:r w:rsidRPr="005B497E">
        <w:rPr>
          <w:rFonts w:eastAsia="Calibri"/>
          <w:i/>
          <w:noProof/>
          <w:color w:val="000000"/>
          <w:sz w:val="22"/>
          <w:szCs w:val="22"/>
          <w:bdr w:val="none" w:sz="0" w:space="0" w:color="auto" w:frame="1"/>
        </w:rPr>
        <w:t xml:space="preserve"> = L</w:t>
      </w:r>
      <w:r w:rsidRPr="005B497E">
        <w:rPr>
          <w:rFonts w:eastAsia="Calibri"/>
          <w:i/>
          <w:noProof/>
          <w:color w:val="000000"/>
          <w:sz w:val="22"/>
          <w:szCs w:val="22"/>
          <w:bdr w:val="none" w:sz="0" w:space="0" w:color="auto" w:frame="1"/>
          <w:vertAlign w:val="subscript"/>
        </w:rPr>
        <w:t>i</w:t>
      </w:r>
      <w:r w:rsidRPr="005B497E">
        <w:rPr>
          <w:rFonts w:eastAsia="Calibri"/>
          <w:i/>
          <w:noProof/>
          <w:color w:val="000000"/>
          <w:sz w:val="22"/>
          <w:szCs w:val="22"/>
          <w:bdr w:val="none" w:sz="0" w:space="0" w:color="auto" w:frame="1"/>
        </w:rPr>
        <w:t>= 0;</w:t>
      </w:r>
    </w:p>
    <w:p w:rsidR="005B497E" w:rsidRPr="005B497E" w:rsidRDefault="005B497E" w:rsidP="00D005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9" w:lineRule="auto"/>
        <w:ind w:firstLine="567"/>
        <w:jc w:val="both"/>
        <w:rPr>
          <w:rFonts w:eastAsia="Calibri"/>
          <w:noProof/>
          <w:color w:val="000000"/>
          <w:sz w:val="22"/>
          <w:szCs w:val="22"/>
          <w:bdr w:val="none" w:sz="0" w:space="0" w:color="auto" w:frame="1"/>
        </w:rPr>
      </w:pPr>
    </w:p>
    <w:p w:rsidR="005B497E" w:rsidRPr="005B497E" w:rsidRDefault="005B497E" w:rsidP="00D0056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9" w:lineRule="auto"/>
        <w:ind w:firstLine="567"/>
        <w:jc w:val="both"/>
        <w:rPr>
          <w:rFonts w:eastAsia="Calibri"/>
          <w:noProof/>
          <w:color w:val="000000"/>
          <w:sz w:val="22"/>
          <w:szCs w:val="22"/>
          <w:bdr w:val="none" w:sz="0" w:space="0" w:color="auto" w:frame="1"/>
        </w:rPr>
      </w:pPr>
      <w:r w:rsidRPr="005B497E">
        <w:rPr>
          <w:rFonts w:eastAsia="Calibri"/>
          <w:noProof/>
          <w:color w:val="000000"/>
          <w:sz w:val="22"/>
          <w:szCs w:val="22"/>
          <w:bdr w:val="none" w:sz="0" w:space="0" w:color="auto" w:frame="1"/>
        </w:rPr>
        <w:t>Techninių pranašumų (T) balai apskaičiuojami visų techninių kriterijų parametrų įvertinimų sumą padauginant iš techninių pranašumų lyginamojo svorio (Y):</w:t>
      </w:r>
    </w:p>
    <w:p w:rsidR="005B497E" w:rsidRPr="005B497E" w:rsidRDefault="005B497E" w:rsidP="00D0056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567"/>
        <w:jc w:val="center"/>
        <w:rPr>
          <w:rFonts w:eastAsia="Calibri"/>
          <w:noProof/>
          <w:color w:val="000000"/>
          <w:sz w:val="22"/>
          <w:szCs w:val="22"/>
          <w:bdr w:val="none" w:sz="0" w:space="0" w:color="auto" w:frame="1"/>
        </w:rPr>
      </w:pPr>
      <m:oMathPara>
        <m:oMath>
          <m:r>
            <w:rPr>
              <w:rFonts w:ascii="Cambria Math" w:eastAsia="Helvetica Neue UltraLight" w:hAnsi="Cambria Math"/>
              <w:noProof/>
              <w:color w:val="000000"/>
              <w:sz w:val="22"/>
              <w:szCs w:val="22"/>
              <w:bdr w:val="none" w:sz="0" w:space="0" w:color="auto" w:frame="1"/>
            </w:rPr>
            <m:t xml:space="preserve">T= </m:t>
          </m:r>
          <m:d>
            <m:dPr>
              <m:ctrlPr>
                <w:rPr>
                  <w:rFonts w:ascii="Cambria Math" w:eastAsia="Helvetica Neue UltraLight" w:hAnsi="Cambria Math"/>
                  <w:i/>
                  <w:noProof/>
                  <w:color w:val="000000"/>
                  <w:sz w:val="22"/>
                  <w:szCs w:val="22"/>
                  <w:bdr w:val="none" w:sz="0" w:space="0" w:color="auto" w:frame="1"/>
                </w:rPr>
              </m:ctrlPr>
            </m:dPr>
            <m:e>
              <m:nary>
                <m:naryPr>
                  <m:chr m:val="∑"/>
                  <m:grow m:val="1"/>
                  <m:ctrlPr>
                    <w:rPr>
                      <w:rFonts w:ascii="Cambria Math" w:eastAsia="Helvetica Neue UltraLight" w:hAnsi="Cambria Math"/>
                      <w:noProof/>
                      <w:color w:val="000000"/>
                      <w:sz w:val="22"/>
                      <w:szCs w:val="22"/>
                      <w:bdr w:val="none" w:sz="0" w:space="0" w:color="auto" w:frame="1"/>
                    </w:rPr>
                  </m:ctrlPr>
                </m:naryPr>
                <m:sub>
                  <m:r>
                    <w:rPr>
                      <w:rFonts w:ascii="Cambria Math" w:eastAsia="Cambria Math" w:hAnsi="Cambria Math"/>
                      <w:noProof/>
                      <w:color w:val="000000"/>
                      <w:sz w:val="22"/>
                      <w:szCs w:val="22"/>
                      <w:bdr w:val="none" w:sz="0" w:space="0" w:color="auto" w:frame="1"/>
                    </w:rPr>
                    <m:t>i=1</m:t>
                  </m:r>
                </m:sub>
                <m:sup>
                  <m:r>
                    <w:rPr>
                      <w:rFonts w:ascii="Cambria Math" w:eastAsia="Helvetica Neue UltraLight" w:hAnsi="Cambria Math"/>
                      <w:noProof/>
                      <w:color w:val="000000"/>
                      <w:sz w:val="22"/>
                      <w:szCs w:val="22"/>
                      <w:bdr w:val="none" w:sz="0" w:space="0" w:color="auto" w:frame="1"/>
                    </w:rPr>
                    <m:t>4</m:t>
                  </m:r>
                </m:sup>
                <m:e>
                  <m:sSub>
                    <m:sSubPr>
                      <m:ctrlPr>
                        <w:rPr>
                          <w:rFonts w:ascii="Cambria Math" w:eastAsia="Helvetica Neue UltraLight" w:hAnsi="Cambria Math"/>
                          <w:i/>
                          <w:noProof/>
                          <w:color w:val="000000"/>
                          <w:sz w:val="22"/>
                          <w:szCs w:val="22"/>
                          <w:bdr w:val="none" w:sz="0" w:space="0" w:color="auto" w:frame="1"/>
                        </w:rPr>
                      </m:ctrlPr>
                    </m:sSubPr>
                    <m:e>
                      <m:r>
                        <w:rPr>
                          <w:rFonts w:ascii="Cambria Math" w:eastAsia="Helvetica Neue UltraLight" w:hAnsi="Cambria Math"/>
                          <w:noProof/>
                          <w:color w:val="000000"/>
                          <w:sz w:val="22"/>
                          <w:szCs w:val="22"/>
                          <w:bdr w:val="none" w:sz="0" w:space="0" w:color="auto" w:frame="1"/>
                        </w:rPr>
                        <m:t>T</m:t>
                      </m:r>
                    </m:e>
                    <m:sub>
                      <m:r>
                        <w:rPr>
                          <w:rFonts w:ascii="Cambria Math" w:eastAsia="Helvetica Neue UltraLight" w:hAnsi="Cambria Math"/>
                          <w:noProof/>
                          <w:color w:val="000000"/>
                          <w:sz w:val="22"/>
                          <w:szCs w:val="22"/>
                          <w:bdr w:val="none" w:sz="0" w:space="0" w:color="auto" w:frame="1"/>
                        </w:rPr>
                        <m:t>i</m:t>
                      </m:r>
                    </m:sub>
                  </m:sSub>
                </m:e>
              </m:nary>
            </m:e>
          </m:d>
          <m:r>
            <w:rPr>
              <w:rFonts w:ascii="Cambria Math" w:eastAsia="Helvetica Neue UltraLight" w:hAnsi="Cambria Math"/>
              <w:noProof/>
              <w:color w:val="000000"/>
              <w:sz w:val="22"/>
              <w:szCs w:val="22"/>
              <w:bdr w:val="none" w:sz="0" w:space="0" w:color="auto" w:frame="1"/>
            </w:rPr>
            <m:t>×Y</m:t>
          </m:r>
        </m:oMath>
      </m:oMathPara>
    </w:p>
    <w:p w:rsidR="005B497E" w:rsidRPr="005B497E" w:rsidRDefault="00D00563" w:rsidP="00D0056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noProof/>
          <w:color w:val="000000"/>
          <w:sz w:val="22"/>
          <w:szCs w:val="22"/>
        </w:rPr>
      </w:pPr>
      <w:r>
        <w:rPr>
          <w:rFonts w:eastAsia="Calibri"/>
          <w:noProof/>
          <w:color w:val="000000"/>
          <w:sz w:val="22"/>
          <w:szCs w:val="22"/>
          <w:lang w:bidi="hi-IN"/>
        </w:rPr>
        <w:t xml:space="preserve">14.5.3. </w:t>
      </w:r>
      <w:r w:rsidR="005B497E" w:rsidRPr="005B497E">
        <w:rPr>
          <w:rFonts w:eastAsia="Calibri"/>
          <w:noProof/>
          <w:color w:val="000000"/>
          <w:sz w:val="22"/>
          <w:szCs w:val="22"/>
          <w:lang w:bidi="hi-IN"/>
        </w:rPr>
        <w:t>Laimėjusiu Pasiūlymu bus pripažintas Pasiūlymas, atitinkantis visus Pirkimo dokumentuose nustatytus reikalavimus, kurio ekonominis naudingumas (E) bus didžiausias.</w:t>
      </w:r>
    </w:p>
    <w:p w:rsidR="005B497E" w:rsidRPr="005B497E" w:rsidRDefault="00D00563" w:rsidP="00D0056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Calibri"/>
          <w:noProof/>
          <w:color w:val="000000"/>
          <w:sz w:val="22"/>
          <w:szCs w:val="22"/>
        </w:rPr>
      </w:pPr>
      <w:r>
        <w:rPr>
          <w:rFonts w:eastAsia="Calibri"/>
          <w:noProof/>
          <w:color w:val="000000"/>
          <w:sz w:val="22"/>
          <w:szCs w:val="22"/>
        </w:rPr>
        <w:t xml:space="preserve">14.5.4. </w:t>
      </w:r>
      <w:r w:rsidR="005B497E" w:rsidRPr="005B497E">
        <w:rPr>
          <w:rFonts w:eastAsia="Calibri"/>
          <w:noProof/>
          <w:color w:val="000000"/>
          <w:sz w:val="22"/>
          <w:szCs w:val="22"/>
        </w:rPr>
        <w:t xml:space="preserve">Tais atvejais, kai kelių dalyvių pasiūlymų ekonominis naudingumas yra vienodas, nustatant pasiūlymų eilę, pirmesnis į šią eilę įrašomas dalyvis, kurio pasiūlymas pateiktas anksčiausiai. </w:t>
      </w:r>
    </w:p>
    <w:p w:rsid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B497E" w:rsidRDefault="005B497E"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5B497E" w:rsidRDefault="005B497E"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C877B7" w:rsidRPr="00ED435B" w:rsidRDefault="00C877B7" w:rsidP="00C877B7">
      <w:pPr>
        <w:tabs>
          <w:tab w:val="left" w:pos="993"/>
          <w:tab w:val="left" w:pos="1134"/>
          <w:tab w:val="left" w:pos="1276"/>
          <w:tab w:val="left" w:pos="1440"/>
          <w:tab w:val="left" w:pos="1560"/>
          <w:tab w:val="left" w:pos="2127"/>
        </w:tabs>
        <w:ind w:firstLine="567"/>
        <w:jc w:val="both"/>
        <w:rPr>
          <w:rFonts w:ascii="Cambria" w:hAnsi="Cambria"/>
          <w:b/>
          <w:sz w:val="22"/>
          <w:szCs w:val="22"/>
        </w:rPr>
      </w:pPr>
      <w:r w:rsidRPr="00ED435B">
        <w:rPr>
          <w:rFonts w:ascii="Cambria" w:hAnsi="Cambria"/>
          <w:b/>
          <w:sz w:val="22"/>
          <w:szCs w:val="22"/>
        </w:rPr>
        <w:lastRenderedPageBreak/>
        <w:t>14.</w:t>
      </w:r>
      <w:r>
        <w:rPr>
          <w:rFonts w:ascii="Cambria" w:hAnsi="Cambria"/>
          <w:b/>
          <w:sz w:val="22"/>
          <w:szCs w:val="22"/>
        </w:rPr>
        <w:t xml:space="preserve">6. </w:t>
      </w:r>
      <w:r w:rsidRPr="00ED435B">
        <w:rPr>
          <w:rFonts w:ascii="Cambria" w:hAnsi="Cambria"/>
          <w:b/>
          <w:sz w:val="22"/>
          <w:szCs w:val="22"/>
        </w:rPr>
        <w:t xml:space="preserve"> </w:t>
      </w:r>
      <w:r w:rsidR="002A2BBB">
        <w:rPr>
          <w:rFonts w:ascii="Cambria" w:hAnsi="Cambria"/>
          <w:b/>
          <w:sz w:val="22"/>
          <w:szCs w:val="22"/>
        </w:rPr>
        <w:t xml:space="preserve">3 </w:t>
      </w:r>
      <w:r w:rsidRPr="00ED435B">
        <w:rPr>
          <w:rFonts w:ascii="Cambria" w:hAnsi="Cambria"/>
          <w:b/>
          <w:sz w:val="22"/>
          <w:szCs w:val="22"/>
        </w:rPr>
        <w:t>pirkimo dalies</w:t>
      </w:r>
      <w:r w:rsidRPr="007764FA">
        <w:rPr>
          <w:rFonts w:ascii="Cambria" w:eastAsia="Arial Unicode MS" w:hAnsi="Cambria"/>
          <w:bCs/>
          <w:sz w:val="22"/>
          <w:szCs w:val="22"/>
          <w:bdr w:val="nil"/>
          <w:lang w:eastAsia="ar-SA"/>
        </w:rPr>
        <w:t xml:space="preserve"> </w:t>
      </w:r>
      <w:r>
        <w:rPr>
          <w:rFonts w:ascii="Cambria" w:eastAsia="Arial Unicode MS" w:hAnsi="Cambria"/>
          <w:bCs/>
          <w:sz w:val="22"/>
          <w:szCs w:val="22"/>
          <w:bdr w:val="nil"/>
          <w:lang w:eastAsia="ar-SA"/>
        </w:rPr>
        <w:t xml:space="preserve"> „</w:t>
      </w:r>
      <w:r w:rsidR="00D00563" w:rsidRPr="00D00563">
        <w:rPr>
          <w:rFonts w:ascii="Cambria" w:hAnsi="Cambria"/>
          <w:b/>
          <w:bCs/>
          <w:sz w:val="22"/>
          <w:szCs w:val="22"/>
        </w:rPr>
        <w:t>Universalus operacinis stalas</w:t>
      </w:r>
      <w:r>
        <w:rPr>
          <w:rFonts w:ascii="Cambria" w:hAnsi="Cambria"/>
          <w:b/>
          <w:bCs/>
          <w:sz w:val="22"/>
          <w:szCs w:val="22"/>
        </w:rPr>
        <w:t>“</w:t>
      </w:r>
      <w:r w:rsidRPr="00ED435B">
        <w:rPr>
          <w:rFonts w:ascii="Cambria" w:hAnsi="Cambria"/>
          <w:b/>
          <w:sz w:val="22"/>
          <w:szCs w:val="22"/>
        </w:rPr>
        <w:t xml:space="preserve"> ekonominio vertinimo kriterijai</w:t>
      </w:r>
      <w:r>
        <w:rPr>
          <w:rFonts w:ascii="Cambria" w:hAnsi="Cambria"/>
          <w:b/>
          <w:sz w:val="22"/>
          <w:szCs w:val="22"/>
        </w:rPr>
        <w:t>:</w:t>
      </w:r>
    </w:p>
    <w:p w:rsidR="00D00563" w:rsidRPr="00D00563" w:rsidRDefault="00D00563" w:rsidP="00D0056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D00563">
        <w:rPr>
          <w:rFonts w:eastAsia="Calibri"/>
          <w:color w:val="000000" w:themeColor="text1"/>
          <w:sz w:val="22"/>
          <w:szCs w:val="22"/>
        </w:rPr>
        <w:t>14.6</w:t>
      </w:r>
      <w:r w:rsidRPr="00D00563">
        <w:rPr>
          <w:rFonts w:eastAsia="Calibri"/>
          <w:color w:val="000000" w:themeColor="text1"/>
          <w:sz w:val="22"/>
          <w:szCs w:val="22"/>
        </w:rPr>
        <w:t>.1.</w:t>
      </w:r>
      <w:r w:rsidRPr="00D00563">
        <w:rPr>
          <w:noProof/>
          <w:sz w:val="22"/>
          <w:szCs w:val="22"/>
        </w:rPr>
        <w:t xml:space="preserve"> </w:t>
      </w:r>
      <w:r w:rsidRPr="00D00563">
        <w:rPr>
          <w:rFonts w:eastAsia="Calibri"/>
          <w:color w:val="000000" w:themeColor="text1"/>
          <w:sz w:val="22"/>
          <w:szCs w:val="22"/>
        </w:rPr>
        <w:t>Numatytų vertinimo kriterijų lyginamieji svoriai:</w:t>
      </w:r>
    </w:p>
    <w:p w:rsidR="00D00563" w:rsidRPr="00D00563" w:rsidRDefault="00D00563" w:rsidP="00D0056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Pr>
          <w:rFonts w:eastAsia="Calibri"/>
          <w:color w:val="000000" w:themeColor="text1"/>
          <w:sz w:val="22"/>
          <w:szCs w:val="22"/>
        </w:rPr>
        <w:t>1) Kaina (K) – 7</w:t>
      </w:r>
      <w:r w:rsidRPr="00D00563">
        <w:rPr>
          <w:rFonts w:eastAsia="Calibri"/>
          <w:color w:val="000000" w:themeColor="text1"/>
          <w:sz w:val="22"/>
          <w:szCs w:val="22"/>
        </w:rPr>
        <w:t>0;</w:t>
      </w:r>
    </w:p>
    <w:p w:rsidR="00D00563" w:rsidRPr="00D00563" w:rsidRDefault="00D00563" w:rsidP="00D0056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D00563">
        <w:rPr>
          <w:rFonts w:eastAsia="Calibri"/>
          <w:color w:val="000000" w:themeColor="text1"/>
          <w:sz w:val="22"/>
          <w:szCs w:val="22"/>
        </w:rPr>
        <w:t>2) Techniniai pranašumai (T) –</w:t>
      </w:r>
      <w:r>
        <w:rPr>
          <w:rFonts w:eastAsia="Calibri"/>
          <w:color w:val="000000" w:themeColor="text1"/>
          <w:sz w:val="22"/>
          <w:szCs w:val="22"/>
        </w:rPr>
        <w:t>3</w:t>
      </w:r>
      <w:r w:rsidRPr="00D00563">
        <w:rPr>
          <w:rFonts w:eastAsia="Calibri"/>
          <w:color w:val="000000" w:themeColor="text1"/>
          <w:sz w:val="22"/>
          <w:szCs w:val="22"/>
        </w:rPr>
        <w:t>0.</w:t>
      </w:r>
    </w:p>
    <w:p w:rsidR="00D00563" w:rsidRPr="00D00563" w:rsidRDefault="00D00563" w:rsidP="00D0056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993"/>
        <w:contextualSpacing/>
        <w:jc w:val="both"/>
        <w:rPr>
          <w:rFonts w:eastAsia="Calibri"/>
          <w:color w:val="000000" w:themeColor="text1"/>
          <w:sz w:val="22"/>
          <w:szCs w:val="22"/>
        </w:rPr>
      </w:pPr>
      <w:r w:rsidRPr="00D00563">
        <w:rPr>
          <w:rFonts w:eastAsia="Calibri"/>
          <w:color w:val="000000" w:themeColor="text1"/>
          <w:sz w:val="22"/>
          <w:szCs w:val="22"/>
        </w:rPr>
        <w:t>Vertinimo kriterijai ir jų parametrų lyginamieji svoriai:</w:t>
      </w:r>
    </w:p>
    <w:tbl>
      <w:tblPr>
        <w:tblW w:w="493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448"/>
        <w:gridCol w:w="1607"/>
        <w:gridCol w:w="1242"/>
        <w:gridCol w:w="1700"/>
      </w:tblGrid>
      <w:tr w:rsidR="00D00563" w:rsidRPr="00D00563" w:rsidTr="00D00563">
        <w:tc>
          <w:tcPr>
            <w:tcW w:w="3451"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D00563" w:rsidRPr="00D00563" w:rsidRDefault="00D00563" w:rsidP="00DA4E89">
            <w:pPr>
              <w:spacing w:line="256" w:lineRule="auto"/>
              <w:jc w:val="center"/>
              <w:rPr>
                <w:b/>
                <w:bCs/>
                <w:color w:val="000000" w:themeColor="text1"/>
                <w:sz w:val="22"/>
                <w:szCs w:val="22"/>
              </w:rPr>
            </w:pPr>
            <w:r w:rsidRPr="00D00563">
              <w:rPr>
                <w:rFonts w:eastAsia="Times New Roman"/>
                <w:b/>
                <w:color w:val="000000" w:themeColor="text1"/>
                <w:sz w:val="22"/>
                <w:szCs w:val="22"/>
              </w:rPr>
              <w:t>Vertinimo kriterijai</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00563" w:rsidRPr="00D00563" w:rsidRDefault="00D00563" w:rsidP="00DA4E89">
            <w:pPr>
              <w:spacing w:line="256" w:lineRule="auto"/>
              <w:ind w:left="-14" w:right="-90"/>
              <w:jc w:val="center"/>
              <w:rPr>
                <w:rFonts w:eastAsia="Times New Roman"/>
                <w:b/>
                <w:color w:val="000000" w:themeColor="text1"/>
                <w:sz w:val="22"/>
                <w:szCs w:val="22"/>
              </w:rPr>
            </w:pPr>
            <w:r w:rsidRPr="00D00563">
              <w:rPr>
                <w:rFonts w:eastAsia="Times New Roman"/>
                <w:b/>
                <w:color w:val="000000" w:themeColor="text1"/>
                <w:sz w:val="22"/>
                <w:szCs w:val="22"/>
              </w:rPr>
              <w:t>Parametro lyginamasis svoris</w:t>
            </w:r>
          </w:p>
        </w:tc>
        <w:tc>
          <w:tcPr>
            <w:tcW w:w="8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00563" w:rsidRPr="00D00563" w:rsidRDefault="00D00563" w:rsidP="00DA4E89">
            <w:pPr>
              <w:spacing w:line="256" w:lineRule="auto"/>
              <w:jc w:val="center"/>
              <w:rPr>
                <w:rFonts w:eastAsia="Times New Roman"/>
                <w:b/>
                <w:color w:val="000000" w:themeColor="text1"/>
                <w:sz w:val="22"/>
                <w:szCs w:val="22"/>
              </w:rPr>
            </w:pPr>
            <w:r w:rsidRPr="00D00563">
              <w:rPr>
                <w:rFonts w:eastAsia="Times New Roman"/>
                <w:b/>
                <w:color w:val="000000" w:themeColor="text1"/>
                <w:sz w:val="22"/>
                <w:szCs w:val="22"/>
              </w:rPr>
              <w:t>Lyginamasis svoris ekonominio naudingumo įvertinime</w:t>
            </w:r>
          </w:p>
        </w:tc>
      </w:tr>
      <w:tr w:rsidR="00D00563" w:rsidRPr="00D00563" w:rsidTr="00D00563">
        <w:trPr>
          <w:trHeight w:hRule="exact" w:val="274"/>
        </w:trPr>
        <w:tc>
          <w:tcPr>
            <w:tcW w:w="4104"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D00563" w:rsidRPr="00D00563" w:rsidRDefault="00D00563" w:rsidP="00DA4E89">
            <w:pPr>
              <w:spacing w:line="256" w:lineRule="auto"/>
              <w:rPr>
                <w:b/>
                <w:bCs/>
                <w:color w:val="000000" w:themeColor="text1"/>
                <w:sz w:val="22"/>
                <w:szCs w:val="22"/>
              </w:rPr>
            </w:pPr>
            <w:r w:rsidRPr="00D00563">
              <w:rPr>
                <w:rFonts w:eastAsia="Times New Roman"/>
                <w:b/>
                <w:color w:val="000000" w:themeColor="text1"/>
                <w:sz w:val="22"/>
                <w:szCs w:val="22"/>
              </w:rPr>
              <w:t>Kaina (K)</w:t>
            </w:r>
          </w:p>
        </w:tc>
        <w:tc>
          <w:tcPr>
            <w:tcW w:w="896" w:type="pct"/>
            <w:tcBorders>
              <w:top w:val="single" w:sz="4" w:space="0" w:color="auto"/>
              <w:left w:val="single" w:sz="4" w:space="0" w:color="auto"/>
              <w:bottom w:val="single" w:sz="4" w:space="0" w:color="auto"/>
              <w:right w:val="single" w:sz="4" w:space="0" w:color="auto"/>
            </w:tcBorders>
            <w:shd w:val="clear" w:color="auto" w:fill="D9D9D9"/>
            <w:hideMark/>
          </w:tcPr>
          <w:p w:rsidR="00D00563" w:rsidRPr="00D00563" w:rsidRDefault="00D00563" w:rsidP="00DA4E89">
            <w:pPr>
              <w:spacing w:line="256" w:lineRule="auto"/>
              <w:jc w:val="center"/>
              <w:rPr>
                <w:b/>
                <w:bCs/>
                <w:color w:val="000000" w:themeColor="text1"/>
                <w:sz w:val="22"/>
                <w:szCs w:val="22"/>
              </w:rPr>
            </w:pPr>
            <w:r w:rsidRPr="00D00563">
              <w:rPr>
                <w:rFonts w:eastAsia="Times New Roman"/>
                <w:b/>
                <w:color w:val="000000" w:themeColor="text1"/>
                <w:sz w:val="22"/>
                <w:szCs w:val="22"/>
              </w:rPr>
              <w:t>X=70</w:t>
            </w:r>
          </w:p>
        </w:tc>
      </w:tr>
      <w:tr w:rsidR="00D00563" w:rsidRPr="00D00563" w:rsidTr="00D00563">
        <w:trPr>
          <w:trHeight w:hRule="exact" w:val="291"/>
        </w:trPr>
        <w:tc>
          <w:tcPr>
            <w:tcW w:w="4104"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D00563" w:rsidRPr="00D00563" w:rsidRDefault="00D00563" w:rsidP="00DA4E89">
            <w:pPr>
              <w:spacing w:line="256" w:lineRule="auto"/>
              <w:rPr>
                <w:b/>
                <w:bCs/>
                <w:color w:val="000000" w:themeColor="text1"/>
                <w:sz w:val="22"/>
                <w:szCs w:val="22"/>
              </w:rPr>
            </w:pPr>
            <w:r w:rsidRPr="00D00563">
              <w:rPr>
                <w:rFonts w:eastAsia="Times New Roman"/>
                <w:b/>
                <w:color w:val="000000" w:themeColor="text1"/>
                <w:sz w:val="22"/>
                <w:szCs w:val="22"/>
              </w:rPr>
              <w:t>Techniniai pranašumai (T)</w:t>
            </w:r>
          </w:p>
        </w:tc>
        <w:tc>
          <w:tcPr>
            <w:tcW w:w="896" w:type="pct"/>
            <w:tcBorders>
              <w:top w:val="single" w:sz="4" w:space="0" w:color="auto"/>
              <w:left w:val="single" w:sz="4" w:space="0" w:color="auto"/>
              <w:bottom w:val="single" w:sz="4" w:space="0" w:color="auto"/>
              <w:right w:val="single" w:sz="4" w:space="0" w:color="auto"/>
            </w:tcBorders>
            <w:shd w:val="clear" w:color="auto" w:fill="D9D9D9"/>
            <w:hideMark/>
          </w:tcPr>
          <w:p w:rsidR="00D00563" w:rsidRPr="00D00563" w:rsidRDefault="00D00563" w:rsidP="00DA4E89">
            <w:pPr>
              <w:spacing w:line="256" w:lineRule="auto"/>
              <w:jc w:val="center"/>
              <w:rPr>
                <w:b/>
                <w:bCs/>
                <w:color w:val="000000" w:themeColor="text1"/>
                <w:sz w:val="22"/>
                <w:szCs w:val="22"/>
              </w:rPr>
            </w:pPr>
            <w:r w:rsidRPr="00D00563">
              <w:rPr>
                <w:rFonts w:eastAsia="Times New Roman"/>
                <w:b/>
                <w:color w:val="000000" w:themeColor="text1"/>
                <w:sz w:val="22"/>
                <w:szCs w:val="22"/>
              </w:rPr>
              <w:t>Y=30</w:t>
            </w:r>
          </w:p>
        </w:tc>
      </w:tr>
      <w:tr w:rsidR="00D00563" w:rsidRPr="00D00563" w:rsidTr="00D00563">
        <w:trPr>
          <w:trHeight w:hRule="exact" w:val="271"/>
        </w:trPr>
        <w:tc>
          <w:tcPr>
            <w:tcW w:w="263" w:type="pct"/>
            <w:tcBorders>
              <w:top w:val="single" w:sz="4" w:space="0" w:color="auto"/>
              <w:left w:val="single" w:sz="4" w:space="0" w:color="auto"/>
              <w:bottom w:val="single" w:sz="4" w:space="0" w:color="auto"/>
              <w:right w:val="single" w:sz="4" w:space="0" w:color="auto"/>
            </w:tcBorders>
            <w:hideMark/>
          </w:tcPr>
          <w:p w:rsidR="00D00563" w:rsidRPr="00D00563" w:rsidRDefault="00D00563" w:rsidP="00DA4E89">
            <w:pPr>
              <w:spacing w:line="256" w:lineRule="auto"/>
              <w:ind w:right="-81"/>
              <w:jc w:val="center"/>
              <w:rPr>
                <w:rFonts w:eastAsia="Times New Roman"/>
                <w:b/>
                <w:color w:val="000000" w:themeColor="text1"/>
                <w:sz w:val="22"/>
                <w:szCs w:val="22"/>
              </w:rPr>
            </w:pPr>
            <w:r w:rsidRPr="00D00563">
              <w:rPr>
                <w:rFonts w:eastAsia="Times New Roman"/>
                <w:b/>
                <w:color w:val="000000" w:themeColor="text1"/>
                <w:sz w:val="22"/>
                <w:szCs w:val="22"/>
              </w:rPr>
              <w:t>Nr.</w:t>
            </w:r>
          </w:p>
        </w:tc>
        <w:tc>
          <w:tcPr>
            <w:tcW w:w="2342" w:type="pct"/>
            <w:tcBorders>
              <w:top w:val="single" w:sz="4" w:space="0" w:color="auto"/>
              <w:left w:val="single" w:sz="4" w:space="0" w:color="auto"/>
              <w:bottom w:val="single" w:sz="4" w:space="0" w:color="auto"/>
              <w:right w:val="single" w:sz="4" w:space="0" w:color="auto"/>
            </w:tcBorders>
            <w:hideMark/>
          </w:tcPr>
          <w:p w:rsidR="00D00563" w:rsidRPr="00D00563" w:rsidRDefault="00D00563" w:rsidP="00DA4E89">
            <w:pPr>
              <w:spacing w:line="256" w:lineRule="auto"/>
              <w:jc w:val="center"/>
              <w:rPr>
                <w:rFonts w:eastAsia="Times New Roman"/>
                <w:b/>
                <w:color w:val="000000" w:themeColor="text1"/>
                <w:sz w:val="22"/>
                <w:szCs w:val="22"/>
              </w:rPr>
            </w:pPr>
            <w:r w:rsidRPr="00D00563">
              <w:rPr>
                <w:rFonts w:eastAsia="Times New Roman"/>
                <w:b/>
                <w:color w:val="000000" w:themeColor="text1"/>
                <w:sz w:val="22"/>
                <w:szCs w:val="22"/>
              </w:rPr>
              <w:t>Parametrai</w:t>
            </w:r>
          </w:p>
        </w:tc>
        <w:tc>
          <w:tcPr>
            <w:tcW w:w="1500" w:type="pct"/>
            <w:gridSpan w:val="2"/>
            <w:tcBorders>
              <w:top w:val="single" w:sz="4" w:space="0" w:color="auto"/>
              <w:left w:val="single" w:sz="4" w:space="0" w:color="auto"/>
              <w:bottom w:val="single" w:sz="4" w:space="0" w:color="auto"/>
              <w:right w:val="single" w:sz="4" w:space="0" w:color="auto"/>
            </w:tcBorders>
            <w:vAlign w:val="center"/>
            <w:hideMark/>
          </w:tcPr>
          <w:p w:rsidR="00D00563" w:rsidRPr="00D00563" w:rsidRDefault="00D00563" w:rsidP="00DA4E89">
            <w:pPr>
              <w:spacing w:line="256" w:lineRule="auto"/>
              <w:ind w:right="-250" w:hanging="108"/>
              <w:jc w:val="center"/>
              <w:rPr>
                <w:rFonts w:eastAsia="Times New Roman"/>
                <w:b/>
                <w:color w:val="000000" w:themeColor="text1"/>
                <w:sz w:val="22"/>
                <w:szCs w:val="22"/>
              </w:rPr>
            </w:pPr>
            <w:r w:rsidRPr="00D00563">
              <w:rPr>
                <w:rFonts w:eastAsia="Times New Roman"/>
                <w:b/>
                <w:color w:val="000000" w:themeColor="text1"/>
                <w:sz w:val="22"/>
                <w:szCs w:val="22"/>
              </w:rPr>
              <w:t>Vertinimo būdas</w:t>
            </w:r>
          </w:p>
        </w:tc>
        <w:tc>
          <w:tcPr>
            <w:tcW w:w="896" w:type="pct"/>
            <w:tcBorders>
              <w:top w:val="single" w:sz="4" w:space="0" w:color="auto"/>
              <w:left w:val="single" w:sz="4" w:space="0" w:color="auto"/>
              <w:bottom w:val="single" w:sz="4" w:space="0" w:color="auto"/>
              <w:right w:val="single" w:sz="4" w:space="0" w:color="auto"/>
            </w:tcBorders>
          </w:tcPr>
          <w:p w:rsidR="00D00563" w:rsidRPr="00D00563" w:rsidRDefault="00D00563" w:rsidP="00DA4E89">
            <w:pPr>
              <w:spacing w:line="256" w:lineRule="auto"/>
              <w:jc w:val="center"/>
              <w:rPr>
                <w:rFonts w:eastAsia="Times New Roman"/>
                <w:b/>
                <w:color w:val="000000" w:themeColor="text1"/>
                <w:sz w:val="22"/>
                <w:szCs w:val="22"/>
              </w:rPr>
            </w:pPr>
          </w:p>
        </w:tc>
      </w:tr>
      <w:tr w:rsidR="00D00563" w:rsidRPr="00D00563" w:rsidTr="00D00563">
        <w:trPr>
          <w:trHeight w:val="875"/>
        </w:trPr>
        <w:tc>
          <w:tcPr>
            <w:tcW w:w="263" w:type="pct"/>
            <w:tcBorders>
              <w:top w:val="single" w:sz="4" w:space="0" w:color="auto"/>
              <w:left w:val="single" w:sz="4" w:space="0" w:color="auto"/>
              <w:bottom w:val="single" w:sz="4" w:space="0" w:color="auto"/>
              <w:right w:val="single" w:sz="4" w:space="0" w:color="auto"/>
            </w:tcBorders>
            <w:vAlign w:val="center"/>
            <w:hideMark/>
          </w:tcPr>
          <w:p w:rsidR="00D00563" w:rsidRPr="00D00563" w:rsidRDefault="00D00563" w:rsidP="00DA4E89">
            <w:pPr>
              <w:jc w:val="center"/>
              <w:rPr>
                <w:rFonts w:eastAsia="Times New Roman"/>
                <w:color w:val="000000" w:themeColor="text1"/>
                <w:sz w:val="22"/>
                <w:szCs w:val="22"/>
                <w:vertAlign w:val="subscript"/>
              </w:rPr>
            </w:pPr>
            <w:r w:rsidRPr="00D00563">
              <w:rPr>
                <w:rFonts w:eastAsia="Times New Roman"/>
                <w:color w:val="000000" w:themeColor="text1"/>
                <w:sz w:val="22"/>
                <w:szCs w:val="22"/>
              </w:rPr>
              <w:t>T</w:t>
            </w:r>
            <w:r w:rsidRPr="00D00563">
              <w:rPr>
                <w:rFonts w:eastAsia="Times New Roman"/>
                <w:color w:val="000000" w:themeColor="text1"/>
                <w:sz w:val="22"/>
                <w:szCs w:val="22"/>
                <w:vertAlign w:val="subscript"/>
              </w:rPr>
              <w:t>1</w:t>
            </w:r>
          </w:p>
        </w:tc>
        <w:tc>
          <w:tcPr>
            <w:tcW w:w="2342"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ind w:left="28"/>
              <w:rPr>
                <w:rFonts w:eastAsia="Times New Roman"/>
                <w:color w:val="000000" w:themeColor="text1"/>
                <w:sz w:val="22"/>
                <w:szCs w:val="22"/>
              </w:rPr>
            </w:pPr>
            <w:r w:rsidRPr="00D00563">
              <w:rPr>
                <w:color w:val="000000" w:themeColor="text1"/>
                <w:sz w:val="22"/>
                <w:szCs w:val="22"/>
              </w:rPr>
              <w:t>Stalviršio (be čiužinio) apatinė nuleidimo riba (techninės specifikacijos p. 6.4)</w:t>
            </w:r>
          </w:p>
        </w:tc>
        <w:tc>
          <w:tcPr>
            <w:tcW w:w="846" w:type="pct"/>
            <w:tcBorders>
              <w:top w:val="single" w:sz="4" w:space="0" w:color="auto"/>
              <w:left w:val="single" w:sz="4" w:space="0" w:color="auto"/>
              <w:bottom w:val="single" w:sz="4" w:space="0" w:color="auto"/>
              <w:right w:val="single" w:sz="4" w:space="0" w:color="auto"/>
            </w:tcBorders>
            <w:vAlign w:val="center"/>
            <w:hideMark/>
          </w:tcPr>
          <w:p w:rsidR="00D00563" w:rsidRPr="00D00563" w:rsidRDefault="00D00563" w:rsidP="00DA4E89">
            <w:pPr>
              <w:jc w:val="center"/>
              <w:rPr>
                <w:rFonts w:eastAsia="Times New Roman"/>
                <w:color w:val="000000" w:themeColor="text1"/>
                <w:sz w:val="22"/>
                <w:szCs w:val="22"/>
              </w:rPr>
            </w:pPr>
            <w:r w:rsidRPr="00D00563">
              <w:rPr>
                <w:color w:val="000000"/>
                <w:sz w:val="22"/>
                <w:szCs w:val="22"/>
              </w:rPr>
              <w:t>Palyginamasis: interpoliacinis</w:t>
            </w:r>
          </w:p>
        </w:tc>
        <w:tc>
          <w:tcPr>
            <w:tcW w:w="654" w:type="pct"/>
            <w:tcBorders>
              <w:top w:val="single" w:sz="4" w:space="0" w:color="auto"/>
              <w:left w:val="single" w:sz="4" w:space="0" w:color="auto"/>
              <w:bottom w:val="single" w:sz="4" w:space="0" w:color="auto"/>
              <w:right w:val="single" w:sz="4" w:space="0" w:color="auto"/>
            </w:tcBorders>
            <w:vAlign w:val="center"/>
            <w:hideMark/>
          </w:tcPr>
          <w:p w:rsidR="00D00563" w:rsidRPr="00D00563" w:rsidRDefault="00D00563" w:rsidP="00DA4E89">
            <w:pPr>
              <w:ind w:left="522" w:hanging="491"/>
              <w:jc w:val="center"/>
              <w:rPr>
                <w:rFonts w:eastAsia="Times New Roman"/>
                <w:color w:val="000000" w:themeColor="text1"/>
                <w:sz w:val="22"/>
                <w:szCs w:val="22"/>
              </w:rPr>
            </w:pPr>
            <w:r w:rsidRPr="00D00563">
              <w:rPr>
                <w:rFonts w:eastAsia="Times New Roman"/>
                <w:color w:val="000000" w:themeColor="text1"/>
                <w:sz w:val="22"/>
                <w:szCs w:val="22"/>
              </w:rPr>
              <w:t>L</w:t>
            </w:r>
            <w:r w:rsidRPr="00D00563">
              <w:rPr>
                <w:rFonts w:eastAsia="Times New Roman"/>
                <w:color w:val="000000" w:themeColor="text1"/>
                <w:sz w:val="22"/>
                <w:szCs w:val="22"/>
                <w:vertAlign w:val="subscript"/>
              </w:rPr>
              <w:t>1</w:t>
            </w:r>
            <w:r w:rsidRPr="00D00563">
              <w:rPr>
                <w:rFonts w:eastAsia="Times New Roman"/>
                <w:color w:val="000000" w:themeColor="text1"/>
                <w:sz w:val="22"/>
                <w:szCs w:val="22"/>
              </w:rPr>
              <w:t xml:space="preserve"> = 0,2</w:t>
            </w:r>
          </w:p>
        </w:tc>
        <w:tc>
          <w:tcPr>
            <w:tcW w:w="896"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808080" w:themeColor="background1" w:themeShade="80"/>
                <w:sz w:val="22"/>
                <w:szCs w:val="22"/>
              </w:rPr>
            </w:pPr>
            <w:r w:rsidRPr="00D00563">
              <w:rPr>
                <w:rFonts w:eastAsia="Times New Roman"/>
                <w:color w:val="808080" w:themeColor="background1" w:themeShade="80"/>
                <w:sz w:val="22"/>
                <w:szCs w:val="22"/>
              </w:rPr>
              <w:t>Įrašyti konkrečią parametro</w:t>
            </w:r>
          </w:p>
          <w:p w:rsidR="00D00563" w:rsidRPr="00D00563" w:rsidRDefault="00D00563" w:rsidP="00DA4E89">
            <w:pPr>
              <w:jc w:val="center"/>
              <w:rPr>
                <w:rFonts w:eastAsia="Times New Roman"/>
                <w:color w:val="808080" w:themeColor="background1" w:themeShade="80"/>
                <w:sz w:val="22"/>
                <w:szCs w:val="22"/>
              </w:rPr>
            </w:pPr>
            <w:r w:rsidRPr="00D00563">
              <w:rPr>
                <w:rFonts w:eastAsia="Times New Roman"/>
                <w:color w:val="808080" w:themeColor="background1" w:themeShade="80"/>
                <w:sz w:val="22"/>
                <w:szCs w:val="22"/>
              </w:rPr>
              <w:t xml:space="preserve"> vertę</w:t>
            </w:r>
          </w:p>
        </w:tc>
      </w:tr>
      <w:tr w:rsidR="00D00563" w:rsidRPr="00D00563" w:rsidTr="00D00563">
        <w:trPr>
          <w:trHeight w:val="800"/>
        </w:trPr>
        <w:tc>
          <w:tcPr>
            <w:tcW w:w="263"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000000" w:themeColor="text1"/>
                <w:sz w:val="22"/>
                <w:szCs w:val="22"/>
              </w:rPr>
            </w:pPr>
            <w:r w:rsidRPr="00D00563">
              <w:rPr>
                <w:rFonts w:eastAsia="Times New Roman"/>
                <w:color w:val="000000" w:themeColor="text1"/>
                <w:sz w:val="22"/>
                <w:szCs w:val="22"/>
              </w:rPr>
              <w:t>T</w:t>
            </w:r>
            <w:r w:rsidRPr="00D00563">
              <w:rPr>
                <w:rFonts w:eastAsia="Times New Roman"/>
                <w:color w:val="000000" w:themeColor="text1"/>
                <w:sz w:val="22"/>
                <w:szCs w:val="22"/>
                <w:vertAlign w:val="subscript"/>
              </w:rPr>
              <w:t>2</w:t>
            </w:r>
          </w:p>
        </w:tc>
        <w:tc>
          <w:tcPr>
            <w:tcW w:w="2342"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ind w:left="28"/>
              <w:rPr>
                <w:color w:val="000000" w:themeColor="text1"/>
                <w:sz w:val="22"/>
                <w:szCs w:val="22"/>
              </w:rPr>
            </w:pPr>
            <w:r w:rsidRPr="00D00563">
              <w:rPr>
                <w:color w:val="000000" w:themeColor="text1"/>
                <w:sz w:val="22"/>
                <w:szCs w:val="22"/>
              </w:rPr>
              <w:t xml:space="preserve">Stalviršio (be čiužinio) viršutinė pakėlimo riba (techninės specifikacijos p. 6.4) </w:t>
            </w:r>
          </w:p>
        </w:tc>
        <w:tc>
          <w:tcPr>
            <w:tcW w:w="846"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color w:val="000000"/>
                <w:sz w:val="22"/>
                <w:szCs w:val="22"/>
              </w:rPr>
            </w:pPr>
            <w:r w:rsidRPr="00D00563">
              <w:rPr>
                <w:color w:val="000000"/>
                <w:sz w:val="22"/>
                <w:szCs w:val="22"/>
              </w:rPr>
              <w:t>Palyginamasis: interpoliacinis</w:t>
            </w:r>
          </w:p>
        </w:tc>
        <w:tc>
          <w:tcPr>
            <w:tcW w:w="654"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ind w:left="522" w:hanging="491"/>
              <w:jc w:val="center"/>
              <w:rPr>
                <w:rFonts w:eastAsia="Times New Roman"/>
                <w:color w:val="000000" w:themeColor="text1"/>
                <w:sz w:val="22"/>
                <w:szCs w:val="22"/>
              </w:rPr>
            </w:pPr>
            <w:r w:rsidRPr="00D00563">
              <w:rPr>
                <w:rFonts w:eastAsia="Times New Roman"/>
                <w:color w:val="000000" w:themeColor="text1"/>
                <w:sz w:val="22"/>
                <w:szCs w:val="22"/>
              </w:rPr>
              <w:t>L</w:t>
            </w:r>
            <w:r w:rsidRPr="00D00563">
              <w:rPr>
                <w:rFonts w:eastAsia="Times New Roman"/>
                <w:color w:val="000000" w:themeColor="text1"/>
                <w:sz w:val="22"/>
                <w:szCs w:val="22"/>
                <w:vertAlign w:val="subscript"/>
              </w:rPr>
              <w:t>2</w:t>
            </w:r>
            <w:r w:rsidRPr="00D00563">
              <w:rPr>
                <w:rFonts w:eastAsia="Times New Roman"/>
                <w:color w:val="000000" w:themeColor="text1"/>
                <w:sz w:val="22"/>
                <w:szCs w:val="22"/>
              </w:rPr>
              <w:t xml:space="preserve"> = 0,2</w:t>
            </w:r>
          </w:p>
        </w:tc>
        <w:tc>
          <w:tcPr>
            <w:tcW w:w="896"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808080" w:themeColor="background1" w:themeShade="80"/>
                <w:sz w:val="22"/>
                <w:szCs w:val="22"/>
              </w:rPr>
            </w:pPr>
            <w:r w:rsidRPr="00D00563">
              <w:rPr>
                <w:rFonts w:eastAsia="Times New Roman"/>
                <w:color w:val="808080" w:themeColor="background1" w:themeShade="80"/>
                <w:sz w:val="22"/>
                <w:szCs w:val="22"/>
              </w:rPr>
              <w:t xml:space="preserve">Įrašyti konkrečią parametro </w:t>
            </w:r>
          </w:p>
          <w:p w:rsidR="00D00563" w:rsidRPr="00D00563" w:rsidRDefault="00D00563" w:rsidP="00DA4E89">
            <w:pPr>
              <w:jc w:val="center"/>
              <w:rPr>
                <w:rFonts w:eastAsia="Times New Roman"/>
                <w:color w:val="808080" w:themeColor="background1" w:themeShade="80"/>
                <w:sz w:val="22"/>
                <w:szCs w:val="22"/>
              </w:rPr>
            </w:pPr>
            <w:r w:rsidRPr="00D00563">
              <w:rPr>
                <w:rFonts w:eastAsia="Times New Roman"/>
                <w:color w:val="808080" w:themeColor="background1" w:themeShade="80"/>
                <w:sz w:val="22"/>
                <w:szCs w:val="22"/>
              </w:rPr>
              <w:t>vertę</w:t>
            </w:r>
          </w:p>
        </w:tc>
      </w:tr>
      <w:tr w:rsidR="00D00563" w:rsidRPr="00D00563" w:rsidTr="00D00563">
        <w:trPr>
          <w:trHeight w:val="885"/>
        </w:trPr>
        <w:tc>
          <w:tcPr>
            <w:tcW w:w="263"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000000" w:themeColor="text1"/>
                <w:sz w:val="22"/>
                <w:szCs w:val="22"/>
              </w:rPr>
            </w:pPr>
            <w:r w:rsidRPr="00D00563">
              <w:rPr>
                <w:rFonts w:eastAsia="Times New Roman"/>
                <w:color w:val="000000" w:themeColor="text1"/>
                <w:sz w:val="22"/>
                <w:szCs w:val="22"/>
              </w:rPr>
              <w:t>T</w:t>
            </w:r>
            <w:r w:rsidRPr="00D00563">
              <w:rPr>
                <w:rFonts w:eastAsia="Times New Roman"/>
                <w:color w:val="000000" w:themeColor="text1"/>
                <w:sz w:val="22"/>
                <w:szCs w:val="22"/>
                <w:vertAlign w:val="subscript"/>
              </w:rPr>
              <w:t>3</w:t>
            </w:r>
          </w:p>
        </w:tc>
        <w:tc>
          <w:tcPr>
            <w:tcW w:w="2342"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ind w:left="28"/>
              <w:rPr>
                <w:rFonts w:eastAsia="Times New Roman"/>
                <w:color w:val="000000" w:themeColor="text1"/>
                <w:sz w:val="22"/>
                <w:szCs w:val="22"/>
              </w:rPr>
            </w:pPr>
            <w:r w:rsidRPr="00D00563">
              <w:rPr>
                <w:color w:val="000000" w:themeColor="text1"/>
                <w:sz w:val="22"/>
                <w:szCs w:val="22"/>
              </w:rPr>
              <w:t>Operacinio stalo kolona padengta metalinėmis plokštėmis, be guminių jungiamųjų "armonikos tipo" dalių.</w:t>
            </w:r>
          </w:p>
        </w:tc>
        <w:tc>
          <w:tcPr>
            <w:tcW w:w="846"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000000" w:themeColor="text1"/>
                <w:sz w:val="22"/>
                <w:szCs w:val="22"/>
              </w:rPr>
            </w:pPr>
            <w:r w:rsidRPr="00D00563">
              <w:rPr>
                <w:rFonts w:eastAsia="Times New Roman"/>
                <w:color w:val="000000" w:themeColor="text1"/>
                <w:sz w:val="22"/>
                <w:szCs w:val="22"/>
              </w:rPr>
              <w:t xml:space="preserve">Statinis: </w:t>
            </w:r>
          </w:p>
          <w:p w:rsidR="00D00563" w:rsidRPr="00D00563" w:rsidRDefault="00D00563" w:rsidP="00DA4E89">
            <w:pPr>
              <w:jc w:val="center"/>
              <w:rPr>
                <w:rFonts w:eastAsia="Times New Roman"/>
                <w:color w:val="000000" w:themeColor="text1"/>
                <w:sz w:val="22"/>
                <w:szCs w:val="22"/>
              </w:rPr>
            </w:pPr>
            <w:r w:rsidRPr="00D00563">
              <w:rPr>
                <w:rFonts w:eastAsia="Times New Roman"/>
                <w:color w:val="000000" w:themeColor="text1"/>
                <w:sz w:val="22"/>
                <w:szCs w:val="22"/>
              </w:rPr>
              <w:t>(yra/nėra)</w:t>
            </w:r>
          </w:p>
        </w:tc>
        <w:tc>
          <w:tcPr>
            <w:tcW w:w="654"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ind w:left="522" w:hanging="491"/>
              <w:jc w:val="center"/>
              <w:rPr>
                <w:rFonts w:eastAsia="Times New Roman"/>
                <w:color w:val="000000" w:themeColor="text1"/>
                <w:sz w:val="22"/>
                <w:szCs w:val="22"/>
              </w:rPr>
            </w:pPr>
            <w:r w:rsidRPr="00D00563">
              <w:rPr>
                <w:rFonts w:eastAsia="Times New Roman"/>
                <w:color w:val="000000" w:themeColor="text1"/>
                <w:sz w:val="22"/>
                <w:szCs w:val="22"/>
              </w:rPr>
              <w:t>L</w:t>
            </w:r>
            <w:r w:rsidRPr="00D00563">
              <w:rPr>
                <w:rFonts w:eastAsia="Times New Roman"/>
                <w:color w:val="000000" w:themeColor="text1"/>
                <w:sz w:val="22"/>
                <w:szCs w:val="22"/>
                <w:vertAlign w:val="subscript"/>
              </w:rPr>
              <w:t>3</w:t>
            </w:r>
            <w:r w:rsidRPr="00D00563">
              <w:rPr>
                <w:rFonts w:eastAsia="Times New Roman"/>
                <w:color w:val="000000" w:themeColor="text1"/>
                <w:sz w:val="22"/>
                <w:szCs w:val="22"/>
              </w:rPr>
              <w:t>= 0,2</w:t>
            </w:r>
          </w:p>
        </w:tc>
        <w:tc>
          <w:tcPr>
            <w:tcW w:w="896"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808080" w:themeColor="background1" w:themeShade="80"/>
                <w:sz w:val="22"/>
                <w:szCs w:val="22"/>
              </w:rPr>
            </w:pPr>
            <w:r w:rsidRPr="00D00563">
              <w:rPr>
                <w:rFonts w:eastAsia="Times New Roman"/>
                <w:color w:val="808080" w:themeColor="background1" w:themeShade="80"/>
                <w:sz w:val="22"/>
                <w:szCs w:val="22"/>
              </w:rPr>
              <w:t>Įrašyti parametro vertę: yra/nėra</w:t>
            </w:r>
          </w:p>
        </w:tc>
      </w:tr>
      <w:tr w:rsidR="00D00563" w:rsidRPr="00D00563" w:rsidTr="00D00563">
        <w:trPr>
          <w:trHeight w:val="1068"/>
        </w:trPr>
        <w:tc>
          <w:tcPr>
            <w:tcW w:w="263"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000000" w:themeColor="text1"/>
                <w:sz w:val="22"/>
                <w:szCs w:val="22"/>
                <w:vertAlign w:val="subscript"/>
              </w:rPr>
            </w:pPr>
            <w:r w:rsidRPr="00D00563">
              <w:rPr>
                <w:rFonts w:eastAsia="Times New Roman"/>
                <w:color w:val="000000" w:themeColor="text1"/>
                <w:sz w:val="22"/>
                <w:szCs w:val="22"/>
              </w:rPr>
              <w:t>T</w:t>
            </w:r>
            <w:r w:rsidRPr="00D00563">
              <w:rPr>
                <w:rFonts w:eastAsia="Times New Roman"/>
                <w:color w:val="000000" w:themeColor="text1"/>
                <w:sz w:val="22"/>
                <w:szCs w:val="22"/>
                <w:vertAlign w:val="subscript"/>
              </w:rPr>
              <w:t>4</w:t>
            </w:r>
          </w:p>
        </w:tc>
        <w:tc>
          <w:tcPr>
            <w:tcW w:w="2342" w:type="pct"/>
            <w:tcBorders>
              <w:top w:val="single" w:sz="4" w:space="0" w:color="auto"/>
              <w:left w:val="single" w:sz="4" w:space="0" w:color="auto"/>
              <w:bottom w:val="single" w:sz="4" w:space="0" w:color="auto"/>
              <w:right w:val="single" w:sz="4" w:space="0" w:color="auto"/>
            </w:tcBorders>
          </w:tcPr>
          <w:p w:rsidR="00D00563" w:rsidRPr="00D00563" w:rsidRDefault="00D00563" w:rsidP="00DA4E89">
            <w:pPr>
              <w:ind w:left="28"/>
              <w:rPr>
                <w:rFonts w:eastAsia="Times New Roman"/>
                <w:color w:val="000000" w:themeColor="text1"/>
                <w:sz w:val="22"/>
                <w:szCs w:val="22"/>
              </w:rPr>
            </w:pPr>
            <w:r w:rsidRPr="00D00563">
              <w:rPr>
                <w:color w:val="000000" w:themeColor="text1"/>
                <w:sz w:val="22"/>
                <w:szCs w:val="22"/>
              </w:rPr>
              <w:t>Integruotas avarinis stalo valdymo mechanizmas, leidžiantis valdyti visas stalo funkcijas rankiniu - mechaniniu būdu (be elektros).</w:t>
            </w:r>
          </w:p>
        </w:tc>
        <w:tc>
          <w:tcPr>
            <w:tcW w:w="846"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000000" w:themeColor="text1"/>
                <w:sz w:val="22"/>
                <w:szCs w:val="22"/>
              </w:rPr>
            </w:pPr>
            <w:r w:rsidRPr="00D00563">
              <w:rPr>
                <w:rFonts w:eastAsia="Times New Roman"/>
                <w:color w:val="000000" w:themeColor="text1"/>
                <w:sz w:val="22"/>
                <w:szCs w:val="22"/>
              </w:rPr>
              <w:t xml:space="preserve">Statinis: </w:t>
            </w:r>
          </w:p>
          <w:p w:rsidR="00D00563" w:rsidRPr="00D00563" w:rsidRDefault="00D00563" w:rsidP="00DA4E89">
            <w:pPr>
              <w:jc w:val="center"/>
              <w:rPr>
                <w:rFonts w:eastAsia="Times New Roman"/>
                <w:color w:val="000000" w:themeColor="text1"/>
                <w:sz w:val="22"/>
                <w:szCs w:val="22"/>
              </w:rPr>
            </w:pPr>
            <w:r w:rsidRPr="00D00563">
              <w:rPr>
                <w:rFonts w:eastAsia="Times New Roman"/>
                <w:color w:val="000000" w:themeColor="text1"/>
                <w:sz w:val="22"/>
                <w:szCs w:val="22"/>
              </w:rPr>
              <w:t>(yra/nėra)</w:t>
            </w:r>
          </w:p>
        </w:tc>
        <w:tc>
          <w:tcPr>
            <w:tcW w:w="654"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ind w:left="522" w:hanging="491"/>
              <w:jc w:val="center"/>
              <w:rPr>
                <w:rFonts w:eastAsia="Times New Roman"/>
                <w:color w:val="000000" w:themeColor="text1"/>
                <w:sz w:val="22"/>
                <w:szCs w:val="22"/>
              </w:rPr>
            </w:pPr>
            <w:r w:rsidRPr="00D00563">
              <w:rPr>
                <w:rFonts w:eastAsia="Times New Roman"/>
                <w:color w:val="000000" w:themeColor="text1"/>
                <w:sz w:val="22"/>
                <w:szCs w:val="22"/>
              </w:rPr>
              <w:t>L</w:t>
            </w:r>
            <w:r w:rsidRPr="00D00563">
              <w:rPr>
                <w:rFonts w:eastAsia="Times New Roman"/>
                <w:color w:val="000000" w:themeColor="text1"/>
                <w:sz w:val="22"/>
                <w:szCs w:val="22"/>
                <w:vertAlign w:val="subscript"/>
              </w:rPr>
              <w:t>4</w:t>
            </w:r>
            <w:r w:rsidRPr="00D00563">
              <w:rPr>
                <w:rFonts w:eastAsia="Times New Roman"/>
                <w:color w:val="000000" w:themeColor="text1"/>
                <w:sz w:val="22"/>
                <w:szCs w:val="22"/>
              </w:rPr>
              <w:t xml:space="preserve"> = 0,2</w:t>
            </w:r>
          </w:p>
        </w:tc>
        <w:tc>
          <w:tcPr>
            <w:tcW w:w="896"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808080" w:themeColor="background1" w:themeShade="80"/>
                <w:sz w:val="22"/>
                <w:szCs w:val="22"/>
              </w:rPr>
            </w:pPr>
            <w:r w:rsidRPr="00D00563">
              <w:rPr>
                <w:rFonts w:eastAsia="Times New Roman"/>
                <w:color w:val="808080" w:themeColor="background1" w:themeShade="80"/>
                <w:sz w:val="22"/>
                <w:szCs w:val="22"/>
              </w:rPr>
              <w:t>Įrašyti parametro vertę: yra/nėra</w:t>
            </w:r>
          </w:p>
        </w:tc>
      </w:tr>
      <w:tr w:rsidR="00D00563" w:rsidRPr="00D00563" w:rsidTr="00D00563">
        <w:trPr>
          <w:trHeight w:val="2160"/>
        </w:trPr>
        <w:tc>
          <w:tcPr>
            <w:tcW w:w="263"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000000" w:themeColor="text1"/>
                <w:sz w:val="22"/>
                <w:szCs w:val="22"/>
              </w:rPr>
            </w:pPr>
            <w:r w:rsidRPr="00D00563">
              <w:rPr>
                <w:rFonts w:eastAsia="Times New Roman"/>
                <w:color w:val="000000" w:themeColor="text1"/>
                <w:sz w:val="22"/>
                <w:szCs w:val="22"/>
              </w:rPr>
              <w:t>T</w:t>
            </w:r>
            <w:r w:rsidRPr="00D00563">
              <w:rPr>
                <w:rFonts w:eastAsia="Times New Roman"/>
                <w:color w:val="000000" w:themeColor="text1"/>
                <w:sz w:val="22"/>
                <w:szCs w:val="22"/>
                <w:vertAlign w:val="subscript"/>
              </w:rPr>
              <w:t>5</w:t>
            </w:r>
          </w:p>
        </w:tc>
        <w:tc>
          <w:tcPr>
            <w:tcW w:w="2342" w:type="pct"/>
            <w:tcBorders>
              <w:top w:val="single" w:sz="4" w:space="0" w:color="auto"/>
              <w:left w:val="single" w:sz="4" w:space="0" w:color="auto"/>
              <w:bottom w:val="single" w:sz="4" w:space="0" w:color="auto"/>
              <w:right w:val="single" w:sz="4" w:space="0" w:color="auto"/>
            </w:tcBorders>
          </w:tcPr>
          <w:p w:rsidR="00D00563" w:rsidRPr="00D00563" w:rsidRDefault="00D00563" w:rsidP="00DA4E89">
            <w:pPr>
              <w:ind w:left="28"/>
              <w:rPr>
                <w:color w:val="000000" w:themeColor="text1"/>
                <w:sz w:val="22"/>
                <w:szCs w:val="22"/>
              </w:rPr>
            </w:pPr>
            <w:r w:rsidRPr="00D00563">
              <w:rPr>
                <w:color w:val="000000" w:themeColor="text1"/>
                <w:sz w:val="22"/>
                <w:szCs w:val="22"/>
              </w:rPr>
              <w:t>Apsaugos nuo susidūrimo su kliūtimi stalo sekcijų pozicijų keitimo metu sistema, apie susidūrimą pranešanti garsiniu ir vaizdiniu perspėjimu ir automatiškai sustabdanti stalo judėjimą, aptikus kliūtį. Jutiklių pagalba stebima ir valdoma visa stalo sistema, įskaitant galvos, kojų sekcijų pozicionavimo ir stalviršio aukščio keitimo kontrolę.</w:t>
            </w:r>
          </w:p>
        </w:tc>
        <w:tc>
          <w:tcPr>
            <w:tcW w:w="846"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000000" w:themeColor="text1"/>
                <w:sz w:val="22"/>
                <w:szCs w:val="22"/>
              </w:rPr>
            </w:pPr>
            <w:r w:rsidRPr="00D00563">
              <w:rPr>
                <w:rFonts w:eastAsia="Times New Roman"/>
                <w:color w:val="000000" w:themeColor="text1"/>
                <w:sz w:val="22"/>
                <w:szCs w:val="22"/>
              </w:rPr>
              <w:t xml:space="preserve">Statinis: </w:t>
            </w:r>
          </w:p>
          <w:p w:rsidR="00D00563" w:rsidRPr="00D00563" w:rsidRDefault="00D00563" w:rsidP="00DA4E89">
            <w:pPr>
              <w:jc w:val="center"/>
              <w:rPr>
                <w:rFonts w:eastAsia="Times New Roman"/>
                <w:color w:val="000000" w:themeColor="text1"/>
                <w:sz w:val="22"/>
                <w:szCs w:val="22"/>
              </w:rPr>
            </w:pPr>
            <w:r w:rsidRPr="00D00563">
              <w:rPr>
                <w:rFonts w:eastAsia="Times New Roman"/>
                <w:color w:val="000000" w:themeColor="text1"/>
                <w:sz w:val="22"/>
                <w:szCs w:val="22"/>
              </w:rPr>
              <w:t>(yra/nėra)</w:t>
            </w:r>
          </w:p>
        </w:tc>
        <w:tc>
          <w:tcPr>
            <w:tcW w:w="654"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ind w:left="522" w:hanging="491"/>
              <w:jc w:val="center"/>
              <w:rPr>
                <w:rFonts w:eastAsia="Times New Roman"/>
                <w:color w:val="000000" w:themeColor="text1"/>
                <w:sz w:val="22"/>
                <w:szCs w:val="22"/>
              </w:rPr>
            </w:pPr>
            <w:r w:rsidRPr="00D00563">
              <w:rPr>
                <w:rFonts w:eastAsia="Times New Roman"/>
                <w:color w:val="000000" w:themeColor="text1"/>
                <w:sz w:val="22"/>
                <w:szCs w:val="22"/>
              </w:rPr>
              <w:t>L</w:t>
            </w:r>
            <w:r w:rsidRPr="00D00563">
              <w:rPr>
                <w:rFonts w:eastAsia="Times New Roman"/>
                <w:color w:val="000000" w:themeColor="text1"/>
                <w:sz w:val="22"/>
                <w:szCs w:val="22"/>
                <w:vertAlign w:val="subscript"/>
              </w:rPr>
              <w:t>5</w:t>
            </w:r>
            <w:r w:rsidRPr="00D00563">
              <w:rPr>
                <w:rFonts w:eastAsia="Times New Roman"/>
                <w:color w:val="000000" w:themeColor="text1"/>
                <w:sz w:val="22"/>
                <w:szCs w:val="22"/>
              </w:rPr>
              <w:t xml:space="preserve"> = 0,2</w:t>
            </w:r>
          </w:p>
        </w:tc>
        <w:tc>
          <w:tcPr>
            <w:tcW w:w="896" w:type="pct"/>
            <w:tcBorders>
              <w:top w:val="single" w:sz="4" w:space="0" w:color="auto"/>
              <w:left w:val="single" w:sz="4" w:space="0" w:color="auto"/>
              <w:bottom w:val="single" w:sz="4" w:space="0" w:color="auto"/>
              <w:right w:val="single" w:sz="4" w:space="0" w:color="auto"/>
            </w:tcBorders>
            <w:vAlign w:val="center"/>
          </w:tcPr>
          <w:p w:rsidR="00D00563" w:rsidRPr="00D00563" w:rsidRDefault="00D00563" w:rsidP="00DA4E89">
            <w:pPr>
              <w:jc w:val="center"/>
              <w:rPr>
                <w:rFonts w:eastAsia="Times New Roman"/>
                <w:color w:val="808080" w:themeColor="background1" w:themeShade="80"/>
                <w:sz w:val="22"/>
                <w:szCs w:val="22"/>
              </w:rPr>
            </w:pPr>
            <w:r w:rsidRPr="00D00563">
              <w:rPr>
                <w:rFonts w:eastAsia="Times New Roman"/>
                <w:color w:val="808080" w:themeColor="background1" w:themeShade="80"/>
                <w:sz w:val="22"/>
                <w:szCs w:val="22"/>
              </w:rPr>
              <w:t>Įrašyti parametro vertę: yra/nėra</w:t>
            </w:r>
          </w:p>
        </w:tc>
      </w:tr>
    </w:tbl>
    <w:p w:rsidR="00D00563" w:rsidRPr="00D00563" w:rsidRDefault="00D00563" w:rsidP="00D00563">
      <w:pPr>
        <w:shd w:val="clear" w:color="auto" w:fill="FFFFFF"/>
        <w:ind w:firstLine="567"/>
        <w:jc w:val="both"/>
        <w:rPr>
          <w:color w:val="000000" w:themeColor="text1"/>
          <w:sz w:val="22"/>
          <w:szCs w:val="22"/>
        </w:rPr>
      </w:pPr>
    </w:p>
    <w:p w:rsidR="00D00563" w:rsidRPr="00D00563" w:rsidRDefault="00F21B12" w:rsidP="00D00563">
      <w:pPr>
        <w:shd w:val="clear" w:color="auto" w:fill="FFFFFF"/>
        <w:ind w:firstLine="567"/>
        <w:jc w:val="both"/>
        <w:rPr>
          <w:color w:val="000000" w:themeColor="text1"/>
          <w:sz w:val="22"/>
          <w:szCs w:val="22"/>
        </w:rPr>
      </w:pPr>
      <w:r>
        <w:rPr>
          <w:color w:val="000000" w:themeColor="text1"/>
          <w:sz w:val="22"/>
          <w:szCs w:val="22"/>
        </w:rPr>
        <w:t xml:space="preserve">14.6.2. </w:t>
      </w:r>
      <w:r w:rsidR="00D00563" w:rsidRPr="00D00563">
        <w:rPr>
          <w:color w:val="000000" w:themeColor="text1"/>
          <w:sz w:val="22"/>
          <w:szCs w:val="22"/>
        </w:rPr>
        <w:t>Pasiūlymo ekonominio naudingumo (kainos ir kokybės santykio) apskaičiavimo tvarka (formulė) yra pateikiama žemiau:</w:t>
      </w:r>
    </w:p>
    <w:p w:rsidR="00D00563" w:rsidRPr="00D00563" w:rsidRDefault="00D00563" w:rsidP="00D00563">
      <w:pPr>
        <w:pStyle w:val="ListParagraph"/>
        <w:shd w:val="clear" w:color="auto" w:fill="FFFFFF"/>
        <w:ind w:left="0" w:firstLine="567"/>
        <w:jc w:val="both"/>
        <w:rPr>
          <w:rFonts w:ascii="Times New Roman" w:hAnsi="Times New Roman"/>
          <w:noProof/>
          <w:color w:val="000000" w:themeColor="text1"/>
        </w:rPr>
      </w:pPr>
      <w:r w:rsidRPr="00D00563">
        <w:rPr>
          <w:rFonts w:ascii="Times New Roman" w:hAnsi="Times New Roman"/>
          <w:noProof/>
          <w:color w:val="000000" w:themeColor="text1"/>
        </w:rPr>
        <w:t>1. Pasiūlymo ekonominis naudingumas (E) apskaičiuojamas sudedant tiekėjo pasiūlymo kainos (K) ir techninių pranašumų (T) balus:</w:t>
      </w:r>
    </w:p>
    <w:p w:rsidR="00D00563" w:rsidRPr="00D00563" w:rsidRDefault="00D00563" w:rsidP="00D00563">
      <w:pPr>
        <w:shd w:val="clear" w:color="auto" w:fill="FFFFFF"/>
        <w:jc w:val="center"/>
        <w:rPr>
          <w:color w:val="000000" w:themeColor="text1"/>
          <w:sz w:val="22"/>
          <w:szCs w:val="22"/>
        </w:rPr>
      </w:pPr>
      <w:r w:rsidRPr="00D00563">
        <w:rPr>
          <w:i/>
          <w:iCs/>
          <w:color w:val="000000" w:themeColor="text1"/>
          <w:sz w:val="22"/>
          <w:szCs w:val="22"/>
        </w:rPr>
        <w:t xml:space="preserve">E </w:t>
      </w:r>
      <w:r w:rsidRPr="00D00563">
        <w:rPr>
          <w:color w:val="000000" w:themeColor="text1"/>
          <w:sz w:val="22"/>
          <w:szCs w:val="22"/>
        </w:rPr>
        <w:t xml:space="preserve">= </w:t>
      </w:r>
      <w:r w:rsidRPr="00D00563">
        <w:rPr>
          <w:i/>
          <w:color w:val="000000" w:themeColor="text1"/>
          <w:sz w:val="22"/>
          <w:szCs w:val="22"/>
        </w:rPr>
        <w:t>K</w:t>
      </w:r>
      <w:r w:rsidRPr="00D00563">
        <w:rPr>
          <w:i/>
          <w:iCs/>
          <w:color w:val="000000" w:themeColor="text1"/>
          <w:sz w:val="22"/>
          <w:szCs w:val="22"/>
        </w:rPr>
        <w:t>+ T</w:t>
      </w:r>
    </w:p>
    <w:p w:rsidR="00D00563" w:rsidRPr="00D00563" w:rsidRDefault="00D00563" w:rsidP="00D00563">
      <w:pPr>
        <w:pStyle w:val="ListParagraph"/>
        <w:shd w:val="clear" w:color="auto" w:fill="FFFFFF"/>
        <w:ind w:left="0" w:firstLine="567"/>
        <w:jc w:val="both"/>
        <w:rPr>
          <w:rFonts w:ascii="Times New Roman" w:hAnsi="Times New Roman"/>
          <w:noProof/>
          <w:color w:val="000000" w:themeColor="text1"/>
        </w:rPr>
      </w:pPr>
      <w:r w:rsidRPr="00D00563">
        <w:rPr>
          <w:rFonts w:ascii="Times New Roman" w:hAnsi="Times New Roman"/>
          <w:noProof/>
          <w:color w:val="000000" w:themeColor="text1"/>
        </w:rPr>
        <w:t>2. Pasiūlymo kainos (K) balai apskaičiuojami mažiausios pasiūlytos kainos (K</w:t>
      </w:r>
      <w:r w:rsidRPr="00D00563">
        <w:rPr>
          <w:rFonts w:ascii="Times New Roman" w:hAnsi="Times New Roman"/>
          <w:noProof/>
          <w:color w:val="000000" w:themeColor="text1"/>
          <w:vertAlign w:val="subscript"/>
        </w:rPr>
        <w:t>min</w:t>
      </w:r>
      <w:r w:rsidRPr="00D00563">
        <w:rPr>
          <w:rFonts w:ascii="Times New Roman" w:hAnsi="Times New Roman"/>
          <w:noProof/>
          <w:color w:val="000000" w:themeColor="text1"/>
        </w:rPr>
        <w:t>) ir vertinamo pasiūlymo kainos (K</w:t>
      </w:r>
      <w:r w:rsidRPr="00D00563">
        <w:rPr>
          <w:rFonts w:ascii="Times New Roman" w:hAnsi="Times New Roman"/>
          <w:noProof/>
          <w:color w:val="000000" w:themeColor="text1"/>
          <w:vertAlign w:val="subscript"/>
        </w:rPr>
        <w:t>v</w:t>
      </w:r>
      <w:r w:rsidRPr="00D00563">
        <w:rPr>
          <w:rFonts w:ascii="Times New Roman" w:hAnsi="Times New Roman"/>
          <w:noProof/>
          <w:color w:val="000000" w:themeColor="text1"/>
        </w:rPr>
        <w:t>) santykį padauginant iš kainos lyginamojo svorio (X):</w:t>
      </w:r>
    </w:p>
    <w:p w:rsidR="00D00563" w:rsidRPr="00D00563" w:rsidRDefault="00D00563" w:rsidP="00D00563">
      <w:pPr>
        <w:shd w:val="clear" w:color="auto" w:fill="FFFFFF"/>
        <w:jc w:val="center"/>
        <w:rPr>
          <w:rFonts w:eastAsiaTheme="minorEastAsia"/>
          <w:color w:val="000000" w:themeColor="text1"/>
          <w:sz w:val="22"/>
          <w:szCs w:val="22"/>
        </w:rPr>
      </w:pPr>
      <m:oMathPara>
        <m:oMath>
          <m:r>
            <w:rPr>
              <w:rFonts w:ascii="Cambria Math" w:hAnsi="Cambria Math"/>
              <w:color w:val="000000" w:themeColor="text1"/>
              <w:sz w:val="22"/>
              <w:szCs w:val="22"/>
            </w:rPr>
            <m:t>K=</m:t>
          </m:r>
          <m:f>
            <m:fPr>
              <m:ctrlPr>
                <w:rPr>
                  <w:rFonts w:ascii="Cambria Math" w:hAnsi="Cambria Math"/>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min</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K</m:t>
                  </m:r>
                </m:e>
                <m:sub>
                  <m:r>
                    <w:rPr>
                      <w:rFonts w:ascii="Cambria Math" w:hAnsi="Cambria Math"/>
                      <w:color w:val="000000" w:themeColor="text1"/>
                      <w:sz w:val="22"/>
                      <w:szCs w:val="22"/>
                    </w:rPr>
                    <m:t>v</m:t>
                  </m:r>
                </m:sub>
              </m:sSub>
            </m:den>
          </m:f>
          <m:r>
            <w:rPr>
              <w:rFonts w:ascii="Cambria Math" w:hAnsi="Cambria Math"/>
              <w:color w:val="000000" w:themeColor="text1"/>
              <w:sz w:val="22"/>
              <w:szCs w:val="22"/>
            </w:rPr>
            <m:t xml:space="preserve"> ×X</m:t>
          </m:r>
        </m:oMath>
      </m:oMathPara>
    </w:p>
    <w:p w:rsidR="00D00563" w:rsidRPr="00D00563" w:rsidRDefault="00D00563" w:rsidP="00F21B12">
      <w:pPr>
        <w:pStyle w:val="ListParagraph"/>
        <w:shd w:val="clear" w:color="auto" w:fill="FFFFFF"/>
        <w:ind w:left="0" w:firstLine="567"/>
        <w:jc w:val="both"/>
        <w:rPr>
          <w:rFonts w:ascii="Times New Roman" w:hAnsi="Times New Roman"/>
          <w:noProof/>
        </w:rPr>
      </w:pPr>
      <w:r w:rsidRPr="00D00563">
        <w:rPr>
          <w:rFonts w:ascii="Times New Roman" w:hAnsi="Times New Roman"/>
          <w:noProof/>
        </w:rPr>
        <w:t>3. Kadangi siūlomo objekto techniniai pranašumai įvertinami dviem skirtingais vertinimo būdais, todėl parametrų įvertinimas apskaičiuojamas skirtingais metodais:</w:t>
      </w:r>
    </w:p>
    <w:p w:rsidR="00D00563" w:rsidRPr="00D00563" w:rsidRDefault="00D00563" w:rsidP="00F21B12">
      <w:pPr>
        <w:shd w:val="clear" w:color="auto" w:fill="FFFFFF"/>
        <w:ind w:firstLine="567"/>
        <w:jc w:val="both"/>
        <w:rPr>
          <w:sz w:val="22"/>
          <w:szCs w:val="22"/>
        </w:rPr>
      </w:pPr>
      <w:r w:rsidRPr="00D00563">
        <w:rPr>
          <w:sz w:val="22"/>
          <w:szCs w:val="22"/>
        </w:rPr>
        <w:t>3.1. Siūlomo objekto T</w:t>
      </w:r>
      <w:r w:rsidRPr="00D00563">
        <w:rPr>
          <w:sz w:val="22"/>
          <w:szCs w:val="22"/>
          <w:vertAlign w:val="subscript"/>
        </w:rPr>
        <w:t>1</w:t>
      </w:r>
      <w:r w:rsidRPr="00D00563">
        <w:rPr>
          <w:sz w:val="22"/>
          <w:szCs w:val="22"/>
        </w:rPr>
        <w:t>, T</w:t>
      </w:r>
      <w:r w:rsidRPr="00D00563">
        <w:rPr>
          <w:sz w:val="22"/>
          <w:szCs w:val="22"/>
          <w:vertAlign w:val="subscript"/>
        </w:rPr>
        <w:t>2</w:t>
      </w:r>
      <w:r w:rsidRPr="00D00563">
        <w:rPr>
          <w:sz w:val="22"/>
          <w:szCs w:val="22"/>
        </w:rPr>
        <w:t xml:space="preserve"> techniniai parametrai aprašomi palyginamuoju interpoliaciniu vertinimo būdu, todėl parametro įvertinimas apskaičiuojamas pagal metodiką:</w:t>
      </w:r>
    </w:p>
    <w:p w:rsidR="00D00563" w:rsidRPr="00D00563" w:rsidRDefault="00D00563" w:rsidP="00F21B12">
      <w:pPr>
        <w:shd w:val="clear" w:color="auto" w:fill="FFFFFF"/>
        <w:ind w:firstLine="567"/>
        <w:jc w:val="both"/>
        <w:rPr>
          <w:sz w:val="22"/>
          <w:szCs w:val="22"/>
        </w:rPr>
      </w:pPr>
      <w:r w:rsidRPr="00D00563">
        <w:rPr>
          <w:sz w:val="22"/>
          <w:szCs w:val="22"/>
        </w:rPr>
        <w:t>3.1.1. Jei siūlomas objektas turi parametrų T</w:t>
      </w:r>
      <w:r w:rsidRPr="00D00563">
        <w:rPr>
          <w:sz w:val="22"/>
          <w:szCs w:val="22"/>
          <w:vertAlign w:val="subscript"/>
        </w:rPr>
        <w:t>1</w:t>
      </w:r>
      <w:r w:rsidRPr="00D00563">
        <w:rPr>
          <w:sz w:val="22"/>
          <w:szCs w:val="22"/>
        </w:rPr>
        <w:t>, T</w:t>
      </w:r>
      <w:r w:rsidRPr="00D00563">
        <w:rPr>
          <w:sz w:val="22"/>
          <w:szCs w:val="22"/>
          <w:vertAlign w:val="subscript"/>
        </w:rPr>
        <w:t>2</w:t>
      </w:r>
      <w:r w:rsidRPr="00D00563">
        <w:rPr>
          <w:sz w:val="22"/>
          <w:szCs w:val="22"/>
        </w:rPr>
        <w:t xml:space="preserve"> didžiausią skaitinę vertę (T</w:t>
      </w:r>
      <w:r w:rsidRPr="00D00563">
        <w:rPr>
          <w:sz w:val="22"/>
          <w:szCs w:val="22"/>
          <w:vertAlign w:val="subscript"/>
        </w:rPr>
        <w:t>max</w:t>
      </w:r>
      <w:r w:rsidRPr="00D00563">
        <w:rPr>
          <w:sz w:val="22"/>
          <w:szCs w:val="22"/>
        </w:rPr>
        <w:t>) gauna maksimalų balų skaičių pagal lyginamąjį svorį: T</w:t>
      </w:r>
      <w:r w:rsidRPr="00D00563">
        <w:rPr>
          <w:sz w:val="22"/>
          <w:szCs w:val="22"/>
          <w:vertAlign w:val="subscript"/>
        </w:rPr>
        <w:t>1</w:t>
      </w:r>
      <w:r w:rsidRPr="00D00563">
        <w:rPr>
          <w:sz w:val="22"/>
          <w:szCs w:val="22"/>
        </w:rPr>
        <w:t xml:space="preserve"> = L</w:t>
      </w:r>
      <w:r w:rsidRPr="00D00563">
        <w:rPr>
          <w:sz w:val="22"/>
          <w:szCs w:val="22"/>
          <w:vertAlign w:val="subscript"/>
        </w:rPr>
        <w:t>1</w:t>
      </w:r>
      <w:r w:rsidRPr="00D00563">
        <w:rPr>
          <w:sz w:val="22"/>
          <w:szCs w:val="22"/>
        </w:rPr>
        <w:t xml:space="preserve"> = 0,2; T</w:t>
      </w:r>
      <w:r w:rsidRPr="00D00563">
        <w:rPr>
          <w:sz w:val="22"/>
          <w:szCs w:val="22"/>
          <w:vertAlign w:val="subscript"/>
        </w:rPr>
        <w:t>2</w:t>
      </w:r>
      <w:r w:rsidRPr="00D00563">
        <w:rPr>
          <w:sz w:val="22"/>
          <w:szCs w:val="22"/>
        </w:rPr>
        <w:t xml:space="preserve"> = L</w:t>
      </w:r>
      <w:r w:rsidRPr="00D00563">
        <w:rPr>
          <w:sz w:val="22"/>
          <w:szCs w:val="22"/>
          <w:vertAlign w:val="subscript"/>
        </w:rPr>
        <w:t>2</w:t>
      </w:r>
      <w:r w:rsidRPr="00D00563">
        <w:rPr>
          <w:sz w:val="22"/>
          <w:szCs w:val="22"/>
        </w:rPr>
        <w:t xml:space="preserve"> = 0,2. Mažiausią parametrų T</w:t>
      </w:r>
      <w:r w:rsidRPr="00D00563">
        <w:rPr>
          <w:sz w:val="22"/>
          <w:szCs w:val="22"/>
          <w:vertAlign w:val="subscript"/>
        </w:rPr>
        <w:t>1</w:t>
      </w:r>
      <w:r w:rsidRPr="00D00563">
        <w:rPr>
          <w:sz w:val="22"/>
          <w:szCs w:val="22"/>
        </w:rPr>
        <w:t>, T</w:t>
      </w:r>
      <w:r w:rsidRPr="00D00563">
        <w:rPr>
          <w:sz w:val="22"/>
          <w:szCs w:val="22"/>
          <w:vertAlign w:val="subscript"/>
        </w:rPr>
        <w:t>2</w:t>
      </w:r>
      <w:r w:rsidRPr="00D00563">
        <w:rPr>
          <w:sz w:val="22"/>
          <w:szCs w:val="22"/>
        </w:rPr>
        <w:t xml:space="preserve"> skaitinę vertę (T</w:t>
      </w:r>
      <w:r w:rsidRPr="00D00563">
        <w:rPr>
          <w:sz w:val="22"/>
          <w:szCs w:val="22"/>
          <w:vertAlign w:val="subscript"/>
        </w:rPr>
        <w:t>min</w:t>
      </w:r>
      <w:r w:rsidRPr="00D00563">
        <w:rPr>
          <w:sz w:val="22"/>
          <w:szCs w:val="22"/>
        </w:rPr>
        <w:t xml:space="preserve">) </w:t>
      </w:r>
      <w:r w:rsidRPr="00D00563">
        <w:rPr>
          <w:sz w:val="22"/>
          <w:szCs w:val="22"/>
        </w:rPr>
        <w:lastRenderedPageBreak/>
        <w:t>turintis objektas gauna 0 balų: T</w:t>
      </w:r>
      <w:r w:rsidRPr="00D00563">
        <w:rPr>
          <w:sz w:val="22"/>
          <w:szCs w:val="22"/>
          <w:vertAlign w:val="subscript"/>
        </w:rPr>
        <w:t>1</w:t>
      </w:r>
      <w:r w:rsidRPr="00D00563">
        <w:rPr>
          <w:sz w:val="22"/>
          <w:szCs w:val="22"/>
        </w:rPr>
        <w:t xml:space="preserve"> = L</w:t>
      </w:r>
      <w:r w:rsidRPr="00D00563">
        <w:rPr>
          <w:sz w:val="22"/>
          <w:szCs w:val="22"/>
          <w:vertAlign w:val="subscript"/>
        </w:rPr>
        <w:t>1</w:t>
      </w:r>
      <w:r w:rsidRPr="00D00563">
        <w:rPr>
          <w:sz w:val="22"/>
          <w:szCs w:val="22"/>
        </w:rPr>
        <w:t xml:space="preserve"> = 0; T</w:t>
      </w:r>
      <w:r w:rsidRPr="00D00563">
        <w:rPr>
          <w:sz w:val="22"/>
          <w:szCs w:val="22"/>
          <w:vertAlign w:val="subscript"/>
        </w:rPr>
        <w:t>2</w:t>
      </w:r>
      <w:r w:rsidRPr="00D00563">
        <w:rPr>
          <w:sz w:val="22"/>
          <w:szCs w:val="22"/>
        </w:rPr>
        <w:t xml:space="preserve"> = L</w:t>
      </w:r>
      <w:r w:rsidRPr="00D00563">
        <w:rPr>
          <w:sz w:val="22"/>
          <w:szCs w:val="22"/>
          <w:vertAlign w:val="subscript"/>
        </w:rPr>
        <w:t>2</w:t>
      </w:r>
      <w:r w:rsidRPr="00D00563">
        <w:rPr>
          <w:sz w:val="22"/>
          <w:szCs w:val="22"/>
        </w:rPr>
        <w:t xml:space="preserve"> = 0</w:t>
      </w:r>
      <w:r w:rsidRPr="00D00563">
        <w:rPr>
          <w:i/>
          <w:sz w:val="22"/>
          <w:szCs w:val="22"/>
        </w:rPr>
        <w:t xml:space="preserve">. </w:t>
      </w:r>
      <w:r w:rsidRPr="00D00563">
        <w:rPr>
          <w:sz w:val="22"/>
          <w:szCs w:val="22"/>
        </w:rPr>
        <w:t>Visais kitais atvejais vertinamo objekto (T</w:t>
      </w:r>
      <w:r w:rsidRPr="00D00563">
        <w:rPr>
          <w:sz w:val="22"/>
          <w:szCs w:val="22"/>
          <w:vertAlign w:val="subscript"/>
        </w:rPr>
        <w:t>v</w:t>
      </w:r>
      <w:r w:rsidRPr="00D00563">
        <w:rPr>
          <w:sz w:val="22"/>
          <w:szCs w:val="22"/>
        </w:rPr>
        <w:t>) parametro įvertinimas skaičiuojamas pagal formulę:</w:t>
      </w:r>
    </w:p>
    <w:p w:rsidR="00D00563" w:rsidRPr="00D00563" w:rsidRDefault="00D00563" w:rsidP="00D00563">
      <w:pPr>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w:bookmarkStart w:id="4" w:name="_Hlk203469152"/>
              <m:r>
                <w:rPr>
                  <w:rFonts w:ascii="Cambria Math" w:hAnsi="Cambria Math"/>
                  <w:sz w:val="22"/>
                  <w:szCs w:val="22"/>
                </w:rPr>
                <m:t xml:space="preserve">- </m:t>
              </m:r>
              <w:bookmarkEnd w:id="4"/>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oMath>
      </m:oMathPara>
    </w:p>
    <w:p w:rsidR="00D00563" w:rsidRPr="00D00563" w:rsidRDefault="00D00563" w:rsidP="00D00563">
      <w:pPr>
        <w:jc w:val="both"/>
        <w:rPr>
          <w:color w:val="000000" w:themeColor="text1"/>
          <w:sz w:val="22"/>
          <w:szCs w:val="22"/>
          <w:bdr w:val="none" w:sz="0" w:space="0" w:color="auto" w:frame="1"/>
        </w:rPr>
      </w:pPr>
    </w:p>
    <w:p w:rsidR="00D00563" w:rsidRPr="00D00563" w:rsidRDefault="00D00563" w:rsidP="00F21B12">
      <w:pPr>
        <w:shd w:val="clear" w:color="auto" w:fill="FFFFFF"/>
        <w:ind w:firstLine="567"/>
        <w:jc w:val="both"/>
        <w:rPr>
          <w:sz w:val="22"/>
          <w:szCs w:val="22"/>
        </w:rPr>
      </w:pPr>
      <w:r w:rsidRPr="00D00563">
        <w:rPr>
          <w:color w:val="000000" w:themeColor="text1"/>
          <w:sz w:val="22"/>
          <w:szCs w:val="22"/>
          <w:bdr w:val="none" w:sz="0" w:space="0" w:color="auto" w:frame="1"/>
        </w:rPr>
        <w:t xml:space="preserve">3.2. </w:t>
      </w:r>
      <w:r w:rsidRPr="00D00563">
        <w:rPr>
          <w:sz w:val="22"/>
          <w:szCs w:val="22"/>
        </w:rPr>
        <w:t xml:space="preserve">Siūlomo objekto </w:t>
      </w:r>
      <w:bookmarkStart w:id="5" w:name="_Hlk203469730"/>
      <w:r w:rsidRPr="00D00563">
        <w:rPr>
          <w:sz w:val="22"/>
          <w:szCs w:val="22"/>
        </w:rPr>
        <w:t>T</w:t>
      </w:r>
      <w:r w:rsidRPr="00D00563">
        <w:rPr>
          <w:sz w:val="22"/>
          <w:szCs w:val="22"/>
          <w:vertAlign w:val="subscript"/>
        </w:rPr>
        <w:t>3</w:t>
      </w:r>
      <w:r w:rsidRPr="00D00563">
        <w:rPr>
          <w:sz w:val="22"/>
          <w:szCs w:val="22"/>
        </w:rPr>
        <w:t>, T</w:t>
      </w:r>
      <w:r w:rsidRPr="00D00563">
        <w:rPr>
          <w:sz w:val="22"/>
          <w:szCs w:val="22"/>
          <w:vertAlign w:val="subscript"/>
        </w:rPr>
        <w:t>4</w:t>
      </w:r>
      <w:r w:rsidRPr="00D00563">
        <w:rPr>
          <w:sz w:val="22"/>
          <w:szCs w:val="22"/>
        </w:rPr>
        <w:t>, T</w:t>
      </w:r>
      <w:r w:rsidRPr="00D00563">
        <w:rPr>
          <w:sz w:val="22"/>
          <w:szCs w:val="22"/>
          <w:vertAlign w:val="subscript"/>
        </w:rPr>
        <w:t xml:space="preserve">5 </w:t>
      </w:r>
      <w:r w:rsidRPr="00D00563">
        <w:rPr>
          <w:sz w:val="22"/>
          <w:szCs w:val="22"/>
        </w:rPr>
        <w:t>techniniai parametrai aprašomi statiniu vertinimo būdu ir neturi skaitinių išraiškų (yra arba nėra), todėl parametrų įvertinimas apskaičiuojamas pagal pagal metodiką:</w:t>
      </w:r>
    </w:p>
    <w:p w:rsidR="00D00563" w:rsidRPr="00D00563" w:rsidRDefault="00D00563" w:rsidP="00F21B12">
      <w:pPr>
        <w:shd w:val="clear" w:color="auto" w:fill="FFFFFF"/>
        <w:ind w:firstLine="567"/>
        <w:jc w:val="both"/>
        <w:rPr>
          <w:i/>
          <w:sz w:val="22"/>
          <w:szCs w:val="22"/>
          <w:vertAlign w:val="subscript"/>
        </w:rPr>
      </w:pPr>
      <w:r w:rsidRPr="00D00563">
        <w:rPr>
          <w:sz w:val="22"/>
          <w:szCs w:val="22"/>
        </w:rPr>
        <w:t>Jei siūlomas objektas turi nurodytą pranašumą, gauna maksimalų balų skaičių pagal lyginamąjį svorį: T</w:t>
      </w:r>
      <w:r w:rsidRPr="00D00563">
        <w:rPr>
          <w:sz w:val="22"/>
          <w:szCs w:val="22"/>
          <w:vertAlign w:val="subscript"/>
        </w:rPr>
        <w:t>3</w:t>
      </w:r>
      <w:r w:rsidRPr="00D00563">
        <w:rPr>
          <w:sz w:val="22"/>
          <w:szCs w:val="22"/>
        </w:rPr>
        <w:t xml:space="preserve"> = L</w:t>
      </w:r>
      <w:r w:rsidRPr="00D00563">
        <w:rPr>
          <w:sz w:val="22"/>
          <w:szCs w:val="22"/>
          <w:vertAlign w:val="subscript"/>
        </w:rPr>
        <w:t>3</w:t>
      </w:r>
      <w:r w:rsidRPr="00D00563">
        <w:rPr>
          <w:sz w:val="22"/>
          <w:szCs w:val="22"/>
        </w:rPr>
        <w:t xml:space="preserve"> = 0,2; T</w:t>
      </w:r>
      <w:r w:rsidRPr="00D00563">
        <w:rPr>
          <w:sz w:val="22"/>
          <w:szCs w:val="22"/>
          <w:vertAlign w:val="subscript"/>
        </w:rPr>
        <w:t>4</w:t>
      </w:r>
      <w:r w:rsidRPr="00D00563">
        <w:rPr>
          <w:sz w:val="22"/>
          <w:szCs w:val="22"/>
        </w:rPr>
        <w:t xml:space="preserve"> = L</w:t>
      </w:r>
      <w:r w:rsidRPr="00D00563">
        <w:rPr>
          <w:sz w:val="22"/>
          <w:szCs w:val="22"/>
          <w:vertAlign w:val="subscript"/>
        </w:rPr>
        <w:t>4</w:t>
      </w:r>
      <w:r w:rsidRPr="00D00563">
        <w:rPr>
          <w:sz w:val="22"/>
          <w:szCs w:val="22"/>
        </w:rPr>
        <w:t xml:space="preserve"> = 0,2; T</w:t>
      </w:r>
      <w:r w:rsidRPr="00D00563">
        <w:rPr>
          <w:sz w:val="22"/>
          <w:szCs w:val="22"/>
          <w:vertAlign w:val="subscript"/>
        </w:rPr>
        <w:t xml:space="preserve">5 </w:t>
      </w:r>
      <w:r w:rsidRPr="00D00563">
        <w:rPr>
          <w:sz w:val="22"/>
          <w:szCs w:val="22"/>
        </w:rPr>
        <w:t>= L</w:t>
      </w:r>
      <w:r w:rsidRPr="00D00563">
        <w:rPr>
          <w:sz w:val="22"/>
          <w:szCs w:val="22"/>
          <w:vertAlign w:val="subscript"/>
        </w:rPr>
        <w:t>5</w:t>
      </w:r>
      <w:r w:rsidRPr="00D00563">
        <w:rPr>
          <w:sz w:val="22"/>
          <w:szCs w:val="22"/>
        </w:rPr>
        <w:t xml:space="preserve"> = 0,2.</w:t>
      </w:r>
    </w:p>
    <w:p w:rsidR="00D00563" w:rsidRPr="00D00563" w:rsidRDefault="00D00563" w:rsidP="00F21B12">
      <w:pPr>
        <w:shd w:val="clear" w:color="auto" w:fill="FFFFFF"/>
        <w:ind w:firstLine="567"/>
        <w:jc w:val="both"/>
        <w:rPr>
          <w:sz w:val="22"/>
          <w:szCs w:val="22"/>
        </w:rPr>
      </w:pPr>
      <w:r w:rsidRPr="00D00563">
        <w:rPr>
          <w:sz w:val="22"/>
          <w:szCs w:val="22"/>
        </w:rPr>
        <w:t>Jei siūlomas objektas neturi nurodyto pranašumo, gauna nulį balų: T</w:t>
      </w:r>
      <w:r w:rsidRPr="00D00563">
        <w:rPr>
          <w:sz w:val="22"/>
          <w:szCs w:val="22"/>
          <w:vertAlign w:val="subscript"/>
        </w:rPr>
        <w:t>3</w:t>
      </w:r>
      <w:r w:rsidRPr="00D00563">
        <w:rPr>
          <w:sz w:val="22"/>
          <w:szCs w:val="22"/>
        </w:rPr>
        <w:t xml:space="preserve"> = L</w:t>
      </w:r>
      <w:r w:rsidRPr="00D00563">
        <w:rPr>
          <w:sz w:val="22"/>
          <w:szCs w:val="22"/>
          <w:vertAlign w:val="subscript"/>
        </w:rPr>
        <w:t>3</w:t>
      </w:r>
      <w:r w:rsidRPr="00D00563">
        <w:rPr>
          <w:sz w:val="22"/>
          <w:szCs w:val="22"/>
        </w:rPr>
        <w:t xml:space="preserve"> = 0; T</w:t>
      </w:r>
      <w:r w:rsidRPr="00D00563">
        <w:rPr>
          <w:sz w:val="22"/>
          <w:szCs w:val="22"/>
          <w:vertAlign w:val="subscript"/>
        </w:rPr>
        <w:t>4</w:t>
      </w:r>
      <w:r w:rsidRPr="00D00563">
        <w:rPr>
          <w:sz w:val="22"/>
          <w:szCs w:val="22"/>
        </w:rPr>
        <w:t>= L</w:t>
      </w:r>
      <w:r w:rsidRPr="00D00563">
        <w:rPr>
          <w:sz w:val="22"/>
          <w:szCs w:val="22"/>
          <w:vertAlign w:val="subscript"/>
        </w:rPr>
        <w:t>4</w:t>
      </w:r>
      <w:r w:rsidRPr="00D00563">
        <w:rPr>
          <w:sz w:val="22"/>
          <w:szCs w:val="22"/>
        </w:rPr>
        <w:t>= 0; T</w:t>
      </w:r>
      <w:r w:rsidRPr="00D00563">
        <w:rPr>
          <w:sz w:val="22"/>
          <w:szCs w:val="22"/>
          <w:vertAlign w:val="subscript"/>
        </w:rPr>
        <w:t>5</w:t>
      </w:r>
      <w:r w:rsidRPr="00D00563">
        <w:rPr>
          <w:sz w:val="22"/>
          <w:szCs w:val="22"/>
        </w:rPr>
        <w:t xml:space="preserve"> = L</w:t>
      </w:r>
      <w:r w:rsidRPr="00D00563">
        <w:rPr>
          <w:sz w:val="22"/>
          <w:szCs w:val="22"/>
          <w:vertAlign w:val="subscript"/>
        </w:rPr>
        <w:t>5</w:t>
      </w:r>
      <w:r w:rsidRPr="00D00563">
        <w:rPr>
          <w:sz w:val="22"/>
          <w:szCs w:val="22"/>
        </w:rPr>
        <w:t>= 0.</w:t>
      </w:r>
    </w:p>
    <w:p w:rsidR="00D00563" w:rsidRPr="00D00563" w:rsidRDefault="00D00563" w:rsidP="00F21B12">
      <w:pPr>
        <w:shd w:val="clear" w:color="auto" w:fill="FFFFFF"/>
        <w:ind w:firstLine="567"/>
        <w:jc w:val="both"/>
        <w:rPr>
          <w:sz w:val="22"/>
          <w:szCs w:val="22"/>
        </w:rPr>
      </w:pPr>
      <w:r w:rsidRPr="00D00563">
        <w:rPr>
          <w:sz w:val="22"/>
          <w:szCs w:val="22"/>
        </w:rPr>
        <w:t>Techninių pranašumų (T) balai apskaičiuojami visų techninių kriterijų parametrų įvertinimų sumą padauginant iš techninių pranašumų lyginamojo svorio (Y):</w:t>
      </w:r>
    </w:p>
    <w:bookmarkEnd w:id="5"/>
    <w:p w:rsidR="00D00563" w:rsidRPr="00D00563" w:rsidRDefault="00D00563" w:rsidP="00F21B12">
      <w:pPr>
        <w:ind w:firstLine="567"/>
        <w:jc w:val="both"/>
        <w:rPr>
          <w:color w:val="000000" w:themeColor="text1"/>
          <w:sz w:val="22"/>
          <w:szCs w:val="22"/>
          <w:bdr w:val="none" w:sz="0" w:space="0" w:color="auto" w:frame="1"/>
        </w:rPr>
      </w:pPr>
    </w:p>
    <w:p w:rsidR="00D00563" w:rsidRPr="00D00563" w:rsidRDefault="00D00563" w:rsidP="00D00563">
      <w:pPr>
        <w:jc w:val="center"/>
        <w:rPr>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5</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D00563" w:rsidRPr="00D00563" w:rsidRDefault="00D00563" w:rsidP="00D00563">
      <w:pPr>
        <w:ind w:firstLine="426"/>
        <w:jc w:val="both"/>
        <w:rPr>
          <w:color w:val="000000" w:themeColor="text1"/>
          <w:sz w:val="22"/>
          <w:szCs w:val="22"/>
          <w:lang w:bidi="hi-IN"/>
        </w:rPr>
      </w:pPr>
    </w:p>
    <w:p w:rsidR="00D00563" w:rsidRPr="00D00563" w:rsidRDefault="00F21B12" w:rsidP="00D00563">
      <w:pPr>
        <w:ind w:firstLine="426"/>
        <w:jc w:val="both"/>
        <w:rPr>
          <w:rFonts w:eastAsia="Calibri"/>
          <w:color w:val="000000" w:themeColor="text1"/>
          <w:sz w:val="22"/>
          <w:szCs w:val="22"/>
        </w:rPr>
      </w:pPr>
      <w:r>
        <w:rPr>
          <w:color w:val="000000" w:themeColor="text1"/>
          <w:sz w:val="22"/>
          <w:szCs w:val="22"/>
          <w:lang w:bidi="hi-IN"/>
        </w:rPr>
        <w:t xml:space="preserve">14.6.3. </w:t>
      </w:r>
      <w:r w:rsidR="00D00563" w:rsidRPr="00D00563">
        <w:rPr>
          <w:color w:val="000000" w:themeColor="text1"/>
          <w:sz w:val="22"/>
          <w:szCs w:val="22"/>
          <w:lang w:bidi="hi-IN"/>
        </w:rPr>
        <w:t>Laimėjusiu Pasiūlymu bus pripažintas Pasiūlymas, atitinkantis visus Pirkimo dokumentuose nustatytus reikalavimus, kurio ekonominis naudingumas (E) bus didžiausias.</w:t>
      </w:r>
    </w:p>
    <w:p w:rsidR="00D00563" w:rsidRPr="00D00563" w:rsidRDefault="00F21B12" w:rsidP="00D00563">
      <w:pPr>
        <w:ind w:firstLine="426"/>
        <w:jc w:val="both"/>
        <w:rPr>
          <w:rFonts w:eastAsia="Times New Roman"/>
          <w:color w:val="000000" w:themeColor="text1"/>
          <w:sz w:val="22"/>
          <w:szCs w:val="22"/>
        </w:rPr>
      </w:pPr>
      <w:r>
        <w:rPr>
          <w:rFonts w:eastAsia="Calibri"/>
          <w:color w:val="000000" w:themeColor="text1"/>
          <w:sz w:val="22"/>
          <w:szCs w:val="22"/>
        </w:rPr>
        <w:t xml:space="preserve">14.6.4. </w:t>
      </w:r>
      <w:r w:rsidR="00D00563" w:rsidRPr="00D00563">
        <w:rPr>
          <w:rFonts w:eastAsia="Calibri"/>
          <w:color w:val="000000" w:themeColor="text1"/>
          <w:sz w:val="22"/>
          <w:szCs w:val="22"/>
        </w:rPr>
        <w:t>Tais atvejais, kai kelių dalyvių pasiūlymų ekonominis naudingumas yra vienodas, nustatant pasiūlymų eilę, pirmesnis į šią eilę įrašomas dalyvis, kurio pasiūlymas pateiktas anksčiausiai.</w:t>
      </w:r>
      <w:r w:rsidR="00D00563" w:rsidRPr="00D00563">
        <w:rPr>
          <w:color w:val="000000" w:themeColor="text1"/>
          <w:sz w:val="22"/>
          <w:szCs w:val="22"/>
        </w:rPr>
        <w:t xml:space="preserve"> </w:t>
      </w:r>
    </w:p>
    <w:p w:rsidR="00D00563" w:rsidRDefault="00D00563"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F4064F" w:rsidRPr="00F4064F" w:rsidRDefault="00B35758" w:rsidP="00F4064F">
      <w:pPr>
        <w:pStyle w:val="Body2"/>
        <w:tabs>
          <w:tab w:val="left" w:pos="567"/>
        </w:tabs>
        <w:rPr>
          <w:sz w:val="22"/>
          <w:szCs w:val="22"/>
        </w:rPr>
      </w:pPr>
      <w:r w:rsidRPr="007A7217">
        <w:rPr>
          <w:rFonts w:cs="Times New Roman"/>
          <w:sz w:val="22"/>
          <w:szCs w:val="22"/>
        </w:rPr>
        <w:tab/>
        <w:t xml:space="preserve">15.3. </w:t>
      </w:r>
      <w:r w:rsidR="00F4064F" w:rsidRPr="00F4064F">
        <w:rPr>
          <w:sz w:val="22"/>
          <w:szCs w:val="22"/>
        </w:rPr>
        <w:t>Laimėjusiu pasiūlymu pripažįstamas pasiūlymas esantis pasiūlymų eilės pirmoje vietoje Viešųjų pirkimų įstatymo bei šių pirkimo dokumentų nustatyta tvarka. Jei pirkimas vykdomas dalimis, laimėtojas nustatomas kiekvienai pirkimo daliai atskirai.</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lastRenderedPageBreak/>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DE12EA">
        <w:rPr>
          <w:color w:val="000000"/>
          <w:sz w:val="22"/>
          <w:szCs w:val="22"/>
          <w:lang w:eastAsia="lt-LT"/>
        </w:rPr>
        <w:t xml:space="preserve"> med.</w:t>
      </w:r>
      <w:r w:rsidR="00CB1BA7" w:rsidRPr="00CB1BA7">
        <w:rPr>
          <w:color w:val="000000"/>
          <w:sz w:val="22"/>
          <w:szCs w:val="22"/>
          <w:lang w:eastAsia="lt-LT"/>
        </w:rPr>
        <w:t xml:space="preserve"> įranga</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bookmarkStart w:id="6" w:name="_GoBack"/>
      <w:bookmarkEnd w:id="6"/>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146" w:rsidRDefault="00FF4146" w:rsidP="00D348FD">
      <w:r>
        <w:separator/>
      </w:r>
    </w:p>
  </w:endnote>
  <w:endnote w:type="continuationSeparator" w:id="0">
    <w:p w:rsidR="00FF4146" w:rsidRDefault="00FF4146"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46" w:rsidRDefault="00FF4146">
    <w:pPr>
      <w:pStyle w:val="Footer"/>
      <w:jc w:val="right"/>
    </w:pPr>
  </w:p>
  <w:p w:rsidR="00FF4146" w:rsidRDefault="00FF414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46" w:rsidRDefault="00FF4146">
    <w:pPr>
      <w:pStyle w:val="Footer"/>
      <w:jc w:val="right"/>
    </w:pPr>
  </w:p>
  <w:p w:rsidR="00FF4146" w:rsidRDefault="00FF4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146" w:rsidRDefault="00FF4146" w:rsidP="00D348FD">
      <w:r>
        <w:separator/>
      </w:r>
    </w:p>
  </w:footnote>
  <w:footnote w:type="continuationSeparator" w:id="0">
    <w:p w:rsidR="00FF4146" w:rsidRDefault="00FF4146" w:rsidP="00D348FD">
      <w:r>
        <w:continuationSeparator/>
      </w:r>
    </w:p>
  </w:footnote>
  <w:footnote w:id="1">
    <w:p w:rsidR="00FF4146" w:rsidRPr="00C54A7B" w:rsidRDefault="00FF4146"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F4146" w:rsidRPr="00C54A7B" w:rsidRDefault="00FF4146" w:rsidP="00C54A7B">
      <w:pPr>
        <w:pStyle w:val="FootnoteText"/>
        <w:numPr>
          <w:ilvl w:val="0"/>
          <w:numId w:val="31"/>
        </w:numPr>
        <w:rPr>
          <w:rFonts w:eastAsia="Yu Mincho"/>
          <w:i/>
          <w:iCs/>
        </w:rPr>
      </w:pPr>
      <w:r w:rsidRPr="00C54A7B">
        <w:rPr>
          <w:rFonts w:eastAsia="Yu Mincho"/>
          <w:i/>
          <w:iCs/>
        </w:rPr>
        <w:t xml:space="preserve">priesaikos deklaracija; </w:t>
      </w:r>
    </w:p>
    <w:p w:rsidR="00FF4146" w:rsidRDefault="00FF4146"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6"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1"/>
  </w:num>
  <w:num w:numId="10">
    <w:abstractNumId w:val="30"/>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6"/>
  </w:num>
  <w:num w:numId="25">
    <w:abstractNumId w:val="29"/>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7"/>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170A"/>
    <w:rsid w:val="00012705"/>
    <w:rsid w:val="00015364"/>
    <w:rsid w:val="00017A3E"/>
    <w:rsid w:val="000227EC"/>
    <w:rsid w:val="00023BFD"/>
    <w:rsid w:val="000246E8"/>
    <w:rsid w:val="00024B95"/>
    <w:rsid w:val="000355A4"/>
    <w:rsid w:val="00035661"/>
    <w:rsid w:val="00036299"/>
    <w:rsid w:val="00036AA2"/>
    <w:rsid w:val="00037AE6"/>
    <w:rsid w:val="0004206C"/>
    <w:rsid w:val="00044DE1"/>
    <w:rsid w:val="00044FBA"/>
    <w:rsid w:val="00045ED2"/>
    <w:rsid w:val="00052874"/>
    <w:rsid w:val="0005434D"/>
    <w:rsid w:val="000601BA"/>
    <w:rsid w:val="0006274D"/>
    <w:rsid w:val="000679D9"/>
    <w:rsid w:val="00070083"/>
    <w:rsid w:val="000706F8"/>
    <w:rsid w:val="000729DE"/>
    <w:rsid w:val="000761A9"/>
    <w:rsid w:val="00086228"/>
    <w:rsid w:val="00087527"/>
    <w:rsid w:val="000904EE"/>
    <w:rsid w:val="00091EC0"/>
    <w:rsid w:val="000A08F6"/>
    <w:rsid w:val="000A4E80"/>
    <w:rsid w:val="000A607B"/>
    <w:rsid w:val="000A6946"/>
    <w:rsid w:val="000E4AD1"/>
    <w:rsid w:val="000E69FA"/>
    <w:rsid w:val="000E7A0F"/>
    <w:rsid w:val="000F27B7"/>
    <w:rsid w:val="000F47D7"/>
    <w:rsid w:val="000F5073"/>
    <w:rsid w:val="000F594A"/>
    <w:rsid w:val="00101991"/>
    <w:rsid w:val="00105854"/>
    <w:rsid w:val="001134F3"/>
    <w:rsid w:val="00121503"/>
    <w:rsid w:val="001248B2"/>
    <w:rsid w:val="001309EE"/>
    <w:rsid w:val="001335F9"/>
    <w:rsid w:val="00135D44"/>
    <w:rsid w:val="00145AAB"/>
    <w:rsid w:val="00147765"/>
    <w:rsid w:val="001601E7"/>
    <w:rsid w:val="00166290"/>
    <w:rsid w:val="00172554"/>
    <w:rsid w:val="00172A3D"/>
    <w:rsid w:val="001740CF"/>
    <w:rsid w:val="00176A9D"/>
    <w:rsid w:val="00187253"/>
    <w:rsid w:val="00191C41"/>
    <w:rsid w:val="001A033D"/>
    <w:rsid w:val="001A4824"/>
    <w:rsid w:val="001A6875"/>
    <w:rsid w:val="001A6DA0"/>
    <w:rsid w:val="001B1C41"/>
    <w:rsid w:val="001B1DF2"/>
    <w:rsid w:val="001B29E3"/>
    <w:rsid w:val="001B66C0"/>
    <w:rsid w:val="001B722B"/>
    <w:rsid w:val="001D178E"/>
    <w:rsid w:val="001D3322"/>
    <w:rsid w:val="001D5C9B"/>
    <w:rsid w:val="001E17CC"/>
    <w:rsid w:val="001E5124"/>
    <w:rsid w:val="001F37E0"/>
    <w:rsid w:val="001F45FB"/>
    <w:rsid w:val="001F4F6D"/>
    <w:rsid w:val="00201315"/>
    <w:rsid w:val="0021036F"/>
    <w:rsid w:val="00212FDC"/>
    <w:rsid w:val="002148EA"/>
    <w:rsid w:val="00220750"/>
    <w:rsid w:val="0022154A"/>
    <w:rsid w:val="00231EF1"/>
    <w:rsid w:val="0023295C"/>
    <w:rsid w:val="00232A0D"/>
    <w:rsid w:val="00233FF5"/>
    <w:rsid w:val="0023406A"/>
    <w:rsid w:val="002401BF"/>
    <w:rsid w:val="00240B5A"/>
    <w:rsid w:val="00244CC2"/>
    <w:rsid w:val="00246239"/>
    <w:rsid w:val="00250CCD"/>
    <w:rsid w:val="00250E4D"/>
    <w:rsid w:val="00251462"/>
    <w:rsid w:val="0025190A"/>
    <w:rsid w:val="00257D79"/>
    <w:rsid w:val="00261348"/>
    <w:rsid w:val="00261BA1"/>
    <w:rsid w:val="00262F5A"/>
    <w:rsid w:val="002667C0"/>
    <w:rsid w:val="00274C19"/>
    <w:rsid w:val="00285A9C"/>
    <w:rsid w:val="00293A32"/>
    <w:rsid w:val="002A1383"/>
    <w:rsid w:val="002A2874"/>
    <w:rsid w:val="002A2BBB"/>
    <w:rsid w:val="002A5A44"/>
    <w:rsid w:val="002B34B5"/>
    <w:rsid w:val="002B3F50"/>
    <w:rsid w:val="002B3FF2"/>
    <w:rsid w:val="002B664F"/>
    <w:rsid w:val="002B7178"/>
    <w:rsid w:val="002C1826"/>
    <w:rsid w:val="002C1D54"/>
    <w:rsid w:val="002C294C"/>
    <w:rsid w:val="002C55BB"/>
    <w:rsid w:val="002C59AF"/>
    <w:rsid w:val="002D1BD4"/>
    <w:rsid w:val="002D398F"/>
    <w:rsid w:val="002E02D3"/>
    <w:rsid w:val="002E3710"/>
    <w:rsid w:val="002E5947"/>
    <w:rsid w:val="002E5F91"/>
    <w:rsid w:val="002F585C"/>
    <w:rsid w:val="002F61CB"/>
    <w:rsid w:val="002F729C"/>
    <w:rsid w:val="00300450"/>
    <w:rsid w:val="003025B9"/>
    <w:rsid w:val="00302EFB"/>
    <w:rsid w:val="00305A9B"/>
    <w:rsid w:val="00305B83"/>
    <w:rsid w:val="00305F75"/>
    <w:rsid w:val="00313909"/>
    <w:rsid w:val="00314A8E"/>
    <w:rsid w:val="00314B89"/>
    <w:rsid w:val="00314ECD"/>
    <w:rsid w:val="003154C7"/>
    <w:rsid w:val="00316826"/>
    <w:rsid w:val="003220B0"/>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6BDE"/>
    <w:rsid w:val="0037766A"/>
    <w:rsid w:val="003806F4"/>
    <w:rsid w:val="003833EA"/>
    <w:rsid w:val="003907D9"/>
    <w:rsid w:val="003909BC"/>
    <w:rsid w:val="0039333C"/>
    <w:rsid w:val="003935C0"/>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21CE"/>
    <w:rsid w:val="00404831"/>
    <w:rsid w:val="00404E05"/>
    <w:rsid w:val="00406A11"/>
    <w:rsid w:val="00415F40"/>
    <w:rsid w:val="00423FC4"/>
    <w:rsid w:val="0043688F"/>
    <w:rsid w:val="00444E13"/>
    <w:rsid w:val="004473B7"/>
    <w:rsid w:val="00457516"/>
    <w:rsid w:val="0046028A"/>
    <w:rsid w:val="004619B9"/>
    <w:rsid w:val="0046275C"/>
    <w:rsid w:val="00464DA7"/>
    <w:rsid w:val="00466FC2"/>
    <w:rsid w:val="00470506"/>
    <w:rsid w:val="00470F5C"/>
    <w:rsid w:val="00472364"/>
    <w:rsid w:val="00483CF8"/>
    <w:rsid w:val="00487608"/>
    <w:rsid w:val="00487D4B"/>
    <w:rsid w:val="00490661"/>
    <w:rsid w:val="00491619"/>
    <w:rsid w:val="00495506"/>
    <w:rsid w:val="00496057"/>
    <w:rsid w:val="004A165F"/>
    <w:rsid w:val="004A3A29"/>
    <w:rsid w:val="004B4397"/>
    <w:rsid w:val="004D5120"/>
    <w:rsid w:val="004D6DE9"/>
    <w:rsid w:val="004E1A39"/>
    <w:rsid w:val="004E2008"/>
    <w:rsid w:val="004E5EF9"/>
    <w:rsid w:val="004E65B4"/>
    <w:rsid w:val="004F0AFB"/>
    <w:rsid w:val="004F0E0B"/>
    <w:rsid w:val="004F46B0"/>
    <w:rsid w:val="004F5B6E"/>
    <w:rsid w:val="004F6C23"/>
    <w:rsid w:val="00501F62"/>
    <w:rsid w:val="0050265B"/>
    <w:rsid w:val="00507CDC"/>
    <w:rsid w:val="005135E8"/>
    <w:rsid w:val="005172DB"/>
    <w:rsid w:val="0052258D"/>
    <w:rsid w:val="00525048"/>
    <w:rsid w:val="005303C0"/>
    <w:rsid w:val="00531BCD"/>
    <w:rsid w:val="00533750"/>
    <w:rsid w:val="00534894"/>
    <w:rsid w:val="00535AEA"/>
    <w:rsid w:val="00536B25"/>
    <w:rsid w:val="0054327A"/>
    <w:rsid w:val="005440E8"/>
    <w:rsid w:val="005465C4"/>
    <w:rsid w:val="00546D71"/>
    <w:rsid w:val="00547A4E"/>
    <w:rsid w:val="00551DA7"/>
    <w:rsid w:val="005568D4"/>
    <w:rsid w:val="0057124D"/>
    <w:rsid w:val="00571E26"/>
    <w:rsid w:val="00574FFF"/>
    <w:rsid w:val="00581CE1"/>
    <w:rsid w:val="00582AEF"/>
    <w:rsid w:val="005866B4"/>
    <w:rsid w:val="0059362C"/>
    <w:rsid w:val="00595E4D"/>
    <w:rsid w:val="005A67AC"/>
    <w:rsid w:val="005B497E"/>
    <w:rsid w:val="005C2D32"/>
    <w:rsid w:val="005D474B"/>
    <w:rsid w:val="005D5F9D"/>
    <w:rsid w:val="005D6D2B"/>
    <w:rsid w:val="005E4047"/>
    <w:rsid w:val="005E6556"/>
    <w:rsid w:val="005E6B75"/>
    <w:rsid w:val="005F42BF"/>
    <w:rsid w:val="005F6A2A"/>
    <w:rsid w:val="006048E5"/>
    <w:rsid w:val="0060712E"/>
    <w:rsid w:val="00614540"/>
    <w:rsid w:val="0062424E"/>
    <w:rsid w:val="006248E8"/>
    <w:rsid w:val="00630E3D"/>
    <w:rsid w:val="00631949"/>
    <w:rsid w:val="00641698"/>
    <w:rsid w:val="00650917"/>
    <w:rsid w:val="00660934"/>
    <w:rsid w:val="006640AF"/>
    <w:rsid w:val="006672BD"/>
    <w:rsid w:val="006674AF"/>
    <w:rsid w:val="00670BBC"/>
    <w:rsid w:val="0067568F"/>
    <w:rsid w:val="00676354"/>
    <w:rsid w:val="0067693D"/>
    <w:rsid w:val="00676AA3"/>
    <w:rsid w:val="0067777C"/>
    <w:rsid w:val="00683987"/>
    <w:rsid w:val="0068529E"/>
    <w:rsid w:val="00686478"/>
    <w:rsid w:val="00693E23"/>
    <w:rsid w:val="006947E5"/>
    <w:rsid w:val="0069713A"/>
    <w:rsid w:val="006A03D3"/>
    <w:rsid w:val="006A1757"/>
    <w:rsid w:val="006B02B6"/>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70BE"/>
    <w:rsid w:val="007514A5"/>
    <w:rsid w:val="00752786"/>
    <w:rsid w:val="007601DC"/>
    <w:rsid w:val="00761114"/>
    <w:rsid w:val="00762E5A"/>
    <w:rsid w:val="00763166"/>
    <w:rsid w:val="00765157"/>
    <w:rsid w:val="00765365"/>
    <w:rsid w:val="007669AF"/>
    <w:rsid w:val="007678A8"/>
    <w:rsid w:val="00771E37"/>
    <w:rsid w:val="007739AB"/>
    <w:rsid w:val="00775A4D"/>
    <w:rsid w:val="00783153"/>
    <w:rsid w:val="007847A5"/>
    <w:rsid w:val="00786027"/>
    <w:rsid w:val="007918BF"/>
    <w:rsid w:val="00794FD4"/>
    <w:rsid w:val="007976C4"/>
    <w:rsid w:val="007A2250"/>
    <w:rsid w:val="007A7217"/>
    <w:rsid w:val="007A7F8D"/>
    <w:rsid w:val="007B3746"/>
    <w:rsid w:val="007B7B9A"/>
    <w:rsid w:val="007B7CBF"/>
    <w:rsid w:val="007C37DB"/>
    <w:rsid w:val="007C52DC"/>
    <w:rsid w:val="007C71EC"/>
    <w:rsid w:val="007D7A6A"/>
    <w:rsid w:val="007D7C9B"/>
    <w:rsid w:val="007E22A6"/>
    <w:rsid w:val="007E565C"/>
    <w:rsid w:val="007E6CCC"/>
    <w:rsid w:val="007F6970"/>
    <w:rsid w:val="00801168"/>
    <w:rsid w:val="00804D13"/>
    <w:rsid w:val="00804EDD"/>
    <w:rsid w:val="008051C4"/>
    <w:rsid w:val="0080629D"/>
    <w:rsid w:val="00812B6E"/>
    <w:rsid w:val="008150C0"/>
    <w:rsid w:val="00815B5D"/>
    <w:rsid w:val="00817B08"/>
    <w:rsid w:val="00820D86"/>
    <w:rsid w:val="00821BCB"/>
    <w:rsid w:val="00823F14"/>
    <w:rsid w:val="00831E77"/>
    <w:rsid w:val="00832CC1"/>
    <w:rsid w:val="00833845"/>
    <w:rsid w:val="00835113"/>
    <w:rsid w:val="00837416"/>
    <w:rsid w:val="008426E7"/>
    <w:rsid w:val="00856B92"/>
    <w:rsid w:val="00864B9D"/>
    <w:rsid w:val="008673A7"/>
    <w:rsid w:val="00871F43"/>
    <w:rsid w:val="008765C5"/>
    <w:rsid w:val="008850F6"/>
    <w:rsid w:val="00885D7E"/>
    <w:rsid w:val="00886BA5"/>
    <w:rsid w:val="008A54E9"/>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382D"/>
    <w:rsid w:val="00904BFD"/>
    <w:rsid w:val="00906D38"/>
    <w:rsid w:val="00910244"/>
    <w:rsid w:val="0091452A"/>
    <w:rsid w:val="00920F8A"/>
    <w:rsid w:val="009219BB"/>
    <w:rsid w:val="009234AC"/>
    <w:rsid w:val="00931A0D"/>
    <w:rsid w:val="00931A21"/>
    <w:rsid w:val="00933D63"/>
    <w:rsid w:val="009361A8"/>
    <w:rsid w:val="00954D7C"/>
    <w:rsid w:val="00957318"/>
    <w:rsid w:val="00957403"/>
    <w:rsid w:val="00962785"/>
    <w:rsid w:val="00965A2E"/>
    <w:rsid w:val="00971BA0"/>
    <w:rsid w:val="00971E19"/>
    <w:rsid w:val="0098531F"/>
    <w:rsid w:val="00986433"/>
    <w:rsid w:val="009878E4"/>
    <w:rsid w:val="009908CE"/>
    <w:rsid w:val="009934F6"/>
    <w:rsid w:val="00993DE5"/>
    <w:rsid w:val="009954EA"/>
    <w:rsid w:val="009956F9"/>
    <w:rsid w:val="009A0E8F"/>
    <w:rsid w:val="009A3013"/>
    <w:rsid w:val="009A586E"/>
    <w:rsid w:val="009A5AE8"/>
    <w:rsid w:val="009A5D3C"/>
    <w:rsid w:val="009A60D9"/>
    <w:rsid w:val="009B718E"/>
    <w:rsid w:val="009C22A8"/>
    <w:rsid w:val="009C72B6"/>
    <w:rsid w:val="009C7587"/>
    <w:rsid w:val="009D377B"/>
    <w:rsid w:val="009D5906"/>
    <w:rsid w:val="009D723C"/>
    <w:rsid w:val="009F328C"/>
    <w:rsid w:val="00A01AB8"/>
    <w:rsid w:val="00A02FAB"/>
    <w:rsid w:val="00A076A0"/>
    <w:rsid w:val="00A1113B"/>
    <w:rsid w:val="00A13B4D"/>
    <w:rsid w:val="00A22275"/>
    <w:rsid w:val="00A32D14"/>
    <w:rsid w:val="00A36091"/>
    <w:rsid w:val="00A43824"/>
    <w:rsid w:val="00A4659B"/>
    <w:rsid w:val="00A47354"/>
    <w:rsid w:val="00A47AC1"/>
    <w:rsid w:val="00A529F9"/>
    <w:rsid w:val="00A60223"/>
    <w:rsid w:val="00A76F9F"/>
    <w:rsid w:val="00A775CB"/>
    <w:rsid w:val="00A87C15"/>
    <w:rsid w:val="00A90F29"/>
    <w:rsid w:val="00A91A11"/>
    <w:rsid w:val="00AA47CC"/>
    <w:rsid w:val="00AB07A3"/>
    <w:rsid w:val="00AB7674"/>
    <w:rsid w:val="00AC1AD8"/>
    <w:rsid w:val="00AC42E6"/>
    <w:rsid w:val="00AD1CA2"/>
    <w:rsid w:val="00AD1E1D"/>
    <w:rsid w:val="00AD2506"/>
    <w:rsid w:val="00AD29F5"/>
    <w:rsid w:val="00AD5535"/>
    <w:rsid w:val="00AD600E"/>
    <w:rsid w:val="00AE0A6E"/>
    <w:rsid w:val="00AE48B5"/>
    <w:rsid w:val="00AF35CB"/>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6EAF"/>
    <w:rsid w:val="00B37424"/>
    <w:rsid w:val="00B44CD6"/>
    <w:rsid w:val="00B511F6"/>
    <w:rsid w:val="00B5324F"/>
    <w:rsid w:val="00B546C8"/>
    <w:rsid w:val="00B56AF6"/>
    <w:rsid w:val="00B61FCC"/>
    <w:rsid w:val="00B62F74"/>
    <w:rsid w:val="00B72C69"/>
    <w:rsid w:val="00B77C5A"/>
    <w:rsid w:val="00B832B8"/>
    <w:rsid w:val="00B85522"/>
    <w:rsid w:val="00B900A1"/>
    <w:rsid w:val="00B90B2B"/>
    <w:rsid w:val="00B95358"/>
    <w:rsid w:val="00B960E3"/>
    <w:rsid w:val="00B975AD"/>
    <w:rsid w:val="00B97858"/>
    <w:rsid w:val="00BA6958"/>
    <w:rsid w:val="00BB21CC"/>
    <w:rsid w:val="00BB33CD"/>
    <w:rsid w:val="00BB33E4"/>
    <w:rsid w:val="00BB3B7D"/>
    <w:rsid w:val="00BB4113"/>
    <w:rsid w:val="00BB5C93"/>
    <w:rsid w:val="00BD3E55"/>
    <w:rsid w:val="00BD54DA"/>
    <w:rsid w:val="00BE3121"/>
    <w:rsid w:val="00BE4222"/>
    <w:rsid w:val="00BE6A62"/>
    <w:rsid w:val="00BE6A9E"/>
    <w:rsid w:val="00BF036D"/>
    <w:rsid w:val="00BF5A05"/>
    <w:rsid w:val="00BF720D"/>
    <w:rsid w:val="00C11343"/>
    <w:rsid w:val="00C12D7D"/>
    <w:rsid w:val="00C24E1A"/>
    <w:rsid w:val="00C270E1"/>
    <w:rsid w:val="00C27A7A"/>
    <w:rsid w:val="00C3786B"/>
    <w:rsid w:val="00C45CD6"/>
    <w:rsid w:val="00C474D6"/>
    <w:rsid w:val="00C5073F"/>
    <w:rsid w:val="00C51729"/>
    <w:rsid w:val="00C524CA"/>
    <w:rsid w:val="00C53EE1"/>
    <w:rsid w:val="00C546EC"/>
    <w:rsid w:val="00C54A7B"/>
    <w:rsid w:val="00C55ABA"/>
    <w:rsid w:val="00C576CF"/>
    <w:rsid w:val="00C60F24"/>
    <w:rsid w:val="00C7013F"/>
    <w:rsid w:val="00C77201"/>
    <w:rsid w:val="00C83795"/>
    <w:rsid w:val="00C83E21"/>
    <w:rsid w:val="00C868BC"/>
    <w:rsid w:val="00C877B7"/>
    <w:rsid w:val="00C908AB"/>
    <w:rsid w:val="00C96C70"/>
    <w:rsid w:val="00CA1132"/>
    <w:rsid w:val="00CA357F"/>
    <w:rsid w:val="00CA35C5"/>
    <w:rsid w:val="00CA52ED"/>
    <w:rsid w:val="00CA5C66"/>
    <w:rsid w:val="00CA5DD6"/>
    <w:rsid w:val="00CA645C"/>
    <w:rsid w:val="00CA7AED"/>
    <w:rsid w:val="00CB1912"/>
    <w:rsid w:val="00CB1BA7"/>
    <w:rsid w:val="00CB6926"/>
    <w:rsid w:val="00CC1F5E"/>
    <w:rsid w:val="00CD0B31"/>
    <w:rsid w:val="00CD39F0"/>
    <w:rsid w:val="00CD4C39"/>
    <w:rsid w:val="00CF37F8"/>
    <w:rsid w:val="00CF3E36"/>
    <w:rsid w:val="00CF3EC0"/>
    <w:rsid w:val="00D00563"/>
    <w:rsid w:val="00D00821"/>
    <w:rsid w:val="00D348FD"/>
    <w:rsid w:val="00D425CA"/>
    <w:rsid w:val="00D452DD"/>
    <w:rsid w:val="00D46F8C"/>
    <w:rsid w:val="00D50C4E"/>
    <w:rsid w:val="00D63C69"/>
    <w:rsid w:val="00D723B1"/>
    <w:rsid w:val="00D74EA5"/>
    <w:rsid w:val="00D76892"/>
    <w:rsid w:val="00D77C80"/>
    <w:rsid w:val="00D84289"/>
    <w:rsid w:val="00D85E8C"/>
    <w:rsid w:val="00D87B13"/>
    <w:rsid w:val="00D90942"/>
    <w:rsid w:val="00D91603"/>
    <w:rsid w:val="00D917CA"/>
    <w:rsid w:val="00D923DE"/>
    <w:rsid w:val="00D97318"/>
    <w:rsid w:val="00DA4111"/>
    <w:rsid w:val="00DA5861"/>
    <w:rsid w:val="00DB49F1"/>
    <w:rsid w:val="00DC2850"/>
    <w:rsid w:val="00DC3731"/>
    <w:rsid w:val="00DC4FF6"/>
    <w:rsid w:val="00DC7725"/>
    <w:rsid w:val="00DD3701"/>
    <w:rsid w:val="00DD41F1"/>
    <w:rsid w:val="00DD4507"/>
    <w:rsid w:val="00DD47E5"/>
    <w:rsid w:val="00DE0292"/>
    <w:rsid w:val="00DE046C"/>
    <w:rsid w:val="00DE12EA"/>
    <w:rsid w:val="00DE2154"/>
    <w:rsid w:val="00DE2E0C"/>
    <w:rsid w:val="00DE7E7B"/>
    <w:rsid w:val="00DF3130"/>
    <w:rsid w:val="00DF3824"/>
    <w:rsid w:val="00E039E1"/>
    <w:rsid w:val="00E05285"/>
    <w:rsid w:val="00E061EA"/>
    <w:rsid w:val="00E06947"/>
    <w:rsid w:val="00E07F41"/>
    <w:rsid w:val="00E127FF"/>
    <w:rsid w:val="00E145A7"/>
    <w:rsid w:val="00E17DFB"/>
    <w:rsid w:val="00E22DBF"/>
    <w:rsid w:val="00E24F58"/>
    <w:rsid w:val="00E2796A"/>
    <w:rsid w:val="00E27E51"/>
    <w:rsid w:val="00E3259F"/>
    <w:rsid w:val="00E33E96"/>
    <w:rsid w:val="00E36083"/>
    <w:rsid w:val="00E43192"/>
    <w:rsid w:val="00E51F1C"/>
    <w:rsid w:val="00E55BF7"/>
    <w:rsid w:val="00E718B5"/>
    <w:rsid w:val="00E72387"/>
    <w:rsid w:val="00E76DB7"/>
    <w:rsid w:val="00E81F10"/>
    <w:rsid w:val="00E849FA"/>
    <w:rsid w:val="00E85C9D"/>
    <w:rsid w:val="00E91015"/>
    <w:rsid w:val="00EA5D7A"/>
    <w:rsid w:val="00EB0348"/>
    <w:rsid w:val="00EC1E1C"/>
    <w:rsid w:val="00EC457E"/>
    <w:rsid w:val="00EC48B0"/>
    <w:rsid w:val="00EC6F8D"/>
    <w:rsid w:val="00ED182D"/>
    <w:rsid w:val="00EE10D4"/>
    <w:rsid w:val="00EE306B"/>
    <w:rsid w:val="00EE65D6"/>
    <w:rsid w:val="00EE66C5"/>
    <w:rsid w:val="00EE6F70"/>
    <w:rsid w:val="00EE7391"/>
    <w:rsid w:val="00EF1D3A"/>
    <w:rsid w:val="00EF229B"/>
    <w:rsid w:val="00EF6757"/>
    <w:rsid w:val="00F04522"/>
    <w:rsid w:val="00F07907"/>
    <w:rsid w:val="00F105E0"/>
    <w:rsid w:val="00F14F4B"/>
    <w:rsid w:val="00F16AB4"/>
    <w:rsid w:val="00F21B12"/>
    <w:rsid w:val="00F23BA1"/>
    <w:rsid w:val="00F33445"/>
    <w:rsid w:val="00F34FCA"/>
    <w:rsid w:val="00F4064F"/>
    <w:rsid w:val="00F42212"/>
    <w:rsid w:val="00F534D6"/>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3751"/>
    <w:rsid w:val="00FF4146"/>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0563"/>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Bullet 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customStyle="1" w:styleId="Skaiiai2lygisChar">
    <w:name w:val="Skaičiai_2 lygis Char"/>
    <w:basedOn w:val="DefaultParagraphFont"/>
    <w:link w:val="Skaiiai2lygis"/>
    <w:locked/>
    <w:rsid w:val="000355A4"/>
    <w:rPr>
      <w:color w:val="000000"/>
    </w:rPr>
  </w:style>
  <w:style w:type="paragraph" w:customStyle="1" w:styleId="Skaiiai2lygis">
    <w:name w:val="Skaičiai_2 lygis"/>
    <w:basedOn w:val="Normal"/>
    <w:link w:val="Skaiiai2lygisChar"/>
    <w:qFormat/>
    <w:rsid w:val="000355A4"/>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97DE3D27-A36B-44F9-8965-38CC6CD3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1836</TotalTime>
  <Pages>22</Pages>
  <Words>46544</Words>
  <Characters>26531</Characters>
  <Application>Microsoft Office Word</Application>
  <DocSecurity>0</DocSecurity>
  <Lines>221</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199</cp:revision>
  <cp:lastPrinted>2025-07-17T07:49:00Z</cp:lastPrinted>
  <dcterms:created xsi:type="dcterms:W3CDTF">2023-02-01T12:53:00Z</dcterms:created>
  <dcterms:modified xsi:type="dcterms:W3CDTF">2026-05-18T08:31:00Z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