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5715" w14:textId="77777777" w:rsidR="00D77CB4" w:rsidRPr="00BE35FF" w:rsidRDefault="00762FD0" w:rsidP="00762FD0">
      <w:pPr>
        <w:rPr>
          <w:lang w:val="lt-LT"/>
        </w:rPr>
      </w:pPr>
      <w:r w:rsidRPr="00BE35FF">
        <w:rPr>
          <w:lang w:val="lt-LT"/>
        </w:rPr>
        <w:t xml:space="preserve">                                                                                                     </w:t>
      </w:r>
    </w:p>
    <w:p w14:paraId="45535716" w14:textId="77777777" w:rsidR="00D77CB4" w:rsidRPr="00BE35FF" w:rsidRDefault="00D77CB4" w:rsidP="00762FD0">
      <w:pPr>
        <w:rPr>
          <w:lang w:val="lt-LT"/>
        </w:rPr>
      </w:pPr>
    </w:p>
    <w:p w14:paraId="1D652EF4" w14:textId="60D8FC21" w:rsidR="00BE35FF" w:rsidRPr="00703C0A" w:rsidRDefault="00D77CB4" w:rsidP="00BE35FF">
      <w:pPr>
        <w:keepNext/>
        <w:keepLines/>
        <w:spacing w:before="120" w:after="160" w:line="276" w:lineRule="auto"/>
        <w:ind w:left="318" w:firstLine="697"/>
        <w:jc w:val="right"/>
        <w:rPr>
          <w:rFonts w:eastAsia="Arial"/>
          <w:sz w:val="21"/>
          <w:szCs w:val="21"/>
          <w:lang w:val="lt-LT" w:eastAsia="lt-LT"/>
        </w:rPr>
      </w:pPr>
      <w:r w:rsidRPr="00BE35FF">
        <w:rPr>
          <w:lang w:val="lt-LT"/>
        </w:rPr>
        <w:t xml:space="preserve">                                                                                                         </w:t>
      </w:r>
      <w:r w:rsidR="00762FD0" w:rsidRPr="00BE35FF">
        <w:rPr>
          <w:lang w:val="lt-LT"/>
        </w:rPr>
        <w:t xml:space="preserve"> </w:t>
      </w:r>
      <w:bookmarkStart w:id="0" w:name="_Ref39484039"/>
      <w:bookmarkStart w:id="1" w:name="_Ref40278562"/>
      <w:bookmarkStart w:id="2" w:name="_Toc126333945"/>
      <w:r w:rsidR="00BE35FF" w:rsidRPr="00703C0A">
        <w:rPr>
          <w:rFonts w:eastAsia="Calibri"/>
          <w:bCs/>
          <w:iCs/>
          <w:color w:val="0070C0"/>
          <w:sz w:val="21"/>
          <w:szCs w:val="21"/>
          <w:lang w:val="lt-LT"/>
        </w:rPr>
        <w:t xml:space="preserve">Pirkimo sąlygų </w:t>
      </w:r>
      <w:r w:rsidR="00BE35FF" w:rsidRPr="00703C0A">
        <w:rPr>
          <w:rFonts w:eastAsia="Calibri"/>
          <w:bCs/>
          <w:iCs/>
          <w:color w:val="0070C0"/>
          <w:sz w:val="21"/>
          <w:szCs w:val="21"/>
          <w:lang w:val="lt-LT"/>
        </w:rPr>
        <w:t>2</w:t>
      </w:r>
      <w:r w:rsidR="00BE35FF" w:rsidRPr="00703C0A">
        <w:rPr>
          <w:rFonts w:eastAsia="Calibri"/>
          <w:bCs/>
          <w:iCs/>
          <w:color w:val="0070C0"/>
          <w:sz w:val="21"/>
          <w:szCs w:val="21"/>
          <w:lang w:val="lt-LT"/>
        </w:rPr>
        <w:t xml:space="preserve"> priedas „</w:t>
      </w:r>
      <w:r w:rsidR="00BE35FF" w:rsidRPr="00703C0A">
        <w:rPr>
          <w:rFonts w:eastAsia="Calibri"/>
          <w:bCs/>
          <w:iCs/>
          <w:color w:val="0070C0"/>
          <w:sz w:val="21"/>
          <w:szCs w:val="21"/>
          <w:lang w:val="lt-LT"/>
        </w:rPr>
        <w:t>Techninė užduotis</w:t>
      </w:r>
      <w:r w:rsidR="00BE35FF" w:rsidRPr="00703C0A">
        <w:rPr>
          <w:rFonts w:eastAsia="Calibri"/>
          <w:bCs/>
          <w:iCs/>
          <w:color w:val="0070C0"/>
          <w:sz w:val="21"/>
          <w:szCs w:val="21"/>
          <w:lang w:val="lt-LT"/>
        </w:rPr>
        <w:t>“</w:t>
      </w:r>
      <w:bookmarkEnd w:id="0"/>
      <w:bookmarkEnd w:id="1"/>
      <w:bookmarkEnd w:id="2"/>
    </w:p>
    <w:p w14:paraId="45535717" w14:textId="4DC706C7" w:rsidR="00762FD0" w:rsidRPr="00703C0A" w:rsidRDefault="00762FD0" w:rsidP="001778BC">
      <w:pPr>
        <w:tabs>
          <w:tab w:val="left" w:pos="6379"/>
        </w:tabs>
        <w:rPr>
          <w:lang w:val="lt-LT"/>
        </w:rPr>
      </w:pPr>
    </w:p>
    <w:p w14:paraId="45535718" w14:textId="77777777" w:rsidR="009A078F" w:rsidRPr="00703C0A" w:rsidRDefault="00762FD0" w:rsidP="00762FD0">
      <w:pPr>
        <w:jc w:val="center"/>
        <w:rPr>
          <w:b/>
          <w:lang w:val="lt-LT"/>
        </w:rPr>
      </w:pPr>
      <w:r w:rsidRPr="00703C0A">
        <w:rPr>
          <w:b/>
          <w:lang w:val="lt-LT"/>
        </w:rPr>
        <w:t>TECHNINĖ UŽDUOTIS</w:t>
      </w:r>
    </w:p>
    <w:p w14:paraId="45535719" w14:textId="1716CAFC" w:rsidR="00762FD0" w:rsidRPr="00703C0A" w:rsidRDefault="009A078F" w:rsidP="00762FD0">
      <w:pPr>
        <w:jc w:val="center"/>
        <w:rPr>
          <w:b/>
          <w:lang w:val="lt-LT"/>
        </w:rPr>
      </w:pPr>
      <w:r w:rsidRPr="00703C0A">
        <w:rPr>
          <w:b/>
          <w:bCs/>
          <w:color w:val="000000"/>
          <w:lang w:val="lt-LT" w:eastAsia="en-GB"/>
        </w:rPr>
        <w:t>DAUGIABUČIO</w:t>
      </w:r>
      <w:r w:rsidR="00B82AE3" w:rsidRPr="00703C0A">
        <w:rPr>
          <w:b/>
          <w:lang w:val="lt-LT"/>
        </w:rPr>
        <w:t xml:space="preserve"> GYVENAMOJO NAMO </w:t>
      </w:r>
      <w:r w:rsidRPr="00703C0A">
        <w:rPr>
          <w:b/>
          <w:bCs/>
          <w:color w:val="000000"/>
          <w:lang w:val="lt-LT" w:eastAsia="en-GB"/>
        </w:rPr>
        <w:t>ADRESU</w:t>
      </w:r>
      <w:r w:rsidRPr="00703C0A">
        <w:rPr>
          <w:b/>
          <w:lang w:val="lt-LT"/>
        </w:rPr>
        <w:t xml:space="preserve"> </w:t>
      </w:r>
      <w:r w:rsidR="00BE35FF" w:rsidRPr="00703C0A">
        <w:rPr>
          <w:b/>
          <w:lang w:val="lt-LT"/>
        </w:rPr>
        <w:t xml:space="preserve">AUKŠTAKALNIO G. 70, UTENA TECHNINĖS PATALPS </w:t>
      </w:r>
      <w:r w:rsidR="00982D72" w:rsidRPr="00703C0A">
        <w:rPr>
          <w:b/>
          <w:lang w:val="lt-LT"/>
        </w:rPr>
        <w:t>PLASTIKINI</w:t>
      </w:r>
      <w:r w:rsidR="00B82AE3" w:rsidRPr="00703C0A">
        <w:rPr>
          <w:b/>
          <w:lang w:val="lt-LT"/>
        </w:rPr>
        <w:t>Ų</w:t>
      </w:r>
      <w:r w:rsidR="00982D72" w:rsidRPr="00703C0A">
        <w:rPr>
          <w:b/>
          <w:lang w:val="lt-LT"/>
        </w:rPr>
        <w:t xml:space="preserve"> LANG</w:t>
      </w:r>
      <w:r w:rsidR="00B82AE3" w:rsidRPr="00703C0A">
        <w:rPr>
          <w:b/>
          <w:lang w:val="lt-LT"/>
        </w:rPr>
        <w:t>Ų</w:t>
      </w:r>
      <w:r w:rsidR="00982D72" w:rsidRPr="00703C0A">
        <w:rPr>
          <w:b/>
          <w:lang w:val="lt-LT"/>
        </w:rPr>
        <w:t xml:space="preserve"> </w:t>
      </w:r>
      <w:r w:rsidR="00C043BF" w:rsidRPr="00703C0A">
        <w:rPr>
          <w:b/>
          <w:lang w:val="lt-LT"/>
        </w:rPr>
        <w:t>ĮRENGIMO</w:t>
      </w:r>
      <w:r w:rsidR="00762FD0" w:rsidRPr="00703C0A">
        <w:rPr>
          <w:b/>
          <w:lang w:val="lt-LT"/>
        </w:rPr>
        <w:t xml:space="preserve"> DARB</w:t>
      </w:r>
      <w:r w:rsidRPr="00703C0A">
        <w:rPr>
          <w:b/>
          <w:lang w:val="lt-LT"/>
        </w:rPr>
        <w:t>AI</w:t>
      </w:r>
    </w:p>
    <w:p w14:paraId="4553571A" w14:textId="77777777" w:rsidR="00BB3AB5" w:rsidRPr="00703C0A" w:rsidRDefault="00BB3AB5" w:rsidP="00762FD0">
      <w:pPr>
        <w:jc w:val="center"/>
        <w:rPr>
          <w:b/>
          <w:lang w:val="lt-LT"/>
        </w:rPr>
      </w:pPr>
    </w:p>
    <w:p w14:paraId="4553571B" w14:textId="77777777" w:rsidR="00E63952" w:rsidRPr="00703C0A" w:rsidRDefault="00E63952" w:rsidP="00762FD0">
      <w:pPr>
        <w:rPr>
          <w:color w:val="555555"/>
          <w:sz w:val="28"/>
          <w:szCs w:val="28"/>
          <w:shd w:val="clear" w:color="auto" w:fill="F5F5F5"/>
          <w:lang w:val="lt-LT"/>
        </w:rPr>
      </w:pPr>
      <w:r w:rsidRPr="00703C0A">
        <w:rPr>
          <w:color w:val="555555"/>
          <w:sz w:val="28"/>
          <w:szCs w:val="28"/>
          <w:shd w:val="clear" w:color="auto" w:fill="F5F5F5"/>
          <w:lang w:val="lt-LT"/>
        </w:rPr>
        <w:t xml:space="preserve">                                        </w:t>
      </w:r>
    </w:p>
    <w:p w14:paraId="4553571C" w14:textId="77777777" w:rsidR="00904149" w:rsidRPr="00703C0A" w:rsidRDefault="00904149" w:rsidP="00904149">
      <w:pPr>
        <w:jc w:val="both"/>
        <w:rPr>
          <w:lang w:val="lt-LT"/>
        </w:rPr>
      </w:pPr>
    </w:p>
    <w:p w14:paraId="3F00C497" w14:textId="77777777" w:rsidR="00BE35FF" w:rsidRPr="00703C0A" w:rsidRDefault="00BB3AB5" w:rsidP="00BE35FF">
      <w:pPr>
        <w:pStyle w:val="Sraopastraipa"/>
        <w:numPr>
          <w:ilvl w:val="0"/>
          <w:numId w:val="9"/>
        </w:numPr>
        <w:rPr>
          <w:lang w:val="lt-LT"/>
        </w:rPr>
      </w:pPr>
      <w:bookmarkStart w:id="3" w:name="_Hlk227651000"/>
      <w:r w:rsidRPr="00703C0A">
        <w:rPr>
          <w:lang w:val="lt-LT"/>
        </w:rPr>
        <w:t xml:space="preserve">Perkančioji organizacija (toliau - PO arba užsakovas) ketina įsigyti daugiabučio gyvenamojo namo adresu </w:t>
      </w:r>
      <w:r w:rsidR="00BE35FF" w:rsidRPr="00703C0A">
        <w:rPr>
          <w:lang w:val="lt-LT"/>
        </w:rPr>
        <w:t>Aukštakalnio g. 70</w:t>
      </w:r>
      <w:r w:rsidRPr="00703C0A">
        <w:rPr>
          <w:lang w:val="lt-LT"/>
        </w:rPr>
        <w:t xml:space="preserve">, </w:t>
      </w:r>
      <w:r w:rsidR="00BE35FF" w:rsidRPr="00703C0A">
        <w:rPr>
          <w:lang w:val="lt-LT"/>
        </w:rPr>
        <w:t>Utena</w:t>
      </w:r>
      <w:r w:rsidRPr="00703C0A">
        <w:rPr>
          <w:lang w:val="lt-LT"/>
        </w:rPr>
        <w:t>,</w:t>
      </w:r>
      <w:r w:rsidR="008F100B" w:rsidRPr="00703C0A">
        <w:rPr>
          <w:lang w:val="lt-LT"/>
        </w:rPr>
        <w:t xml:space="preserve"> </w:t>
      </w:r>
      <w:r w:rsidRPr="00703C0A">
        <w:rPr>
          <w:lang w:val="lt-LT"/>
        </w:rPr>
        <w:t>plastikini</w:t>
      </w:r>
      <w:r w:rsidR="00BE35FF" w:rsidRPr="00703C0A">
        <w:rPr>
          <w:lang w:val="lt-LT"/>
        </w:rPr>
        <w:t>o</w:t>
      </w:r>
      <w:r w:rsidRPr="00703C0A">
        <w:rPr>
          <w:lang w:val="lt-LT"/>
        </w:rPr>
        <w:t xml:space="preserve"> lang</w:t>
      </w:r>
      <w:r w:rsidR="00BE35FF" w:rsidRPr="00703C0A">
        <w:rPr>
          <w:lang w:val="lt-LT"/>
        </w:rPr>
        <w:t>o</w:t>
      </w:r>
      <w:r w:rsidR="008F100B" w:rsidRPr="00703C0A">
        <w:rPr>
          <w:lang w:val="lt-LT"/>
        </w:rPr>
        <w:t xml:space="preserve"> įrengimo darb</w:t>
      </w:r>
      <w:r w:rsidR="00F07E81" w:rsidRPr="00703C0A">
        <w:rPr>
          <w:lang w:val="lt-LT"/>
        </w:rPr>
        <w:t>us</w:t>
      </w:r>
      <w:r w:rsidRPr="00703C0A">
        <w:rPr>
          <w:lang w:val="lt-LT"/>
        </w:rPr>
        <w:t>.</w:t>
      </w:r>
      <w:bookmarkEnd w:id="3"/>
    </w:p>
    <w:p w14:paraId="2F31E4E0" w14:textId="73592C2E" w:rsidR="00BE35FF" w:rsidRPr="00703C0A" w:rsidRDefault="00BE35FF" w:rsidP="00BE35FF">
      <w:pPr>
        <w:pStyle w:val="Sraopastraipa"/>
        <w:numPr>
          <w:ilvl w:val="0"/>
          <w:numId w:val="9"/>
        </w:numPr>
        <w:rPr>
          <w:lang w:val="lt-LT"/>
        </w:rPr>
      </w:pPr>
      <w:r w:rsidRPr="00703C0A">
        <w:rPr>
          <w:color w:val="000000"/>
          <w:lang w:val="lt-LT" w:eastAsia="lt-LT" w:bidi="lt-LT"/>
        </w:rPr>
        <w:t>Pagal statybos techninių reglamentų reikalavimus sumontuoti plastikinius langus:</w:t>
      </w:r>
    </w:p>
    <w:p w14:paraId="3084CCA9" w14:textId="77777777" w:rsidR="00BE35FF" w:rsidRPr="00703C0A" w:rsidRDefault="00BE35FF" w:rsidP="00BE35FF">
      <w:pPr>
        <w:pStyle w:val="Sraopastraipa"/>
        <w:widowControl w:val="0"/>
        <w:numPr>
          <w:ilvl w:val="1"/>
          <w:numId w:val="9"/>
        </w:numPr>
        <w:tabs>
          <w:tab w:val="left" w:pos="-142"/>
          <w:tab w:val="left" w:pos="9193"/>
        </w:tabs>
        <w:jc w:val="both"/>
        <w:rPr>
          <w:color w:val="000000"/>
          <w:lang w:val="lt-LT" w:eastAsia="lt-LT" w:bidi="lt-LT"/>
        </w:rPr>
      </w:pPr>
      <w:r w:rsidRPr="00703C0A">
        <w:rPr>
          <w:color w:val="000000"/>
          <w:lang w:val="lt-LT" w:eastAsia="lt-LT" w:bidi="lt-LT"/>
        </w:rPr>
        <w:t>Senų langų blokų demontavimas.</w:t>
      </w:r>
    </w:p>
    <w:p w14:paraId="59F2E517" w14:textId="0D988DCE" w:rsidR="00BE35FF" w:rsidRPr="00703C0A" w:rsidRDefault="00BE35FF" w:rsidP="00BE35FF">
      <w:pPr>
        <w:pStyle w:val="Sraopastraipa"/>
        <w:widowControl w:val="0"/>
        <w:numPr>
          <w:ilvl w:val="1"/>
          <w:numId w:val="9"/>
        </w:numPr>
        <w:tabs>
          <w:tab w:val="left" w:pos="-142"/>
          <w:tab w:val="left" w:pos="9193"/>
        </w:tabs>
        <w:jc w:val="both"/>
        <w:rPr>
          <w:color w:val="000000"/>
          <w:lang w:val="lt-LT" w:eastAsia="lt-LT" w:bidi="lt-LT"/>
        </w:rPr>
      </w:pPr>
      <w:r w:rsidRPr="00703C0A">
        <w:rPr>
          <w:b/>
          <w:bCs/>
          <w:noProof/>
          <w:color w:val="000000"/>
          <w:lang w:val="lt-LT" w:eastAsia="lt-LT" w:bidi="lt-LT"/>
        </w:rPr>
        <w:t>Techninės patalpos langas</w:t>
      </w:r>
      <w:r w:rsidRPr="00703C0A">
        <w:rPr>
          <w:color w:val="000000"/>
          <w:lang w:val="lt-LT" w:eastAsia="lt-LT" w:bidi="lt-LT"/>
        </w:rPr>
        <w:t xml:space="preserve">: Naujo lango bloko sumontavimas </w:t>
      </w:r>
      <w:bookmarkStart w:id="4" w:name="_Hlk51756438"/>
      <w:r w:rsidRPr="00703C0A">
        <w:rPr>
          <w:color w:val="000000"/>
          <w:lang w:val="lt-LT" w:eastAsia="lt-LT" w:bidi="lt-LT"/>
        </w:rPr>
        <w:t xml:space="preserve">(išorėje matomo lango rėmo plotis turi būti ne mažiau 5 cm., pagal poreikį naudoti rėmo praplatinimus), reguliavimas ir tvirtinimas. Šoninių briaunų matomo rėmo dalis su praplatinimu turėtų būti apie 10 cm. Lango matmenys -  ~ 590x760 mm – 1 vienetas. </w:t>
      </w:r>
      <w:bookmarkEnd w:id="4"/>
      <w:r w:rsidRPr="00703C0A">
        <w:rPr>
          <w:color w:val="000000"/>
          <w:lang w:val="lt-LT" w:eastAsia="lt-LT" w:bidi="lt-LT"/>
        </w:rPr>
        <w:t xml:space="preserve">Langų išmatavimus tikslinti vietoje. Langų rėmų spalva - balta. </w:t>
      </w:r>
    </w:p>
    <w:p w14:paraId="564B78B3" w14:textId="4150297A" w:rsidR="00BE35FF" w:rsidRPr="00703C0A" w:rsidRDefault="00BE35FF" w:rsidP="00BE35FF">
      <w:pPr>
        <w:pStyle w:val="Sraopastraipa"/>
        <w:widowControl w:val="0"/>
        <w:numPr>
          <w:ilvl w:val="0"/>
          <w:numId w:val="9"/>
        </w:numPr>
        <w:tabs>
          <w:tab w:val="left" w:pos="-142"/>
          <w:tab w:val="left" w:pos="9193"/>
        </w:tabs>
        <w:jc w:val="both"/>
        <w:rPr>
          <w:color w:val="000000"/>
          <w:lang w:val="lt-LT" w:eastAsia="lt-LT" w:bidi="lt-LT"/>
        </w:rPr>
      </w:pPr>
      <w:r w:rsidRPr="00703C0A">
        <w:rPr>
          <w:color w:val="000000"/>
          <w:lang w:val="lt-LT" w:eastAsia="lt-LT" w:bidi="lt-LT"/>
        </w:rPr>
        <w:t>Techniniai reikalavimai langams:</w:t>
      </w:r>
    </w:p>
    <w:p w14:paraId="0D390392" w14:textId="77777777"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 xml:space="preserve">Langų mechaninio patvarumo klasė - 3. </w:t>
      </w:r>
    </w:p>
    <w:p w14:paraId="3345FC52" w14:textId="77777777"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 xml:space="preserve">Langų mechaninio stiprio klasė - 2. </w:t>
      </w:r>
    </w:p>
    <w:p w14:paraId="40A0A714" w14:textId="77777777"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Langų varstymo dažnių ciklas &gt;=20</w:t>
      </w:r>
      <w:r w:rsidRPr="00703C0A">
        <w:rPr>
          <w:color w:val="000000"/>
          <w:lang w:val="lt-LT" w:eastAsia="lt-LT" w:bidi="lt-LT"/>
        </w:rPr>
        <w:t> </w:t>
      </w:r>
      <w:r w:rsidRPr="00703C0A">
        <w:rPr>
          <w:color w:val="000000"/>
          <w:lang w:val="lt-LT" w:eastAsia="lt-LT" w:bidi="lt-LT"/>
        </w:rPr>
        <w:t>000.</w:t>
      </w:r>
    </w:p>
    <w:p w14:paraId="069D2C99" w14:textId="77777777"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Langų vėjo apkrovos klasė pagal LST EN 12210:2016</w:t>
      </w:r>
    </w:p>
    <w:p w14:paraId="46DCC0A7" w14:textId="77777777"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Langų vandens pralaidumo klasė pagal LST EN 12208:2002</w:t>
      </w:r>
    </w:p>
    <w:p w14:paraId="5C40AF40" w14:textId="77777777"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Langų staktos profilio storis (montažinis gylis) ne mažesnis kaip 70 mm.</w:t>
      </w:r>
    </w:p>
    <w:p w14:paraId="3D175920" w14:textId="700A753E" w:rsidR="00BE35FF" w:rsidRPr="00703C0A" w:rsidRDefault="00BE35FF" w:rsidP="00BE35FF">
      <w:pPr>
        <w:widowControl w:val="0"/>
        <w:numPr>
          <w:ilvl w:val="0"/>
          <w:numId w:val="15"/>
        </w:numPr>
        <w:ind w:left="1276" w:firstLine="0"/>
        <w:jc w:val="both"/>
        <w:rPr>
          <w:color w:val="000000"/>
          <w:lang w:val="lt-LT" w:eastAsia="lt-LT" w:bidi="lt-LT"/>
        </w:rPr>
      </w:pPr>
      <w:r w:rsidRPr="00703C0A">
        <w:rPr>
          <w:color w:val="000000"/>
          <w:lang w:val="lt-LT" w:eastAsia="lt-LT" w:bidi="lt-LT"/>
        </w:rPr>
        <w:t>Langų šilumos perdavimo koeficientas &lt; l,4W/m</w:t>
      </w:r>
      <w:r w:rsidRPr="00703C0A">
        <w:rPr>
          <w:color w:val="000000"/>
          <w:vertAlign w:val="superscript"/>
          <w:lang w:val="lt-LT" w:eastAsia="lt-LT" w:bidi="lt-LT"/>
        </w:rPr>
        <w:t>2</w:t>
      </w:r>
      <w:r w:rsidRPr="00703C0A">
        <w:rPr>
          <w:color w:val="000000"/>
          <w:lang w:val="lt-LT" w:eastAsia="lt-LT" w:bidi="lt-LT"/>
        </w:rPr>
        <w:t xml:space="preserve"> K.</w:t>
      </w:r>
    </w:p>
    <w:p w14:paraId="43C2EC14" w14:textId="0256155C" w:rsidR="00BE35FF" w:rsidRPr="00703C0A" w:rsidRDefault="00BE35FF" w:rsidP="00BE35FF">
      <w:pPr>
        <w:pStyle w:val="Sraopastraipa"/>
        <w:widowControl w:val="0"/>
        <w:numPr>
          <w:ilvl w:val="0"/>
          <w:numId w:val="9"/>
        </w:numPr>
        <w:jc w:val="both"/>
        <w:rPr>
          <w:color w:val="000000"/>
          <w:lang w:val="lt-LT" w:eastAsia="lt-LT" w:bidi="lt-LT"/>
        </w:rPr>
      </w:pPr>
      <w:r w:rsidRPr="00703C0A">
        <w:rPr>
          <w:color w:val="000000"/>
          <w:lang w:val="lt-LT" w:eastAsia="lt-LT" w:bidi="lt-LT"/>
        </w:rPr>
        <w:t xml:space="preserve">Plastikiniai langai turi būti pagaminti iš PVC profilio, kurio gamyboje nenaudojami švino stabilizatoriai. Stiklo paketas </w:t>
      </w:r>
      <w:proofErr w:type="spellStart"/>
      <w:r w:rsidRPr="00703C0A">
        <w:rPr>
          <w:color w:val="000000"/>
          <w:lang w:val="lt-LT" w:eastAsia="lt-LT" w:bidi="lt-LT"/>
        </w:rPr>
        <w:t>vienkamerinis</w:t>
      </w:r>
      <w:proofErr w:type="spellEnd"/>
      <w:r w:rsidRPr="00703C0A">
        <w:rPr>
          <w:color w:val="000000"/>
          <w:lang w:val="lt-LT" w:eastAsia="lt-LT" w:bidi="lt-LT"/>
        </w:rPr>
        <w:t xml:space="preserve">, 2 stiklų, iš kurių 1 stiklas su </w:t>
      </w:r>
      <w:proofErr w:type="spellStart"/>
      <w:r w:rsidRPr="00703C0A">
        <w:rPr>
          <w:color w:val="000000"/>
          <w:lang w:val="lt-LT" w:eastAsia="lt-LT" w:bidi="lt-LT"/>
        </w:rPr>
        <w:t>selektyvine</w:t>
      </w:r>
      <w:proofErr w:type="spellEnd"/>
      <w:r w:rsidRPr="00703C0A">
        <w:rPr>
          <w:color w:val="000000"/>
          <w:lang w:val="lt-LT" w:eastAsia="lt-LT" w:bidi="lt-LT"/>
        </w:rPr>
        <w:t xml:space="preserve"> danga. Langų rėmo profilis ne mažiau 5 kamerų, su ne mažesne kaip 2 mm storio cinkuoto plieno armatūra.</w:t>
      </w:r>
      <w:r w:rsidRPr="00703C0A">
        <w:rPr>
          <w:lang w:val="lt-LT" w:eastAsia="lt-LT"/>
        </w:rPr>
        <w:t xml:space="preserve"> Langų furnitūra (apkaustai) - metalinė, atspari korozijai.</w:t>
      </w:r>
    </w:p>
    <w:p w14:paraId="79CEA44C" w14:textId="47B1B304" w:rsidR="00BE35FF" w:rsidRPr="00703C0A" w:rsidRDefault="00BE35FF" w:rsidP="00BE35FF">
      <w:pPr>
        <w:widowControl w:val="0"/>
        <w:numPr>
          <w:ilvl w:val="0"/>
          <w:numId w:val="9"/>
        </w:numPr>
        <w:jc w:val="both"/>
        <w:rPr>
          <w:color w:val="000000"/>
          <w:lang w:val="lt-LT" w:eastAsia="lt-LT" w:bidi="lt-LT"/>
        </w:rPr>
      </w:pPr>
      <w:r w:rsidRPr="00703C0A">
        <w:rPr>
          <w:color w:val="000000"/>
          <w:lang w:val="lt-LT" w:eastAsia="lt-LT" w:bidi="lt-LT"/>
        </w:rPr>
        <w:t>Tarpų tarp lango bloko ir angokraščių užsandarinimui naudoti montavimo išpurškiamas putas, panaudojant jas pagal gamintojo nurodytą instrukciją. Užsandarintas tarpas iš išorinės lango pusės turi būti izoliuojamas savaime išsiplečiančiomis, į vieną pusę vandens garams pralaidžiomis sandarinimo tarpinėmis. Iš vidinės lango pusės užsandarinama apdailos juostomis su gumuota briauna. Atstatomi langų angokraščių ištrupėjimai. Vykdant montavimo darbus, atmosferos krituliai neturi patekti į patalpas.</w:t>
      </w:r>
    </w:p>
    <w:p w14:paraId="325025FC" w14:textId="77777777" w:rsidR="00BE35FF" w:rsidRPr="00703C0A" w:rsidRDefault="00BE35FF" w:rsidP="00BE35FF">
      <w:pPr>
        <w:widowControl w:val="0"/>
        <w:numPr>
          <w:ilvl w:val="0"/>
          <w:numId w:val="9"/>
        </w:numPr>
        <w:jc w:val="both"/>
        <w:rPr>
          <w:color w:val="000000"/>
          <w:lang w:val="lt-LT" w:eastAsia="lt-LT" w:bidi="lt-LT"/>
        </w:rPr>
      </w:pPr>
      <w:r w:rsidRPr="00703C0A">
        <w:rPr>
          <w:color w:val="000000"/>
          <w:lang w:val="lt-LT" w:eastAsia="lt-LT" w:bidi="lt-LT"/>
        </w:rPr>
        <w:t>Langų pakeitimo metu pažeistų angokraščių ir kitų paviršių užtaisymas ir pilna vidinių angokraščių apdaila (tinkavimas, glaistymas, dažymas). Visi dažomi paviršiai turi būti vientisi, švarūs, sausi, lygūs.</w:t>
      </w:r>
    </w:p>
    <w:p w14:paraId="71E1CD9D" w14:textId="77777777" w:rsidR="00BE35FF" w:rsidRPr="00703C0A" w:rsidRDefault="00BE35FF" w:rsidP="00BE35FF">
      <w:pPr>
        <w:widowControl w:val="0"/>
        <w:numPr>
          <w:ilvl w:val="0"/>
          <w:numId w:val="9"/>
        </w:numPr>
        <w:jc w:val="both"/>
        <w:rPr>
          <w:color w:val="000000"/>
          <w:lang w:val="lt-LT" w:eastAsia="lt-LT" w:bidi="lt-LT"/>
        </w:rPr>
      </w:pPr>
      <w:r w:rsidRPr="00703C0A">
        <w:rPr>
          <w:color w:val="000000"/>
          <w:lang w:val="lt-LT" w:eastAsia="lt-LT" w:bidi="lt-LT"/>
        </w:rPr>
        <w:t xml:space="preserve">Rangovas nuo darbų pradžios iki pabaigos turi palaikyti švarą ir tvarką statybos objekte. Susikaupusias statybos atliekas turi utilizuoti, išveždamas į sąvartyną. </w:t>
      </w:r>
    </w:p>
    <w:p w14:paraId="6FFD0B22" w14:textId="19C69228" w:rsidR="00BE35FF" w:rsidRPr="00703C0A" w:rsidRDefault="00BE35FF" w:rsidP="00BE35FF">
      <w:pPr>
        <w:widowControl w:val="0"/>
        <w:numPr>
          <w:ilvl w:val="0"/>
          <w:numId w:val="9"/>
        </w:numPr>
        <w:jc w:val="both"/>
        <w:rPr>
          <w:color w:val="000000"/>
          <w:lang w:val="lt-LT" w:eastAsia="lt-LT" w:bidi="lt-LT"/>
        </w:rPr>
      </w:pPr>
      <w:r w:rsidRPr="00703C0A">
        <w:rPr>
          <w:color w:val="000000"/>
          <w:lang w:val="lt-LT" w:eastAsia="lt-LT" w:bidi="lt-LT"/>
        </w:rPr>
        <w:t>Kitos sąlygos:</w:t>
      </w:r>
    </w:p>
    <w:p w14:paraId="20388DD7" w14:textId="77777777" w:rsidR="00BE35FF" w:rsidRPr="00703C0A" w:rsidRDefault="00BE35FF" w:rsidP="00BE35FF">
      <w:pPr>
        <w:pStyle w:val="Sraopastraipa"/>
        <w:widowControl w:val="0"/>
        <w:numPr>
          <w:ilvl w:val="1"/>
          <w:numId w:val="9"/>
        </w:numPr>
        <w:tabs>
          <w:tab w:val="left" w:pos="0"/>
        </w:tabs>
        <w:jc w:val="both"/>
        <w:rPr>
          <w:color w:val="000000"/>
          <w:lang w:val="lt-LT" w:eastAsia="lt-LT" w:bidi="lt-LT"/>
        </w:rPr>
      </w:pPr>
      <w:r w:rsidRPr="00703C0A">
        <w:rPr>
          <w:color w:val="000000"/>
          <w:lang w:val="lt-LT" w:eastAsia="lt-LT" w:bidi="lt-LT"/>
        </w:rPr>
        <w:t>Kartu su pasiūlymu pateikiama montuojamų plastikinių langų ir naudojamų medžiagų eksploatacinių savybių deklaracija ir Rangovo patvirtintos langų montavimo taisyklės.</w:t>
      </w:r>
    </w:p>
    <w:p w14:paraId="12F7C102" w14:textId="03063554" w:rsidR="00BE35FF" w:rsidRPr="00703C0A" w:rsidRDefault="00BE35FF" w:rsidP="00BE35FF">
      <w:pPr>
        <w:pStyle w:val="Sraopastraipa"/>
        <w:widowControl w:val="0"/>
        <w:numPr>
          <w:ilvl w:val="1"/>
          <w:numId w:val="9"/>
        </w:numPr>
        <w:tabs>
          <w:tab w:val="left" w:pos="0"/>
        </w:tabs>
        <w:jc w:val="both"/>
        <w:rPr>
          <w:color w:val="000000"/>
          <w:lang w:val="lt-LT" w:eastAsia="lt-LT" w:bidi="lt-LT"/>
        </w:rPr>
      </w:pPr>
      <w:r w:rsidRPr="00703C0A">
        <w:rPr>
          <w:color w:val="000000"/>
          <w:lang w:val="lt-LT" w:eastAsia="lt-LT" w:bidi="lt-LT"/>
        </w:rPr>
        <w:t>Rangovas sutinka darbų vykdymo metu sudaryti tinkamas sąlygas, reikalingas Bendrovės atsakingiems darbuotojams prižiūrėti vykdomus darbus. Paslėptus darbus Rangovas priduoda Užsakovui.</w:t>
      </w:r>
    </w:p>
    <w:p w14:paraId="45B437F4" w14:textId="177AEE86" w:rsidR="00BE35FF" w:rsidRPr="00703C0A" w:rsidRDefault="00BE35FF" w:rsidP="00BE35FF">
      <w:pPr>
        <w:pStyle w:val="Sraopastraipa"/>
        <w:widowControl w:val="0"/>
        <w:numPr>
          <w:ilvl w:val="0"/>
          <w:numId w:val="9"/>
        </w:numPr>
        <w:tabs>
          <w:tab w:val="left" w:pos="-142"/>
        </w:tabs>
        <w:jc w:val="both"/>
        <w:rPr>
          <w:color w:val="000000"/>
          <w:lang w:val="lt-LT" w:eastAsia="lt-LT" w:bidi="lt-LT"/>
        </w:rPr>
      </w:pPr>
      <w:r w:rsidRPr="00703C0A">
        <w:rPr>
          <w:color w:val="000000"/>
          <w:lang w:val="lt-LT" w:eastAsia="lt-LT" w:bidi="lt-LT"/>
        </w:rPr>
        <w:t>Langams turi būti taikoma ne mažesnė kaip 5 (penkių metų) garantija. Garantinis aptarnavimas ne mažiau 2 metai.</w:t>
      </w:r>
    </w:p>
    <w:p w14:paraId="2DD35765" w14:textId="4C0CDD64" w:rsidR="00BE35FF" w:rsidRPr="00703C0A" w:rsidRDefault="00BE35FF" w:rsidP="00BE35FF">
      <w:pPr>
        <w:pStyle w:val="Sraopastraipa"/>
        <w:widowControl w:val="0"/>
        <w:numPr>
          <w:ilvl w:val="0"/>
          <w:numId w:val="9"/>
        </w:numPr>
        <w:jc w:val="both"/>
        <w:rPr>
          <w:color w:val="000000"/>
          <w:lang w:val="lt-LT" w:eastAsia="lt-LT" w:bidi="lt-LT"/>
        </w:rPr>
      </w:pPr>
      <w:r w:rsidRPr="00703C0A">
        <w:rPr>
          <w:color w:val="000000"/>
          <w:lang w:val="lt-LT" w:eastAsia="lt-LT" w:bidi="lt-LT"/>
        </w:rPr>
        <w:t>Užsakovas</w:t>
      </w:r>
      <w:r w:rsidRPr="00703C0A">
        <w:rPr>
          <w:color w:val="000000"/>
          <w:lang w:val="lt-LT" w:eastAsia="lt-LT" w:bidi="lt-LT"/>
        </w:rPr>
        <w:t xml:space="preserve"> apmokės tik už atliktus ir priduotus darbus.</w:t>
      </w:r>
    </w:p>
    <w:p w14:paraId="46D9DE4C" w14:textId="77777777" w:rsidR="00BE35FF" w:rsidRPr="00703C0A" w:rsidRDefault="00BE35FF" w:rsidP="00BE35FF">
      <w:pPr>
        <w:pStyle w:val="Sraopastraipa"/>
        <w:ind w:left="1068"/>
        <w:jc w:val="both"/>
        <w:rPr>
          <w:lang w:val="lt-LT"/>
        </w:rPr>
      </w:pPr>
    </w:p>
    <w:p w14:paraId="45535735" w14:textId="56DBBC76" w:rsidR="00E51897" w:rsidRPr="00703C0A" w:rsidRDefault="00E51897" w:rsidP="00E51897">
      <w:pPr>
        <w:pStyle w:val="Sraopastraipa"/>
        <w:numPr>
          <w:ilvl w:val="0"/>
          <w:numId w:val="9"/>
        </w:numPr>
        <w:jc w:val="both"/>
        <w:rPr>
          <w:lang w:val="lt-LT"/>
        </w:rPr>
      </w:pPr>
      <w:r w:rsidRPr="00703C0A">
        <w:rPr>
          <w:lang w:val="lt-LT"/>
        </w:rPr>
        <w:t>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45535739" w14:textId="3890FD95" w:rsidR="00F07E81" w:rsidRPr="00703C0A" w:rsidRDefault="00E51897" w:rsidP="00BE35FF">
      <w:pPr>
        <w:pStyle w:val="Sraopastraipa"/>
        <w:numPr>
          <w:ilvl w:val="0"/>
          <w:numId w:val="9"/>
        </w:numPr>
        <w:jc w:val="both"/>
        <w:rPr>
          <w:lang w:val="lt-LT"/>
        </w:rPr>
      </w:pPr>
      <w:r w:rsidRPr="00703C0A">
        <w:rPr>
          <w:lang w:val="lt-LT"/>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14DA03B" w14:textId="54088B90" w:rsidR="006B00B7" w:rsidRPr="00703C0A" w:rsidRDefault="00E51897" w:rsidP="006B00B7">
      <w:pPr>
        <w:pStyle w:val="Sraopastraipa"/>
        <w:numPr>
          <w:ilvl w:val="0"/>
          <w:numId w:val="9"/>
        </w:numPr>
        <w:jc w:val="both"/>
        <w:rPr>
          <w:lang w:val="lt-LT"/>
        </w:rPr>
      </w:pPr>
      <w:r w:rsidRPr="00703C0A">
        <w:rPr>
          <w:lang w:val="lt-LT"/>
        </w:rPr>
        <w:t xml:space="preserve">Darbai turi būti atlikti ne vėliau kaip  per </w:t>
      </w:r>
      <w:r w:rsidR="00BE35FF" w:rsidRPr="00703C0A">
        <w:rPr>
          <w:lang w:val="lt-LT"/>
        </w:rPr>
        <w:t>2 mėnesius</w:t>
      </w:r>
      <w:r w:rsidRPr="00703C0A">
        <w:rPr>
          <w:lang w:val="lt-LT"/>
        </w:rPr>
        <w:t xml:space="preserve"> nuo sutarties įsigaliojimo dienos. Darbų atlikimo terminas gali būti pratęstas, bet ne ilgesniam kaip 30 dienų laikotarpiui.</w:t>
      </w:r>
    </w:p>
    <w:p w14:paraId="7021B95F" w14:textId="0CBE9D14" w:rsidR="006B00B7" w:rsidRPr="00703C0A" w:rsidRDefault="00E51897" w:rsidP="006B00B7">
      <w:pPr>
        <w:pStyle w:val="Sraopastraipa"/>
        <w:numPr>
          <w:ilvl w:val="0"/>
          <w:numId w:val="9"/>
        </w:numPr>
        <w:jc w:val="both"/>
        <w:rPr>
          <w:lang w:val="lt-LT"/>
        </w:rPr>
      </w:pPr>
      <w:r w:rsidRPr="00703C0A">
        <w:rPr>
          <w:lang w:val="lt-LT"/>
        </w:rPr>
        <w:t>UAB „</w:t>
      </w:r>
      <w:r w:rsidR="00BE35FF" w:rsidRPr="00703C0A">
        <w:rPr>
          <w:lang w:val="lt-LT"/>
        </w:rPr>
        <w:t>Utenos butų ūkis</w:t>
      </w:r>
      <w:r w:rsidRPr="00703C0A">
        <w:rPr>
          <w:lang w:val="lt-LT"/>
        </w:rPr>
        <w:t>“ yra daugiabučių gyvenamųjų namų administratorius, o naudos gavėjai yra patalpų savininkai.</w:t>
      </w:r>
      <w:r w:rsidR="008F100B" w:rsidRPr="00703C0A">
        <w:rPr>
          <w:lang w:val="lt-LT"/>
        </w:rPr>
        <w:t xml:space="preserve"> </w:t>
      </w:r>
      <w:r w:rsidR="006B00B7" w:rsidRPr="00703C0A">
        <w:rPr>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Ind w:w="0" w:type="dxa"/>
        <w:tblLook w:val="04A0" w:firstRow="1" w:lastRow="0" w:firstColumn="1" w:lastColumn="0" w:noHBand="0" w:noVBand="1"/>
      </w:tblPr>
      <w:tblGrid>
        <w:gridCol w:w="409"/>
        <w:gridCol w:w="5682"/>
        <w:gridCol w:w="3118"/>
      </w:tblGrid>
      <w:tr w:rsidR="006B00B7" w:rsidRPr="00703C0A" w14:paraId="417836DC" w14:textId="77777777">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58D167D3" w14:textId="77777777" w:rsidR="006B00B7" w:rsidRPr="00703C0A" w:rsidRDefault="006B00B7">
            <w:pPr>
              <w:jc w:val="both"/>
              <w:rPr>
                <w:bCs/>
                <w:i/>
                <w:iCs/>
                <w:lang w:val="lt-LT" w:eastAsia="lt-LT"/>
              </w:rPr>
            </w:pPr>
            <w:r w:rsidRPr="00703C0A">
              <w:rPr>
                <w:i/>
                <w:iCs/>
                <w:lang w:val="lt-LT" w:eastAsia="lt-LT"/>
              </w:rPr>
              <w:t>Tiekėjas, kuris pagal vertinimo rezultatus galės</w:t>
            </w:r>
            <w:r w:rsidRPr="00703C0A">
              <w:rPr>
                <w:bCs/>
                <w:i/>
                <w:iCs/>
                <w:lang w:val="lt-LT" w:eastAsia="lt-LT"/>
              </w:rPr>
              <w:t xml:space="preserve"> būti pripažintas laimėjusiu, turės pateikti:</w:t>
            </w:r>
          </w:p>
          <w:p w14:paraId="7488DC4C" w14:textId="77777777" w:rsidR="006B00B7" w:rsidRPr="00703C0A" w:rsidRDefault="006B00B7">
            <w:pPr>
              <w:jc w:val="both"/>
              <w:rPr>
                <w:lang w:val="lt-LT" w:eastAsia="lt-LT"/>
              </w:rPr>
            </w:pPr>
          </w:p>
        </w:tc>
      </w:tr>
      <w:tr w:rsidR="006B00B7" w:rsidRPr="00703C0A" w14:paraId="43F73F76" w14:textId="77777777">
        <w:trPr>
          <w:jc w:val="center"/>
        </w:trPr>
        <w:tc>
          <w:tcPr>
            <w:tcW w:w="409" w:type="dxa"/>
            <w:tcBorders>
              <w:top w:val="single" w:sz="4" w:space="0" w:color="auto"/>
              <w:left w:val="single" w:sz="4" w:space="0" w:color="auto"/>
              <w:bottom w:val="single" w:sz="4" w:space="0" w:color="auto"/>
              <w:right w:val="single" w:sz="4" w:space="0" w:color="auto"/>
            </w:tcBorders>
          </w:tcPr>
          <w:p w14:paraId="3BDD7B73" w14:textId="77777777" w:rsidR="006B00B7" w:rsidRPr="00703C0A" w:rsidRDefault="006B00B7">
            <w:pPr>
              <w:jc w:val="both"/>
              <w:rPr>
                <w:lang w:val="lt-LT" w:eastAsia="lt-LT"/>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3AD5C956" w14:textId="77777777" w:rsidR="006B00B7" w:rsidRPr="00703C0A" w:rsidRDefault="006B00B7">
            <w:pPr>
              <w:jc w:val="both"/>
              <w:rPr>
                <w:b/>
                <w:bCs/>
                <w:i/>
                <w:iCs/>
                <w:lang w:val="lt-LT" w:eastAsia="lt-LT"/>
              </w:rPr>
            </w:pPr>
            <w:r w:rsidRPr="00703C0A">
              <w:rPr>
                <w:b/>
                <w:bCs/>
                <w:i/>
                <w:iCs/>
                <w:lang w:val="lt-LT" w:eastAsia="lt-LT"/>
              </w:rPr>
              <w:t>Minimalus aplinkos apsaugos kriterijus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99CAEC" w14:textId="77777777" w:rsidR="006B00B7" w:rsidRPr="00703C0A" w:rsidRDefault="006B00B7">
            <w:pPr>
              <w:jc w:val="both"/>
              <w:rPr>
                <w:b/>
                <w:bCs/>
                <w:i/>
                <w:iCs/>
                <w:lang w:val="lt-LT" w:eastAsia="lt-LT"/>
              </w:rPr>
            </w:pPr>
            <w:r w:rsidRPr="00703C0A">
              <w:rPr>
                <w:b/>
                <w:bCs/>
                <w:i/>
                <w:iCs/>
                <w:lang w:val="lt-LT" w:eastAsia="lt-LT"/>
              </w:rPr>
              <w:t>Minimalaus aplinkos apsaugos kriterijaus</w:t>
            </w:r>
          </w:p>
          <w:p w14:paraId="450AA20A" w14:textId="77777777" w:rsidR="006B00B7" w:rsidRPr="00703C0A" w:rsidRDefault="006B00B7">
            <w:pPr>
              <w:jc w:val="both"/>
              <w:rPr>
                <w:b/>
                <w:bCs/>
                <w:i/>
                <w:iCs/>
                <w:lang w:val="lt-LT" w:eastAsia="lt-LT"/>
              </w:rPr>
            </w:pPr>
            <w:r w:rsidRPr="00703C0A">
              <w:rPr>
                <w:b/>
                <w:bCs/>
                <w:i/>
                <w:iCs/>
                <w:lang w:val="lt-LT" w:eastAsia="lt-LT"/>
              </w:rPr>
              <w:t>atitiktį įrodantis dokumentas</w:t>
            </w:r>
          </w:p>
        </w:tc>
      </w:tr>
      <w:tr w:rsidR="006B00B7" w:rsidRPr="00703C0A" w14:paraId="366CEE46"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F4A65EF" w14:textId="77777777" w:rsidR="006B00B7" w:rsidRPr="00703C0A" w:rsidRDefault="006B00B7">
            <w:pPr>
              <w:jc w:val="both"/>
              <w:rPr>
                <w:lang w:val="lt-LT" w:eastAsia="lt-LT"/>
              </w:rPr>
            </w:pPr>
            <w:r w:rsidRPr="00703C0A">
              <w:rPr>
                <w:lang w:val="lt-LT" w:eastAsia="lt-LT"/>
              </w:rPr>
              <w:t>1.</w:t>
            </w:r>
          </w:p>
        </w:tc>
        <w:tc>
          <w:tcPr>
            <w:tcW w:w="5682" w:type="dxa"/>
            <w:tcBorders>
              <w:top w:val="single" w:sz="4" w:space="0" w:color="auto"/>
              <w:left w:val="single" w:sz="4" w:space="0" w:color="auto"/>
              <w:bottom w:val="single" w:sz="4" w:space="0" w:color="auto"/>
              <w:right w:val="single" w:sz="4" w:space="0" w:color="auto"/>
            </w:tcBorders>
            <w:hideMark/>
          </w:tcPr>
          <w:p w14:paraId="64357A62" w14:textId="77777777" w:rsidR="006B00B7" w:rsidRPr="00703C0A" w:rsidRDefault="006B00B7">
            <w:pPr>
              <w:jc w:val="both"/>
              <w:rPr>
                <w:lang w:val="lt-LT" w:eastAsia="lt-LT"/>
              </w:rPr>
            </w:pPr>
            <w:r w:rsidRPr="00703C0A">
              <w:rPr>
                <w:lang w:val="lt-LT" w:eastAsia="lt-LT"/>
              </w:rPr>
              <w:t xml:space="preserve">visose plastikinėse detalėse, kurių masė ≥ 50 g, švino ar kadmio junginiai neturi viršyti 100 </w:t>
            </w:r>
            <w:proofErr w:type="spellStart"/>
            <w:r w:rsidRPr="00703C0A">
              <w:rPr>
                <w:lang w:val="lt-LT" w:eastAsia="lt-LT"/>
              </w:rPr>
              <w:t>ppm</w:t>
            </w:r>
            <w:proofErr w:type="spellEnd"/>
            <w:r w:rsidRPr="00703C0A">
              <w:rPr>
                <w:lang w:val="lt-LT" w:eastAsia="lt-LT"/>
              </w:rPr>
              <w:t>;</w:t>
            </w:r>
          </w:p>
        </w:tc>
        <w:tc>
          <w:tcPr>
            <w:tcW w:w="3118" w:type="dxa"/>
            <w:vMerge w:val="restart"/>
            <w:tcBorders>
              <w:top w:val="single" w:sz="4" w:space="0" w:color="auto"/>
              <w:left w:val="single" w:sz="4" w:space="0" w:color="auto"/>
              <w:bottom w:val="single" w:sz="4" w:space="0" w:color="auto"/>
              <w:right w:val="single" w:sz="4" w:space="0" w:color="auto"/>
            </w:tcBorders>
          </w:tcPr>
          <w:p w14:paraId="72A4E57A" w14:textId="77777777" w:rsidR="006B00B7" w:rsidRPr="00703C0A" w:rsidRDefault="006B00B7">
            <w:pPr>
              <w:jc w:val="both"/>
              <w:rPr>
                <w:lang w:val="lt-LT" w:eastAsia="lt-LT"/>
              </w:rPr>
            </w:pPr>
          </w:p>
          <w:p w14:paraId="3B047E65" w14:textId="77777777" w:rsidR="006B00B7" w:rsidRPr="00703C0A" w:rsidRDefault="006B00B7">
            <w:pPr>
              <w:jc w:val="both"/>
              <w:rPr>
                <w:lang w:val="lt-LT" w:eastAsia="lt-LT"/>
              </w:rPr>
            </w:pPr>
            <w:r w:rsidRPr="00703C0A">
              <w:rPr>
                <w:lang w:val="lt-LT" w:eastAsia="lt-LT"/>
              </w:rPr>
              <w:t>a)</w:t>
            </w:r>
            <w:r w:rsidRPr="00703C0A">
              <w:rPr>
                <w:lang w:val="lt-LT" w:eastAsia="lt-LT"/>
              </w:rPr>
              <w:tab/>
              <w:t xml:space="preserve">Ekologinis ženklas </w:t>
            </w:r>
            <w:proofErr w:type="spellStart"/>
            <w:r w:rsidRPr="00703C0A">
              <w:rPr>
                <w:lang w:val="lt-LT" w:eastAsia="lt-LT"/>
              </w:rPr>
              <w:t>Nordic</w:t>
            </w:r>
            <w:proofErr w:type="spellEnd"/>
            <w:r w:rsidRPr="00703C0A">
              <w:rPr>
                <w:lang w:val="lt-LT" w:eastAsia="lt-LT"/>
              </w:rPr>
              <w:t xml:space="preserve"> </w:t>
            </w:r>
            <w:proofErr w:type="spellStart"/>
            <w:r w:rsidRPr="00703C0A">
              <w:rPr>
                <w:lang w:val="lt-LT" w:eastAsia="lt-LT"/>
              </w:rPr>
              <w:t>Swan</w:t>
            </w:r>
            <w:proofErr w:type="spellEnd"/>
            <w:r w:rsidRPr="00703C0A">
              <w:rPr>
                <w:lang w:val="lt-LT" w:eastAsia="lt-LT"/>
              </w:rPr>
              <w:t xml:space="preserve"> arba kitas I tipo ekologinis ženklas (sertifikatas), kuris įrodytų atitiktį nustatytiems reikalavimams, </w:t>
            </w:r>
          </w:p>
          <w:p w14:paraId="3671B2F2" w14:textId="77777777" w:rsidR="006B00B7" w:rsidRPr="00703C0A" w:rsidRDefault="006B00B7">
            <w:pPr>
              <w:jc w:val="both"/>
              <w:rPr>
                <w:lang w:val="lt-LT" w:eastAsia="lt-LT"/>
              </w:rPr>
            </w:pPr>
          </w:p>
          <w:p w14:paraId="42EAC7FA" w14:textId="77777777" w:rsidR="006B00B7" w:rsidRPr="00703C0A" w:rsidRDefault="006B00B7">
            <w:pPr>
              <w:jc w:val="both"/>
              <w:rPr>
                <w:lang w:val="lt-LT" w:eastAsia="lt-LT"/>
              </w:rPr>
            </w:pPr>
            <w:r w:rsidRPr="00703C0A">
              <w:rPr>
                <w:lang w:val="lt-LT" w:eastAsia="lt-LT"/>
              </w:rPr>
              <w:t>arba</w:t>
            </w:r>
          </w:p>
          <w:p w14:paraId="4406A866" w14:textId="77777777" w:rsidR="006B00B7" w:rsidRPr="00703C0A" w:rsidRDefault="006B00B7">
            <w:pPr>
              <w:jc w:val="both"/>
              <w:rPr>
                <w:lang w:val="lt-LT" w:eastAsia="lt-LT"/>
              </w:rPr>
            </w:pPr>
          </w:p>
          <w:p w14:paraId="4E771E15" w14:textId="77777777" w:rsidR="006B00B7" w:rsidRPr="00703C0A" w:rsidRDefault="006B00B7">
            <w:pPr>
              <w:jc w:val="both"/>
              <w:rPr>
                <w:lang w:val="lt-LT" w:eastAsia="lt-LT"/>
              </w:rPr>
            </w:pPr>
            <w:r w:rsidRPr="00703C0A">
              <w:rPr>
                <w:lang w:val="lt-LT" w:eastAsia="lt-LT"/>
              </w:rPr>
              <w:t>b)</w:t>
            </w:r>
            <w:r w:rsidRPr="00703C0A">
              <w:rPr>
                <w:lang w:val="lt-LT" w:eastAsia="lt-LT"/>
              </w:rPr>
              <w:tab/>
              <w:t xml:space="preserve">gamintojo ir (ar) tiekėjo deklaracija (pateikiant objektyvius įrodymus), </w:t>
            </w:r>
          </w:p>
          <w:p w14:paraId="4AC9DAFA" w14:textId="77777777" w:rsidR="006B00B7" w:rsidRPr="00703C0A" w:rsidRDefault="006B00B7">
            <w:pPr>
              <w:jc w:val="both"/>
              <w:rPr>
                <w:lang w:val="lt-LT" w:eastAsia="lt-LT"/>
              </w:rPr>
            </w:pPr>
          </w:p>
          <w:p w14:paraId="3CE2905F" w14:textId="77777777" w:rsidR="006B00B7" w:rsidRPr="00703C0A" w:rsidRDefault="006B00B7">
            <w:pPr>
              <w:jc w:val="both"/>
              <w:rPr>
                <w:lang w:val="lt-LT" w:eastAsia="lt-LT"/>
              </w:rPr>
            </w:pPr>
            <w:r w:rsidRPr="00703C0A">
              <w:rPr>
                <w:lang w:val="lt-LT" w:eastAsia="lt-LT"/>
              </w:rPr>
              <w:t xml:space="preserve">arba </w:t>
            </w:r>
          </w:p>
          <w:p w14:paraId="5AC96766" w14:textId="77777777" w:rsidR="006B00B7" w:rsidRPr="00703C0A" w:rsidRDefault="006B00B7">
            <w:pPr>
              <w:jc w:val="both"/>
              <w:rPr>
                <w:lang w:val="lt-LT" w:eastAsia="lt-LT"/>
              </w:rPr>
            </w:pPr>
          </w:p>
          <w:p w14:paraId="7B909A8E" w14:textId="77777777" w:rsidR="006B00B7" w:rsidRPr="00703C0A" w:rsidRDefault="006B00B7">
            <w:pPr>
              <w:jc w:val="both"/>
              <w:rPr>
                <w:lang w:val="lt-LT" w:eastAsia="lt-LT"/>
              </w:rPr>
            </w:pPr>
          </w:p>
          <w:p w14:paraId="75862601" w14:textId="77777777" w:rsidR="006B00B7" w:rsidRPr="00703C0A" w:rsidRDefault="006B00B7">
            <w:pPr>
              <w:jc w:val="both"/>
              <w:rPr>
                <w:lang w:val="lt-LT" w:eastAsia="lt-LT"/>
              </w:rPr>
            </w:pPr>
            <w:r w:rsidRPr="00703C0A">
              <w:rPr>
                <w:lang w:val="lt-LT" w:eastAsia="lt-LT"/>
              </w:rPr>
              <w:t>c) kiti lygiaverčiai įrodymai.</w:t>
            </w:r>
          </w:p>
        </w:tc>
      </w:tr>
      <w:tr w:rsidR="006B00B7" w:rsidRPr="00703C0A" w14:paraId="2ED3F549"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0BFDBB4A" w14:textId="77777777" w:rsidR="006B00B7" w:rsidRPr="00703C0A" w:rsidRDefault="006B00B7">
            <w:pPr>
              <w:jc w:val="both"/>
              <w:rPr>
                <w:lang w:val="lt-LT" w:eastAsia="lt-LT"/>
              </w:rPr>
            </w:pPr>
            <w:r w:rsidRPr="00703C0A">
              <w:rPr>
                <w:lang w:val="lt-LT" w:eastAsia="lt-LT"/>
              </w:rPr>
              <w:t>2.</w:t>
            </w:r>
          </w:p>
        </w:tc>
        <w:tc>
          <w:tcPr>
            <w:tcW w:w="5682" w:type="dxa"/>
            <w:tcBorders>
              <w:top w:val="single" w:sz="4" w:space="0" w:color="auto"/>
              <w:left w:val="single" w:sz="4" w:space="0" w:color="auto"/>
              <w:bottom w:val="single" w:sz="4" w:space="0" w:color="auto"/>
              <w:right w:val="single" w:sz="4" w:space="0" w:color="auto"/>
            </w:tcBorders>
            <w:hideMark/>
          </w:tcPr>
          <w:p w14:paraId="2006C0C7" w14:textId="77777777" w:rsidR="006B00B7" w:rsidRPr="00703C0A" w:rsidRDefault="006B00B7">
            <w:pPr>
              <w:jc w:val="both"/>
              <w:rPr>
                <w:lang w:val="lt-LT" w:eastAsia="lt-LT"/>
              </w:rPr>
            </w:pPr>
            <w:r w:rsidRPr="00703C0A">
              <w:rPr>
                <w:lang w:val="lt-LT" w:eastAsia="lt-LT"/>
              </w:rPr>
              <w:t>visos plastikinės detalės, kurių masė ≥ 50 g, turi būti paženklintos pagal LST EN ISO 11469 ar lygiavertį standartą;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E634A" w14:textId="77777777" w:rsidR="006B00B7" w:rsidRPr="00703C0A" w:rsidRDefault="006B00B7">
            <w:pPr>
              <w:rPr>
                <w:lang w:val="lt-LT" w:eastAsia="lt-LT"/>
              </w:rPr>
            </w:pPr>
          </w:p>
        </w:tc>
      </w:tr>
      <w:tr w:rsidR="006B00B7" w:rsidRPr="00703C0A" w14:paraId="78E83185"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1475BE79" w14:textId="77777777" w:rsidR="006B00B7" w:rsidRPr="00703C0A" w:rsidRDefault="006B00B7">
            <w:pPr>
              <w:jc w:val="both"/>
              <w:rPr>
                <w:lang w:val="lt-LT" w:eastAsia="lt-LT"/>
              </w:rPr>
            </w:pPr>
            <w:r w:rsidRPr="00703C0A">
              <w:rPr>
                <w:lang w:val="lt-LT" w:eastAsia="lt-LT"/>
              </w:rPr>
              <w:t>3.</w:t>
            </w:r>
          </w:p>
        </w:tc>
        <w:tc>
          <w:tcPr>
            <w:tcW w:w="5682" w:type="dxa"/>
            <w:tcBorders>
              <w:top w:val="single" w:sz="4" w:space="0" w:color="auto"/>
              <w:left w:val="single" w:sz="4" w:space="0" w:color="auto"/>
              <w:bottom w:val="single" w:sz="4" w:space="0" w:color="auto"/>
              <w:right w:val="single" w:sz="4" w:space="0" w:color="auto"/>
            </w:tcBorders>
            <w:hideMark/>
          </w:tcPr>
          <w:p w14:paraId="0418F057" w14:textId="77777777" w:rsidR="006B00B7" w:rsidRPr="00703C0A" w:rsidRDefault="006B00B7">
            <w:pPr>
              <w:jc w:val="both"/>
              <w:rPr>
                <w:lang w:val="lt-LT" w:eastAsia="lt-LT"/>
              </w:rPr>
            </w:pPr>
            <w:r w:rsidRPr="00703C0A">
              <w:rPr>
                <w:lang w:val="lt-LT" w:eastAsia="lt-LT"/>
              </w:rPr>
              <w:t>produkte neturi būti naudojamas poveikį šiltnamio efektui darantis dujų užpildas, kurio globalinio šiltėjimo potencialas (GWP) &gt; 5 (per 100 metų laikotarpį);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8FEEA" w14:textId="77777777" w:rsidR="006B00B7" w:rsidRPr="00703C0A" w:rsidRDefault="006B00B7">
            <w:pPr>
              <w:rPr>
                <w:lang w:val="lt-LT" w:eastAsia="lt-LT"/>
              </w:rPr>
            </w:pPr>
          </w:p>
        </w:tc>
      </w:tr>
      <w:tr w:rsidR="006B00B7" w:rsidRPr="00703C0A" w14:paraId="4B1C5AF1"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EC0A556" w14:textId="77777777" w:rsidR="006B00B7" w:rsidRPr="00703C0A" w:rsidRDefault="006B00B7">
            <w:pPr>
              <w:jc w:val="both"/>
              <w:rPr>
                <w:lang w:val="lt-LT" w:eastAsia="lt-LT"/>
              </w:rPr>
            </w:pPr>
            <w:r w:rsidRPr="00703C0A">
              <w:rPr>
                <w:lang w:val="lt-LT" w:eastAsia="lt-LT"/>
              </w:rPr>
              <w:t>4.</w:t>
            </w:r>
          </w:p>
        </w:tc>
        <w:tc>
          <w:tcPr>
            <w:tcW w:w="5682" w:type="dxa"/>
            <w:tcBorders>
              <w:top w:val="single" w:sz="4" w:space="0" w:color="auto"/>
              <w:left w:val="single" w:sz="4" w:space="0" w:color="auto"/>
              <w:bottom w:val="single" w:sz="4" w:space="0" w:color="auto"/>
              <w:right w:val="single" w:sz="4" w:space="0" w:color="auto"/>
            </w:tcBorders>
            <w:hideMark/>
          </w:tcPr>
          <w:p w14:paraId="3F93D558" w14:textId="77777777" w:rsidR="006B00B7" w:rsidRPr="00703C0A" w:rsidRDefault="006B00B7">
            <w:pPr>
              <w:jc w:val="both"/>
              <w:rPr>
                <w:lang w:val="lt-LT" w:eastAsia="lt-LT"/>
              </w:rPr>
            </w:pPr>
            <w:r w:rsidRPr="00703C0A">
              <w:rPr>
                <w:lang w:val="lt-LT" w:eastAsia="lt-LT"/>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C699C" w14:textId="77777777" w:rsidR="006B00B7" w:rsidRPr="00703C0A" w:rsidRDefault="006B00B7">
            <w:pPr>
              <w:rPr>
                <w:lang w:val="lt-LT" w:eastAsia="lt-LT"/>
              </w:rPr>
            </w:pPr>
          </w:p>
        </w:tc>
      </w:tr>
    </w:tbl>
    <w:p w14:paraId="4553573B" w14:textId="4C950666" w:rsidR="00E51897" w:rsidRPr="00703C0A" w:rsidRDefault="00E51897" w:rsidP="006B00B7">
      <w:pPr>
        <w:pStyle w:val="Sraopastraipa"/>
        <w:ind w:left="1068"/>
        <w:jc w:val="both"/>
        <w:rPr>
          <w:lang w:val="lt-LT"/>
        </w:rPr>
      </w:pPr>
    </w:p>
    <w:p w14:paraId="4553573C" w14:textId="77777777" w:rsidR="00E51897" w:rsidRPr="00703C0A" w:rsidRDefault="00E51897" w:rsidP="00E51897">
      <w:pPr>
        <w:numPr>
          <w:ilvl w:val="0"/>
          <w:numId w:val="9"/>
        </w:numPr>
        <w:jc w:val="both"/>
        <w:rPr>
          <w:lang w:val="lt-LT"/>
        </w:rPr>
      </w:pPr>
      <w:r w:rsidRPr="00703C0A">
        <w:rPr>
          <w:lang w:val="lt-LT"/>
        </w:rPr>
        <w:t>Tiekėjas privalo pristatyti medžiag</w:t>
      </w:r>
      <w:r w:rsidR="00F07E81" w:rsidRPr="00703C0A">
        <w:rPr>
          <w:lang w:val="lt-LT"/>
        </w:rPr>
        <w:t>a</w:t>
      </w:r>
      <w:r w:rsidRPr="00703C0A">
        <w:rPr>
          <w:lang w:val="lt-LT"/>
        </w:rPr>
        <w:t>s ne kelių eismo piko valandomis; pirmadieniais-ketvirtadieniais nuo 14:30 iki 16:00 val.,</w:t>
      </w:r>
      <w:r w:rsidR="00F07E81" w:rsidRPr="00703C0A">
        <w:rPr>
          <w:lang w:val="lt-LT"/>
        </w:rPr>
        <w:t xml:space="preserve"> </w:t>
      </w:r>
      <w:r w:rsidRPr="00703C0A">
        <w:rPr>
          <w:lang w:val="lt-LT"/>
        </w:rPr>
        <w:t>penktadieniais ir švenčių dienų išvakarėse nuo 13:00 iki 14:00 val.</w:t>
      </w:r>
    </w:p>
    <w:p w14:paraId="4553573D" w14:textId="22627F21" w:rsidR="001850B5" w:rsidRPr="00703C0A" w:rsidRDefault="001850B5" w:rsidP="00E51897">
      <w:pPr>
        <w:numPr>
          <w:ilvl w:val="0"/>
          <w:numId w:val="9"/>
        </w:numPr>
        <w:jc w:val="both"/>
        <w:rPr>
          <w:lang w:val="lt-LT"/>
        </w:rPr>
      </w:pPr>
      <w:r w:rsidRPr="00703C0A">
        <w:rPr>
          <w:lang w:val="lt-LT"/>
        </w:rPr>
        <w:t>Langų tipas ir kiekis</w:t>
      </w:r>
      <w:r w:rsidR="00BE35FF" w:rsidRPr="00703C0A">
        <w:rPr>
          <w:lang w:val="lt-LT"/>
        </w:rPr>
        <w:t>:</w:t>
      </w:r>
    </w:p>
    <w:p w14:paraId="4553573E" w14:textId="77777777" w:rsidR="00E51897" w:rsidRPr="00703C0A" w:rsidRDefault="00E51897" w:rsidP="00E51897">
      <w:pPr>
        <w:ind w:left="1210"/>
        <w:jc w:val="both"/>
        <w:rPr>
          <w:lang w:val="lt-LT"/>
        </w:rPr>
      </w:pPr>
    </w:p>
    <w:p w14:paraId="326A652E" w14:textId="77777777" w:rsidR="00703C0A" w:rsidRPr="00703C0A" w:rsidRDefault="00703C0A" w:rsidP="00D7312A">
      <w:pPr>
        <w:tabs>
          <w:tab w:val="left" w:pos="142"/>
        </w:tabs>
        <w:ind w:left="284"/>
        <w:jc w:val="both"/>
        <w:rPr>
          <w:lang w:val="lt-LT"/>
        </w:rPr>
      </w:pPr>
    </w:p>
    <w:p w14:paraId="595D8B45" w14:textId="77777777" w:rsidR="00703C0A" w:rsidRPr="00703C0A" w:rsidRDefault="00703C0A" w:rsidP="00D7312A">
      <w:pPr>
        <w:tabs>
          <w:tab w:val="left" w:pos="142"/>
        </w:tabs>
        <w:ind w:left="284"/>
        <w:jc w:val="both"/>
        <w:rPr>
          <w:lang w:val="lt-LT"/>
        </w:rPr>
      </w:pPr>
    </w:p>
    <w:p w14:paraId="4553573F" w14:textId="36B859E6" w:rsidR="005A778E" w:rsidRPr="00703C0A" w:rsidRDefault="001850B5" w:rsidP="00D7312A">
      <w:pPr>
        <w:tabs>
          <w:tab w:val="left" w:pos="142"/>
        </w:tabs>
        <w:ind w:left="284"/>
        <w:jc w:val="both"/>
        <w:rPr>
          <w:lang w:val="lt-LT"/>
        </w:rPr>
      </w:pPr>
      <w:r w:rsidRPr="00703C0A">
        <w:rPr>
          <w:lang w:val="lt-LT"/>
        </w:rPr>
        <w:lastRenderedPageBreak/>
        <w:t>Eskizas:</w:t>
      </w:r>
    </w:p>
    <w:p w14:paraId="45535740" w14:textId="77777777" w:rsidR="00770F0F" w:rsidRPr="00703C0A" w:rsidRDefault="00770F0F" w:rsidP="00D7312A">
      <w:pPr>
        <w:tabs>
          <w:tab w:val="left" w:pos="142"/>
        </w:tabs>
        <w:ind w:left="284"/>
        <w:jc w:val="both"/>
        <w:rPr>
          <w:lang w:val="lt-LT"/>
        </w:rPr>
      </w:pPr>
    </w:p>
    <w:p w14:paraId="4553574F" w14:textId="0125BCAA" w:rsidR="00494311" w:rsidRPr="00703C0A" w:rsidRDefault="00BE35FF" w:rsidP="00494311">
      <w:pPr>
        <w:tabs>
          <w:tab w:val="left" w:pos="1125"/>
        </w:tabs>
        <w:rPr>
          <w:lang w:val="lt-LT"/>
        </w:rPr>
      </w:pPr>
      <w:r w:rsidRPr="00703C0A">
        <w:rPr>
          <w:noProof/>
          <w:lang w:bidi="lt-LT"/>
        </w:rPr>
        <w:drawing>
          <wp:inline distT="0" distB="0" distL="0" distR="0" wp14:anchorId="1FC386F3" wp14:editId="2B1CCCCE">
            <wp:extent cx="5044440" cy="3162300"/>
            <wp:effectExtent l="0" t="0" r="3810" b="0"/>
            <wp:docPr id="8937396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440" cy="3162300"/>
                    </a:xfrm>
                    <a:prstGeom prst="rect">
                      <a:avLst/>
                    </a:prstGeom>
                    <a:noFill/>
                    <a:ln>
                      <a:noFill/>
                    </a:ln>
                  </pic:spPr>
                </pic:pic>
              </a:graphicData>
            </a:graphic>
          </wp:inline>
        </w:drawing>
      </w:r>
    </w:p>
    <w:p w14:paraId="618E6689" w14:textId="77777777" w:rsidR="00BE35FF" w:rsidRPr="00703C0A" w:rsidRDefault="00BE35FF" w:rsidP="00494311">
      <w:pPr>
        <w:tabs>
          <w:tab w:val="left" w:pos="1125"/>
        </w:tabs>
        <w:rPr>
          <w:lang w:val="lt-LT"/>
        </w:rPr>
      </w:pPr>
    </w:p>
    <w:p w14:paraId="3F701DB7" w14:textId="5C598C53" w:rsidR="00BE35FF" w:rsidRPr="00BE35FF" w:rsidRDefault="00BE35FF" w:rsidP="00BE35FF">
      <w:pPr>
        <w:tabs>
          <w:tab w:val="left" w:pos="1125"/>
        </w:tabs>
        <w:jc w:val="center"/>
        <w:rPr>
          <w:lang w:val="lt-LT"/>
        </w:rPr>
      </w:pPr>
      <w:r w:rsidRPr="00703C0A">
        <w:rPr>
          <w:lang w:val="lt-LT"/>
        </w:rPr>
        <w:t>__________________________________________________</w:t>
      </w:r>
    </w:p>
    <w:sectPr w:rsidR="00BE35FF" w:rsidRPr="00BE35FF" w:rsidSect="00E45B32">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D200" w14:textId="77777777" w:rsidR="00B841A7" w:rsidRDefault="00B841A7" w:rsidP="00864869">
      <w:r>
        <w:separator/>
      </w:r>
    </w:p>
  </w:endnote>
  <w:endnote w:type="continuationSeparator" w:id="0">
    <w:p w14:paraId="4F128FED" w14:textId="77777777" w:rsidR="00B841A7" w:rsidRDefault="00B841A7" w:rsidP="0086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3735" w14:textId="77777777" w:rsidR="00B841A7" w:rsidRDefault="00B841A7" w:rsidP="00864869">
      <w:r>
        <w:separator/>
      </w:r>
    </w:p>
  </w:footnote>
  <w:footnote w:type="continuationSeparator" w:id="0">
    <w:p w14:paraId="5D8C8921" w14:textId="77777777" w:rsidR="00B841A7" w:rsidRDefault="00B841A7" w:rsidP="0086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C29"/>
    <w:multiLevelType w:val="multilevel"/>
    <w:tmpl w:val="3710E93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B9B6D4E"/>
    <w:multiLevelType w:val="hybridMultilevel"/>
    <w:tmpl w:val="43662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924E3"/>
    <w:multiLevelType w:val="hybridMultilevel"/>
    <w:tmpl w:val="E6087FE8"/>
    <w:lvl w:ilvl="0" w:tplc="1B72539E">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E8230B"/>
    <w:multiLevelType w:val="multilevel"/>
    <w:tmpl w:val="43848D98"/>
    <w:lvl w:ilvl="0">
      <w:start w:val="1"/>
      <w:numFmt w:val="decimal"/>
      <w:lvlText w:val="3.%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DA223B"/>
    <w:multiLevelType w:val="hybridMultilevel"/>
    <w:tmpl w:val="39409C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EBE1CED"/>
    <w:multiLevelType w:val="multilevel"/>
    <w:tmpl w:val="C1FA0CE8"/>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F4A16FC"/>
    <w:multiLevelType w:val="multilevel"/>
    <w:tmpl w:val="0AC45224"/>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8F19AD"/>
    <w:multiLevelType w:val="multilevel"/>
    <w:tmpl w:val="A6CED5AA"/>
    <w:lvl w:ilvl="0">
      <w:start w:val="4"/>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C3C28DB"/>
    <w:multiLevelType w:val="multilevel"/>
    <w:tmpl w:val="8390B71E"/>
    <w:lvl w:ilvl="0">
      <w:start w:val="1"/>
      <w:numFmt w:val="decimal"/>
      <w:lvlText w:val="%1."/>
      <w:lvlJc w:val="left"/>
      <w:pPr>
        <w:ind w:left="1068" w:hanging="360"/>
      </w:pPr>
      <w:rPr>
        <w:b w:val="0"/>
        <w:bCs/>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5DE84E99"/>
    <w:multiLevelType w:val="multilevel"/>
    <w:tmpl w:val="ED7C51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6796231D"/>
    <w:multiLevelType w:val="multilevel"/>
    <w:tmpl w:val="F90248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6" w15:restartNumberingAfterBreak="0">
    <w:nsid w:val="71E06EBB"/>
    <w:multiLevelType w:val="multilevel"/>
    <w:tmpl w:val="753A9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16cid:durableId="988828094">
    <w:abstractNumId w:val="15"/>
  </w:num>
  <w:num w:numId="2" w16cid:durableId="560942934">
    <w:abstractNumId w:val="2"/>
  </w:num>
  <w:num w:numId="3" w16cid:durableId="1515916595">
    <w:abstractNumId w:val="16"/>
  </w:num>
  <w:num w:numId="4" w16cid:durableId="203446624">
    <w:abstractNumId w:val="14"/>
  </w:num>
  <w:num w:numId="5" w16cid:durableId="671108337">
    <w:abstractNumId w:val="0"/>
  </w:num>
  <w:num w:numId="6" w16cid:durableId="770971210">
    <w:abstractNumId w:val="8"/>
  </w:num>
  <w:num w:numId="7" w16cid:durableId="656883424">
    <w:abstractNumId w:val="9"/>
  </w:num>
  <w:num w:numId="8" w16cid:durableId="761754092">
    <w:abstractNumId w:val="12"/>
  </w:num>
  <w:num w:numId="9" w16cid:durableId="1703356626">
    <w:abstractNumId w:val="13"/>
  </w:num>
  <w:num w:numId="10" w16cid:durableId="593512294">
    <w:abstractNumId w:val="7"/>
  </w:num>
  <w:num w:numId="11" w16cid:durableId="1100564943">
    <w:abstractNumId w:val="3"/>
  </w:num>
  <w:num w:numId="12" w16cid:durableId="262037694">
    <w:abstractNumId w:val="1"/>
  </w:num>
  <w:num w:numId="13" w16cid:durableId="1526403184">
    <w:abstractNumId w:val="6"/>
  </w:num>
  <w:num w:numId="14" w16cid:durableId="1654987435">
    <w:abstractNumId w:val="4"/>
  </w:num>
  <w:num w:numId="15" w16cid:durableId="869336370">
    <w:abstractNumId w:val="11"/>
  </w:num>
  <w:num w:numId="16" w16cid:durableId="1318998635">
    <w:abstractNumId w:val="10"/>
  </w:num>
  <w:num w:numId="17" w16cid:durableId="258831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D0"/>
    <w:rsid w:val="0002009E"/>
    <w:rsid w:val="00030A10"/>
    <w:rsid w:val="00082A83"/>
    <w:rsid w:val="00083CBE"/>
    <w:rsid w:val="000B2E2F"/>
    <w:rsid w:val="00125C8A"/>
    <w:rsid w:val="001778BC"/>
    <w:rsid w:val="001850B5"/>
    <w:rsid w:val="001A7CF8"/>
    <w:rsid w:val="001B0F1C"/>
    <w:rsid w:val="001B25E6"/>
    <w:rsid w:val="001E13E7"/>
    <w:rsid w:val="001E32FA"/>
    <w:rsid w:val="00205336"/>
    <w:rsid w:val="002202EF"/>
    <w:rsid w:val="00246F8E"/>
    <w:rsid w:val="0025381D"/>
    <w:rsid w:val="002612AB"/>
    <w:rsid w:val="00281D93"/>
    <w:rsid w:val="00293F71"/>
    <w:rsid w:val="002A012E"/>
    <w:rsid w:val="002D4AC3"/>
    <w:rsid w:val="00316470"/>
    <w:rsid w:val="00322B53"/>
    <w:rsid w:val="00337ADD"/>
    <w:rsid w:val="00354382"/>
    <w:rsid w:val="0036020F"/>
    <w:rsid w:val="003B6BCE"/>
    <w:rsid w:val="004403F2"/>
    <w:rsid w:val="0046066A"/>
    <w:rsid w:val="00494311"/>
    <w:rsid w:val="004A27D6"/>
    <w:rsid w:val="00506538"/>
    <w:rsid w:val="00521947"/>
    <w:rsid w:val="00533EEF"/>
    <w:rsid w:val="00581B73"/>
    <w:rsid w:val="005A778E"/>
    <w:rsid w:val="005B1C1E"/>
    <w:rsid w:val="005D30F5"/>
    <w:rsid w:val="005D3211"/>
    <w:rsid w:val="005F7252"/>
    <w:rsid w:val="00602018"/>
    <w:rsid w:val="00607D67"/>
    <w:rsid w:val="00614A22"/>
    <w:rsid w:val="00646DFE"/>
    <w:rsid w:val="0066207B"/>
    <w:rsid w:val="00683B19"/>
    <w:rsid w:val="006B00B7"/>
    <w:rsid w:val="006E0DF8"/>
    <w:rsid w:val="006F1DC6"/>
    <w:rsid w:val="00703C0A"/>
    <w:rsid w:val="00705331"/>
    <w:rsid w:val="00705BA9"/>
    <w:rsid w:val="007127C6"/>
    <w:rsid w:val="00762FD0"/>
    <w:rsid w:val="00767D68"/>
    <w:rsid w:val="00770F0F"/>
    <w:rsid w:val="007925D1"/>
    <w:rsid w:val="00795586"/>
    <w:rsid w:val="007B61DE"/>
    <w:rsid w:val="007C2500"/>
    <w:rsid w:val="007E1BAA"/>
    <w:rsid w:val="008515AC"/>
    <w:rsid w:val="00864869"/>
    <w:rsid w:val="0086509C"/>
    <w:rsid w:val="0087320C"/>
    <w:rsid w:val="0088021C"/>
    <w:rsid w:val="008B5088"/>
    <w:rsid w:val="008C0016"/>
    <w:rsid w:val="008D54C8"/>
    <w:rsid w:val="008F100B"/>
    <w:rsid w:val="00904149"/>
    <w:rsid w:val="00907457"/>
    <w:rsid w:val="00982D72"/>
    <w:rsid w:val="009A078F"/>
    <w:rsid w:val="009A5D72"/>
    <w:rsid w:val="009C067C"/>
    <w:rsid w:val="00A01835"/>
    <w:rsid w:val="00A062FA"/>
    <w:rsid w:val="00A12FED"/>
    <w:rsid w:val="00A25EAD"/>
    <w:rsid w:val="00A4092A"/>
    <w:rsid w:val="00A737F3"/>
    <w:rsid w:val="00AB3CCF"/>
    <w:rsid w:val="00AD23BB"/>
    <w:rsid w:val="00AE0644"/>
    <w:rsid w:val="00B04AA7"/>
    <w:rsid w:val="00B142A3"/>
    <w:rsid w:val="00B24EF4"/>
    <w:rsid w:val="00B31070"/>
    <w:rsid w:val="00B347DD"/>
    <w:rsid w:val="00B82AE3"/>
    <w:rsid w:val="00B841A7"/>
    <w:rsid w:val="00B8794F"/>
    <w:rsid w:val="00BB3AB5"/>
    <w:rsid w:val="00BC32B5"/>
    <w:rsid w:val="00BC79AA"/>
    <w:rsid w:val="00BD7C6B"/>
    <w:rsid w:val="00BE35FF"/>
    <w:rsid w:val="00BE71B5"/>
    <w:rsid w:val="00C043BF"/>
    <w:rsid w:val="00C52930"/>
    <w:rsid w:val="00C93DFB"/>
    <w:rsid w:val="00CD43BF"/>
    <w:rsid w:val="00CD7138"/>
    <w:rsid w:val="00CE3D9A"/>
    <w:rsid w:val="00D00BA9"/>
    <w:rsid w:val="00D01139"/>
    <w:rsid w:val="00D02A29"/>
    <w:rsid w:val="00D2097D"/>
    <w:rsid w:val="00D36A8D"/>
    <w:rsid w:val="00D7312A"/>
    <w:rsid w:val="00D77CB4"/>
    <w:rsid w:val="00D9662B"/>
    <w:rsid w:val="00DF77B1"/>
    <w:rsid w:val="00E02800"/>
    <w:rsid w:val="00E0481F"/>
    <w:rsid w:val="00E45B32"/>
    <w:rsid w:val="00E51897"/>
    <w:rsid w:val="00E56241"/>
    <w:rsid w:val="00E63952"/>
    <w:rsid w:val="00E80B38"/>
    <w:rsid w:val="00EA1EEA"/>
    <w:rsid w:val="00ED06DE"/>
    <w:rsid w:val="00ED4FD2"/>
    <w:rsid w:val="00EE32CA"/>
    <w:rsid w:val="00F07E81"/>
    <w:rsid w:val="00F15A20"/>
    <w:rsid w:val="00F31DC4"/>
    <w:rsid w:val="00FA539A"/>
    <w:rsid w:val="00FB7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35715"/>
  <w15:chartTrackingRefBased/>
  <w15:docId w15:val="{19C0D8BF-11B5-4AEB-B333-DF60536A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2FD0"/>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D3211"/>
    <w:rPr>
      <w:rFonts w:ascii="Tahoma" w:hAnsi="Tahoma" w:cs="Tahoma"/>
      <w:sz w:val="16"/>
      <w:szCs w:val="16"/>
    </w:rPr>
  </w:style>
  <w:style w:type="paragraph" w:styleId="Antrats">
    <w:name w:val="header"/>
    <w:basedOn w:val="prastasis"/>
    <w:link w:val="AntratsDiagrama"/>
    <w:rsid w:val="00864869"/>
    <w:pPr>
      <w:tabs>
        <w:tab w:val="center" w:pos="4513"/>
        <w:tab w:val="right" w:pos="9026"/>
      </w:tabs>
    </w:pPr>
  </w:style>
  <w:style w:type="character" w:customStyle="1" w:styleId="AntratsDiagrama">
    <w:name w:val="Antraštės Diagrama"/>
    <w:link w:val="Antrats"/>
    <w:rsid w:val="00864869"/>
    <w:rPr>
      <w:sz w:val="24"/>
      <w:szCs w:val="24"/>
      <w:lang w:val="ru-RU" w:eastAsia="ru-RU"/>
    </w:rPr>
  </w:style>
  <w:style w:type="paragraph" w:styleId="Porat">
    <w:name w:val="footer"/>
    <w:basedOn w:val="prastasis"/>
    <w:link w:val="PoratDiagrama"/>
    <w:rsid w:val="00864869"/>
    <w:pPr>
      <w:tabs>
        <w:tab w:val="center" w:pos="4513"/>
        <w:tab w:val="right" w:pos="9026"/>
      </w:tabs>
    </w:pPr>
  </w:style>
  <w:style w:type="character" w:customStyle="1" w:styleId="PoratDiagrama">
    <w:name w:val="Poraštė Diagrama"/>
    <w:link w:val="Porat"/>
    <w:rsid w:val="00864869"/>
    <w:rPr>
      <w:sz w:val="24"/>
      <w:szCs w:val="24"/>
      <w:lang w:val="ru-RU" w:eastAsia="ru-RU"/>
    </w:rPr>
  </w:style>
  <w:style w:type="paragraph" w:styleId="Sraopastraipa">
    <w:name w:val="List Paragraph"/>
    <w:basedOn w:val="prastasis"/>
    <w:uiPriority w:val="34"/>
    <w:qFormat/>
    <w:rsid w:val="001B0F1C"/>
    <w:pPr>
      <w:ind w:left="720"/>
      <w:contextualSpacing/>
    </w:pPr>
  </w:style>
  <w:style w:type="table" w:styleId="Lentelstinklelis">
    <w:name w:val="Table Grid"/>
    <w:basedOn w:val="prastojilentel"/>
    <w:rsid w:val="006B00B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7709-725D-4F5C-9F25-72432C8E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4185</Words>
  <Characters>2387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 m</vt:lpstr>
      <vt:lpstr>                                                                                                          2015 m</vt:lpstr>
    </vt:vector>
  </TitlesOfParts>
  <Company>Visagino bustas</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dc:title>
  <dc:subject/>
  <dc:creator>Nadezda</dc:creator>
  <cp:keywords/>
  <cp:lastModifiedBy>Oksana Gilė</cp:lastModifiedBy>
  <cp:revision>4</cp:revision>
  <cp:lastPrinted>2020-10-16T09:42:00Z</cp:lastPrinted>
  <dcterms:created xsi:type="dcterms:W3CDTF">2026-05-20T07:07:00Z</dcterms:created>
  <dcterms:modified xsi:type="dcterms:W3CDTF">2026-05-20T07:15:00Z</dcterms:modified>
</cp:coreProperties>
</file>