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4AB04B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02CCC">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C7338E0" w:rsidR="00546D5E" w:rsidRPr="00A700D6" w:rsidRDefault="003C24F3" w:rsidP="00C82352">
            <w:pPr>
              <w:ind w:firstLine="0"/>
              <w:rPr>
                <w:rFonts w:hAnsi="Times New Roman" w:cs="Times New Roman"/>
                <w:sz w:val="24"/>
                <w:szCs w:val="24"/>
              </w:rPr>
            </w:pPr>
            <w:r>
              <w:rPr>
                <w:rFonts w:hAnsi="Times New Roman" w:cs="Times New Roman"/>
                <w:sz w:val="24"/>
                <w:szCs w:val="24"/>
              </w:rPr>
              <w:t>UAB „</w:t>
            </w:r>
            <w:r w:rsidR="00EC481B">
              <w:rPr>
                <w:rFonts w:hAnsi="Times New Roman" w:cs="Times New Roman"/>
                <w:sz w:val="24"/>
                <w:szCs w:val="24"/>
              </w:rPr>
              <w:t>Utenos butų ūkis</w:t>
            </w:r>
            <w:r>
              <w:rPr>
                <w:rFonts w:hAnsi="Times New Roman" w:cs="Times New Roman"/>
                <w:sz w:val="24"/>
                <w:szCs w:val="24"/>
              </w:rPr>
              <w:t>“</w:t>
            </w:r>
          </w:p>
        </w:tc>
      </w:tr>
    </w:tbl>
    <w:p w14:paraId="618D5670" w14:textId="77777777" w:rsidR="00C82352" w:rsidRPr="006D3503" w:rsidRDefault="00C82352" w:rsidP="00C82352">
      <w:pPr>
        <w:pStyle w:val="Standard"/>
        <w:rPr>
          <w:rFonts w:cs="Times New Roman"/>
          <w:sz w:val="16"/>
          <w:szCs w:val="16"/>
        </w:rPr>
      </w:pPr>
    </w:p>
    <w:p w14:paraId="7C5912F7" w14:textId="77777777" w:rsidR="008346D8" w:rsidRPr="00ED4C5D" w:rsidRDefault="008346D8" w:rsidP="008346D8">
      <w:pPr>
        <w:suppressAutoHyphens/>
        <w:autoSpaceDN w:val="0"/>
        <w:spacing w:line="240" w:lineRule="auto"/>
        <w:jc w:val="center"/>
        <w:textAlignment w:val="baseline"/>
        <w:rPr>
          <w:rFonts w:ascii="Times New Roman" w:eastAsia="Times New Roman" w:hAnsi="Times New Roman" w:cs="Times New Roman"/>
          <w:b/>
          <w:caps/>
          <w:sz w:val="24"/>
          <w:szCs w:val="24"/>
        </w:rPr>
      </w:pPr>
      <w:r w:rsidRPr="00ED4C5D">
        <w:rPr>
          <w:rFonts w:ascii="Times New Roman" w:eastAsia="Times New Roman" w:hAnsi="Times New Roman" w:cs="Times New Roman"/>
          <w:b/>
          <w:sz w:val="24"/>
          <w:szCs w:val="24"/>
        </w:rPr>
        <w:t>VIEŠOJO MAŽOS VERTĖS PIRKIMO</w:t>
      </w:r>
    </w:p>
    <w:p w14:paraId="003998BA" w14:textId="77777777" w:rsidR="008346D8" w:rsidRPr="00ED4C5D" w:rsidRDefault="008346D8" w:rsidP="008346D8">
      <w:pPr>
        <w:suppressAutoHyphens/>
        <w:autoSpaceDN w:val="0"/>
        <w:spacing w:line="240" w:lineRule="auto"/>
        <w:jc w:val="center"/>
        <w:textAlignment w:val="baseline"/>
        <w:rPr>
          <w:rFonts w:ascii="Times New Roman" w:eastAsia="Arial Unicode MS" w:hAnsi="Times New Roman" w:cs="Times New Roman"/>
          <w:b/>
          <w:caps/>
          <w:sz w:val="24"/>
          <w:szCs w:val="24"/>
        </w:rPr>
      </w:pPr>
      <w:r w:rsidRPr="00ED4C5D">
        <w:rPr>
          <w:rFonts w:ascii="Times New Roman" w:eastAsia="Times New Roman" w:hAnsi="Times New Roman" w:cs="Times New Roman"/>
          <w:caps/>
          <w:sz w:val="24"/>
          <w:szCs w:val="24"/>
          <w:lang w:eastAsia="ar-SA"/>
        </w:rPr>
        <w:t>„</w:t>
      </w:r>
      <w:bookmarkStart w:id="0" w:name="_Hlk182902489"/>
      <w:r w:rsidRPr="00ED4C5D">
        <w:rPr>
          <w:rFonts w:ascii="Times New Roman" w:eastAsia="Arial Unicode MS" w:hAnsi="Times New Roman" w:cs="Times New Roman"/>
          <w:b/>
          <w:caps/>
          <w:sz w:val="24"/>
          <w:szCs w:val="24"/>
        </w:rPr>
        <w:t>DAUGIABUČI</w:t>
      </w:r>
      <w:r>
        <w:rPr>
          <w:rFonts w:ascii="Times New Roman" w:eastAsia="Arial Unicode MS" w:hAnsi="Times New Roman" w:cs="Times New Roman"/>
          <w:b/>
          <w:caps/>
          <w:sz w:val="24"/>
          <w:szCs w:val="24"/>
        </w:rPr>
        <w:t>O</w:t>
      </w:r>
      <w:r w:rsidRPr="00ED4C5D">
        <w:rPr>
          <w:rFonts w:ascii="Times New Roman" w:eastAsia="Arial Unicode MS" w:hAnsi="Times New Roman" w:cs="Times New Roman"/>
          <w:b/>
          <w:caps/>
          <w:sz w:val="24"/>
          <w:szCs w:val="24"/>
        </w:rPr>
        <w:t xml:space="preserve"> GYVENAM</w:t>
      </w:r>
      <w:r>
        <w:rPr>
          <w:rFonts w:ascii="Times New Roman" w:eastAsia="Arial Unicode MS" w:hAnsi="Times New Roman" w:cs="Times New Roman"/>
          <w:b/>
          <w:caps/>
          <w:sz w:val="24"/>
          <w:szCs w:val="24"/>
        </w:rPr>
        <w:t>OJO</w:t>
      </w:r>
      <w:r w:rsidRPr="00ED4C5D">
        <w:rPr>
          <w:rFonts w:ascii="Times New Roman" w:eastAsia="Arial Unicode MS" w:hAnsi="Times New Roman" w:cs="Times New Roman"/>
          <w:b/>
          <w:caps/>
          <w:sz w:val="24"/>
          <w:szCs w:val="24"/>
        </w:rPr>
        <w:t xml:space="preserve"> NAM</w:t>
      </w:r>
      <w:r>
        <w:rPr>
          <w:rFonts w:ascii="Times New Roman" w:eastAsia="Arial Unicode MS" w:hAnsi="Times New Roman" w:cs="Times New Roman"/>
          <w:b/>
          <w:caps/>
          <w:sz w:val="24"/>
          <w:szCs w:val="24"/>
        </w:rPr>
        <w:t>O</w:t>
      </w:r>
      <w:r w:rsidRPr="00ED4C5D">
        <w:rPr>
          <w:rFonts w:ascii="Times New Roman" w:eastAsia="Arial Unicode MS" w:hAnsi="Times New Roman" w:cs="Times New Roman"/>
          <w:b/>
          <w:caps/>
          <w:sz w:val="24"/>
          <w:szCs w:val="24"/>
        </w:rPr>
        <w:t>, adres</w:t>
      </w:r>
      <w:r>
        <w:rPr>
          <w:rFonts w:ascii="Times New Roman" w:eastAsia="Arial Unicode MS" w:hAnsi="Times New Roman" w:cs="Times New Roman"/>
          <w:b/>
          <w:caps/>
          <w:sz w:val="24"/>
          <w:szCs w:val="24"/>
        </w:rPr>
        <w:t>U</w:t>
      </w:r>
      <w:r w:rsidRPr="00ED4C5D">
        <w:rPr>
          <w:rFonts w:ascii="Times New Roman" w:eastAsia="Arial Unicode MS" w:hAnsi="Times New Roman" w:cs="Times New Roman"/>
          <w:b/>
          <w:caps/>
          <w:sz w:val="24"/>
          <w:szCs w:val="24"/>
        </w:rPr>
        <w:t xml:space="preserve"> </w:t>
      </w:r>
      <w:r>
        <w:rPr>
          <w:rFonts w:ascii="Times New Roman" w:eastAsia="Arial Unicode MS" w:hAnsi="Times New Roman" w:cs="Times New Roman"/>
          <w:b/>
          <w:caps/>
          <w:sz w:val="24"/>
          <w:szCs w:val="24"/>
        </w:rPr>
        <w:t>AUKŠTAKALNIO G. 70</w:t>
      </w:r>
      <w:r w:rsidRPr="00ED4C5D">
        <w:rPr>
          <w:rFonts w:ascii="Times New Roman" w:eastAsia="Arial Unicode MS" w:hAnsi="Times New Roman" w:cs="Times New Roman"/>
          <w:b/>
          <w:caps/>
          <w:sz w:val="24"/>
          <w:szCs w:val="24"/>
        </w:rPr>
        <w:t xml:space="preserve">, Utena, </w:t>
      </w:r>
      <w:r>
        <w:rPr>
          <w:rFonts w:ascii="Times New Roman" w:eastAsia="Arial Unicode MS" w:hAnsi="Times New Roman" w:cs="Times New Roman"/>
          <w:b/>
          <w:caps/>
          <w:sz w:val="24"/>
          <w:szCs w:val="24"/>
        </w:rPr>
        <w:t>TECHNINĖS PATALPOS PLASTIKINIO LANGO</w:t>
      </w:r>
      <w:r w:rsidRPr="00ED4C5D">
        <w:rPr>
          <w:rFonts w:ascii="Times New Roman" w:eastAsia="Arial Unicode MS" w:hAnsi="Times New Roman" w:cs="Times New Roman"/>
          <w:b/>
          <w:caps/>
          <w:sz w:val="24"/>
          <w:szCs w:val="24"/>
        </w:rPr>
        <w:t xml:space="preserve"> </w:t>
      </w:r>
      <w:bookmarkEnd w:id="0"/>
      <w:r>
        <w:rPr>
          <w:rFonts w:ascii="Times New Roman" w:eastAsia="Arial Unicode MS" w:hAnsi="Times New Roman" w:cs="Times New Roman"/>
          <w:b/>
          <w:caps/>
          <w:sz w:val="24"/>
          <w:szCs w:val="24"/>
        </w:rPr>
        <w:t>MONTAVIMO DARBŲ PIRKIMAS</w:t>
      </w:r>
      <w:r w:rsidRPr="00ED4C5D">
        <w:rPr>
          <w:rFonts w:ascii="Times New Roman" w:eastAsia="Arial Unicode MS" w:hAnsi="Times New Roman" w:cs="Times New Roman"/>
          <w:b/>
          <w:caps/>
          <w:sz w:val="24"/>
          <w:szCs w:val="24"/>
        </w:rPr>
        <w:t>“ pASIŪLYMAS</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7F36CF">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7F36CF" w:rsidRDefault="007F36CF"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hideMark/>
          </w:tcPr>
          <w:p w14:paraId="227A34B3" w14:textId="39D9460E" w:rsidR="007F36CF" w:rsidRPr="008346D8" w:rsidRDefault="007F36CF" w:rsidP="007F36CF">
            <w:pPr>
              <w:spacing w:line="240" w:lineRule="auto"/>
              <w:ind w:right="3" w:firstLine="0"/>
              <w:jc w:val="left"/>
              <w:rPr>
                <w:rFonts w:eastAsia="Calibri"/>
                <w:sz w:val="24"/>
                <w:szCs w:val="24"/>
              </w:rPr>
            </w:pPr>
            <w:r w:rsidRPr="008346D8">
              <w:rPr>
                <w:rFonts w:eastAsia="Times New Roman"/>
                <w:bCs/>
                <w:sz w:val="24"/>
                <w:szCs w:val="24"/>
              </w:rPr>
              <w:t xml:space="preserve">Gyvenamojo namo, </w:t>
            </w:r>
            <w:r w:rsidR="00F04173" w:rsidRPr="008346D8">
              <w:rPr>
                <w:rFonts w:eastAsia="Times New Roman"/>
                <w:bCs/>
                <w:sz w:val="24"/>
                <w:szCs w:val="24"/>
              </w:rPr>
              <w:t>Aukštakalnio g. 70, Utenoje, techninės patalpos plastikinio lango montavimo darbai</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4482B4" w14:textId="6FAF7734" w:rsidR="007F36CF" w:rsidRDefault="007F36CF" w:rsidP="007F36CF">
            <w:pPr>
              <w:spacing w:line="240" w:lineRule="auto"/>
              <w:ind w:right="3" w:firstLine="0"/>
              <w:jc w:val="center"/>
              <w:rPr>
                <w:rFonts w:eastAsia="Calibri"/>
                <w:sz w:val="24"/>
                <w:szCs w:val="24"/>
              </w:rPr>
            </w:pPr>
            <w:r>
              <w:rPr>
                <w:rFonts w:eastAsia="Calibri"/>
                <w:sz w:val="24"/>
                <w:szCs w:val="22"/>
              </w:rPr>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1DBF4263" w:rsidR="007F36CF" w:rsidRDefault="007F36CF" w:rsidP="007F36CF">
            <w:pPr>
              <w:spacing w:line="240" w:lineRule="auto"/>
              <w:ind w:right="3" w:firstLine="0"/>
              <w:jc w:val="center"/>
              <w:rPr>
                <w:rFonts w:eastAsia="Calibri"/>
                <w:sz w:val="24"/>
                <w:szCs w:val="24"/>
              </w:rPr>
            </w:pPr>
            <w:r>
              <w:rPr>
                <w:rFonts w:eastAsia="Calibri"/>
                <w:sz w:val="24"/>
                <w:szCs w:val="24"/>
              </w:rPr>
              <w:t>vnt.</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662F122B"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8346D8">
        <w:rPr>
          <w:rFonts w:ascii="Times New Roman" w:eastAsia="Calibri" w:hAnsi="Times New Roman" w:cs="Times New Roman"/>
          <w:b/>
          <w:bCs/>
          <w:sz w:val="24"/>
          <w:szCs w:val="24"/>
        </w:rPr>
        <w:t>300,00</w:t>
      </w:r>
      <w:r w:rsidRPr="009E1055">
        <w:rPr>
          <w:rFonts w:ascii="Times New Roman" w:eastAsia="Calibri" w:hAnsi="Times New Roman" w:cs="Times New Roman"/>
          <w:sz w:val="24"/>
          <w:szCs w:val="24"/>
        </w:rPr>
        <w:t xml:space="preserve">  Eur </w:t>
      </w:r>
      <w:r w:rsidR="008346D8">
        <w:rPr>
          <w:rFonts w:ascii="Times New Roman" w:eastAsia="Calibri" w:hAnsi="Times New Roman" w:cs="Times New Roman"/>
          <w:sz w:val="24"/>
          <w:szCs w:val="24"/>
        </w:rPr>
        <w:t>su</w:t>
      </w:r>
      <w:r w:rsidRPr="009E1055">
        <w:rPr>
          <w:rFonts w:ascii="Times New Roman" w:eastAsia="Calibri" w:hAnsi="Times New Roman" w:cs="Times New Roman"/>
          <w:sz w:val="24"/>
          <w:szCs w:val="24"/>
        </w:rPr>
        <w:t xml:space="preserve"> PVM.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7FD93F30" w14:textId="77777777" w:rsidR="008346D8" w:rsidRPr="00ED4C5D" w:rsidRDefault="008346D8" w:rsidP="008346D8">
      <w:pPr>
        <w:widowControl w:val="0"/>
        <w:suppressAutoHyphens/>
        <w:ind w:firstLine="709"/>
        <w:rPr>
          <w:rFonts w:ascii="Times New Roman" w:hAnsi="Times New Roman" w:cs="Times New Roman"/>
          <w:b/>
          <w:bCs/>
          <w:sz w:val="24"/>
          <w:szCs w:val="24"/>
        </w:rPr>
      </w:pPr>
      <w:r w:rsidRPr="00ED4C5D">
        <w:rPr>
          <w:rFonts w:ascii="Times New Roman" w:hAnsi="Times New Roman" w:cs="Times New Roman"/>
          <w:b/>
          <w:bCs/>
          <w:sz w:val="24"/>
          <w:szCs w:val="24"/>
        </w:rPr>
        <w:t>Pasirašydamas šį pasiūlymą, tvirtintu, kad:</w:t>
      </w:r>
    </w:p>
    <w:p w14:paraId="4C5A01D5" w14:textId="77777777" w:rsidR="008346D8" w:rsidRPr="00ED4C5D"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0529B6" w14:textId="77777777" w:rsidR="008346D8" w:rsidRPr="00ED4C5D"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sutinku su pirkimo dokumentuose nustatytomis sąlygomis ir procedūromis,</w:t>
      </w:r>
    </w:p>
    <w:p w14:paraId="451E0315" w14:textId="77777777" w:rsidR="008346D8"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pasiūlymo dokumentuose pateikti duomenys ir informacija yra teisinga ir apima viską, ko reikia tinkamam sutarties įvykdymui.</w:t>
      </w:r>
    </w:p>
    <w:p w14:paraId="2B691FE9" w14:textId="77777777" w:rsidR="008346D8" w:rsidRPr="001D0A90" w:rsidRDefault="008346D8" w:rsidP="008346D8">
      <w:pPr>
        <w:widowControl w:val="0"/>
        <w:numPr>
          <w:ilvl w:val="0"/>
          <w:numId w:val="13"/>
        </w:numPr>
        <w:tabs>
          <w:tab w:val="left" w:pos="1134"/>
        </w:tabs>
        <w:suppressAutoHyphens/>
        <w:autoSpaceDN w:val="0"/>
        <w:spacing w:line="259" w:lineRule="auto"/>
        <w:ind w:left="0" w:firstLine="851"/>
        <w:contextualSpacing/>
        <w:textAlignment w:val="baseline"/>
        <w:rPr>
          <w:rFonts w:ascii="Times New Roman" w:eastAsia="Calibri" w:hAnsi="Times New Roman" w:cs="Times New Roman"/>
          <w:b/>
          <w:bCs/>
          <w:smallCaps/>
          <w:sz w:val="24"/>
          <w:szCs w:val="24"/>
        </w:rPr>
      </w:pPr>
      <w:r w:rsidRPr="001D0A90">
        <w:rPr>
          <w:rFonts w:ascii="Times New Roman" w:hAnsi="Times New Roman" w:cs="Times New Roman"/>
          <w:color w:val="000000"/>
          <w:sz w:val="24"/>
          <w:szCs w:val="24"/>
        </w:rPr>
        <w:t>Mums žinoma, kad atsižvelgiant į tai, jog Užsakovas įmokas už atliekamus Darbus surenka iš daugiabučių namų patalpų savininkų, Tiekėjas moka Užsakovui 8 proc. dydžio sutarties administravimo mokestį, kuris apskaičiuojamas nuo Tiekėjo sąskaitoje faktūroje nurodytos sumos be PVM už atliktus Darbus.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6EA" w14:textId="77777777" w:rsidR="00D03ACF" w:rsidRDefault="00D03ACF" w:rsidP="00C82352">
      <w:pPr>
        <w:spacing w:line="240" w:lineRule="auto"/>
      </w:pPr>
      <w:r>
        <w:separator/>
      </w:r>
    </w:p>
  </w:endnote>
  <w:endnote w:type="continuationSeparator" w:id="0">
    <w:p w14:paraId="2F7C1947" w14:textId="77777777" w:rsidR="00D03ACF" w:rsidRDefault="00D03ACF"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1509" w14:textId="77777777" w:rsidR="00D03ACF" w:rsidRDefault="00D03ACF" w:rsidP="00C82352">
      <w:pPr>
        <w:spacing w:line="240" w:lineRule="auto"/>
      </w:pPr>
      <w:r>
        <w:separator/>
      </w:r>
    </w:p>
  </w:footnote>
  <w:footnote w:type="continuationSeparator" w:id="0">
    <w:p w14:paraId="17073AB6" w14:textId="77777777" w:rsidR="00D03ACF" w:rsidRDefault="00D03ACF"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2"/>
  </w:num>
  <w:num w:numId="12" w16cid:durableId="1882981941">
    <w:abstractNumId w:val="9"/>
  </w:num>
  <w:num w:numId="13" w16cid:durableId="156191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86FA4"/>
    <w:rsid w:val="000879EB"/>
    <w:rsid w:val="000D1C17"/>
    <w:rsid w:val="000D50BE"/>
    <w:rsid w:val="000E3552"/>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2780"/>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84D0E"/>
    <w:rsid w:val="007A5003"/>
    <w:rsid w:val="007A5DAE"/>
    <w:rsid w:val="007B4C7F"/>
    <w:rsid w:val="007B5544"/>
    <w:rsid w:val="007C3FD1"/>
    <w:rsid w:val="007F36CF"/>
    <w:rsid w:val="0080255F"/>
    <w:rsid w:val="00811050"/>
    <w:rsid w:val="008226C2"/>
    <w:rsid w:val="00833927"/>
    <w:rsid w:val="008346D8"/>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C35F11"/>
    <w:rsid w:val="00C50D9B"/>
    <w:rsid w:val="00C534C5"/>
    <w:rsid w:val="00C5478E"/>
    <w:rsid w:val="00C64457"/>
    <w:rsid w:val="00C64F25"/>
    <w:rsid w:val="00C7233F"/>
    <w:rsid w:val="00C82352"/>
    <w:rsid w:val="00C87069"/>
    <w:rsid w:val="00C901DE"/>
    <w:rsid w:val="00D020B2"/>
    <w:rsid w:val="00D03ACF"/>
    <w:rsid w:val="00D16731"/>
    <w:rsid w:val="00D26FB4"/>
    <w:rsid w:val="00D2700C"/>
    <w:rsid w:val="00D31808"/>
    <w:rsid w:val="00D70D35"/>
    <w:rsid w:val="00D7638E"/>
    <w:rsid w:val="00D91C72"/>
    <w:rsid w:val="00DC05F3"/>
    <w:rsid w:val="00DC0969"/>
    <w:rsid w:val="00DC4D84"/>
    <w:rsid w:val="00DE2D2D"/>
    <w:rsid w:val="00DF6DBA"/>
    <w:rsid w:val="00E06FEB"/>
    <w:rsid w:val="00E205E3"/>
    <w:rsid w:val="00E316C3"/>
    <w:rsid w:val="00E46DFA"/>
    <w:rsid w:val="00E57C0E"/>
    <w:rsid w:val="00E76620"/>
    <w:rsid w:val="00EB2A78"/>
    <w:rsid w:val="00EC481B"/>
    <w:rsid w:val="00EC6041"/>
    <w:rsid w:val="00EE16DD"/>
    <w:rsid w:val="00EE3ACA"/>
    <w:rsid w:val="00F026B2"/>
    <w:rsid w:val="00F04173"/>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3624</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Oksana Gilė</cp:lastModifiedBy>
  <cp:revision>3</cp:revision>
  <cp:lastPrinted>2025-03-03T11:50:00Z</cp:lastPrinted>
  <dcterms:created xsi:type="dcterms:W3CDTF">2026-05-20T07:01:00Z</dcterms:created>
  <dcterms:modified xsi:type="dcterms:W3CDTF">2026-05-20T07:39:00Z</dcterms:modified>
</cp:coreProperties>
</file>