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F926" w14:textId="0F37615C" w:rsidR="00D418D9" w:rsidRPr="00D418D9" w:rsidRDefault="00D418D9" w:rsidP="00D418D9">
      <w:pPr>
        <w:keepNext/>
        <w:keepLines/>
        <w:pBdr>
          <w:bottom w:val="single" w:sz="4" w:space="2" w:color="ED7D31"/>
        </w:pBdr>
        <w:spacing w:before="360" w:after="120"/>
        <w:jc w:val="right"/>
        <w:outlineLvl w:val="0"/>
        <w:rPr>
          <w:color w:val="262626"/>
          <w:sz w:val="22"/>
          <w:szCs w:val="22"/>
          <w:lang w:val="lt-LT" w:eastAsia="lt-LT"/>
        </w:rPr>
      </w:pPr>
      <w:bookmarkStart w:id="0" w:name="_Toc134529413"/>
      <w:bookmarkStart w:id="1" w:name="_Toc162595286"/>
      <w:bookmarkStart w:id="2" w:name="_Toc190763206"/>
      <w:r>
        <w:rPr>
          <w:color w:val="0070C0"/>
          <w:sz w:val="22"/>
          <w:szCs w:val="22"/>
          <w:lang w:val="lt-LT" w:eastAsia="lt-LT"/>
        </w:rPr>
        <w:t>Rinkos konsultacijos</w:t>
      </w:r>
      <w:r w:rsidRPr="00D418D9">
        <w:rPr>
          <w:color w:val="0070C0"/>
          <w:sz w:val="22"/>
          <w:szCs w:val="22"/>
          <w:lang w:val="lt-LT" w:eastAsia="lt-LT"/>
        </w:rPr>
        <w:t xml:space="preserve"> </w:t>
      </w:r>
      <w:r>
        <w:rPr>
          <w:color w:val="0070C0"/>
          <w:sz w:val="22"/>
          <w:szCs w:val="22"/>
          <w:lang w:val="lt-LT" w:eastAsia="lt-LT"/>
        </w:rPr>
        <w:t>1</w:t>
      </w:r>
      <w:r w:rsidRPr="00D418D9">
        <w:rPr>
          <w:color w:val="0070C0"/>
          <w:sz w:val="22"/>
          <w:szCs w:val="22"/>
          <w:lang w:val="lt-LT" w:eastAsia="lt-LT"/>
        </w:rPr>
        <w:t xml:space="preserve"> priedas „Techninė specifikacija“</w:t>
      </w:r>
      <w:bookmarkEnd w:id="0"/>
      <w:bookmarkEnd w:id="1"/>
      <w:bookmarkEnd w:id="2"/>
    </w:p>
    <w:p w14:paraId="38CB9B26" w14:textId="7077E5A4" w:rsidR="00916191" w:rsidRPr="00F5636C" w:rsidRDefault="00D418D9" w:rsidP="00D418D9">
      <w:pPr>
        <w:jc w:val="center"/>
        <w:rPr>
          <w:bCs/>
          <w:iCs/>
          <w:sz w:val="22"/>
          <w:szCs w:val="22"/>
          <w:lang w:val="lt-LT"/>
        </w:rPr>
      </w:pPr>
      <w:r>
        <w:rPr>
          <w:noProof/>
          <w:lang w:val="lt-LT"/>
        </w:rPr>
        <w:drawing>
          <wp:inline distT="0" distB="0" distL="0" distR="0" wp14:anchorId="42B1C275" wp14:editId="387DE257">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2FFC9D39" w14:textId="77777777" w:rsidR="00D418D9" w:rsidRDefault="00D418D9" w:rsidP="00916191">
      <w:pPr>
        <w:jc w:val="center"/>
        <w:rPr>
          <w:b/>
          <w:sz w:val="22"/>
          <w:szCs w:val="22"/>
          <w:lang w:val="lt-LT"/>
        </w:rPr>
      </w:pPr>
    </w:p>
    <w:p w14:paraId="6BFFE80F" w14:textId="77777777" w:rsidR="00D418D9" w:rsidRDefault="00D418D9" w:rsidP="00916191">
      <w:pPr>
        <w:jc w:val="center"/>
        <w:rPr>
          <w:b/>
          <w:sz w:val="22"/>
          <w:szCs w:val="22"/>
          <w:lang w:val="lt-LT"/>
        </w:rPr>
      </w:pPr>
    </w:p>
    <w:p w14:paraId="760BD65F" w14:textId="0928598B" w:rsidR="00916191" w:rsidRPr="00F5636C" w:rsidRDefault="00916191" w:rsidP="00916191">
      <w:pPr>
        <w:jc w:val="center"/>
        <w:rPr>
          <w:b/>
          <w:sz w:val="22"/>
          <w:szCs w:val="22"/>
          <w:lang w:val="lt-LT"/>
        </w:rPr>
      </w:pPr>
      <w:r w:rsidRPr="00F5636C">
        <w:rPr>
          <w:b/>
          <w:sz w:val="22"/>
          <w:szCs w:val="22"/>
          <w:lang w:val="lt-LT"/>
        </w:rPr>
        <w:t>TECHNINĖ SPECIFIKACIJA</w:t>
      </w:r>
    </w:p>
    <w:p w14:paraId="3F2BE4FC" w14:textId="77777777" w:rsidR="00916191" w:rsidRPr="00F5636C" w:rsidRDefault="00916191" w:rsidP="00916191">
      <w:pPr>
        <w:tabs>
          <w:tab w:val="left" w:pos="6804"/>
        </w:tabs>
        <w:jc w:val="center"/>
        <w:rPr>
          <w:bCs/>
          <w:iCs/>
          <w:sz w:val="22"/>
          <w:szCs w:val="22"/>
          <w:lang w:val="lt-LT"/>
        </w:rPr>
      </w:pPr>
    </w:p>
    <w:p w14:paraId="1414D73B" w14:textId="76864FA2" w:rsidR="008E6EC8" w:rsidRPr="00F5636C" w:rsidRDefault="008C36A7" w:rsidP="00916191">
      <w:pPr>
        <w:jc w:val="center"/>
        <w:rPr>
          <w:b/>
          <w:bCs/>
          <w:caps/>
          <w:sz w:val="22"/>
          <w:szCs w:val="22"/>
          <w:lang w:val="lt-LT"/>
        </w:rPr>
      </w:pPr>
      <w:r w:rsidRPr="00F5636C">
        <w:rPr>
          <w:b/>
          <w:bCs/>
          <w:caps/>
          <w:sz w:val="22"/>
          <w:szCs w:val="22"/>
          <w:lang w:val="lt-LT"/>
        </w:rPr>
        <w:t>Violetinio lazerio KOMPLEKTAS citometrijos sistemai</w:t>
      </w:r>
    </w:p>
    <w:p w14:paraId="371B3779" w14:textId="77777777" w:rsidR="00D613BA" w:rsidRPr="00F5636C" w:rsidRDefault="00D613BA" w:rsidP="00916191">
      <w:pPr>
        <w:jc w:val="center"/>
        <w:rPr>
          <w:b/>
          <w:sz w:val="22"/>
          <w:szCs w:val="22"/>
          <w:lang w:val="lt-LT"/>
        </w:rPr>
      </w:pPr>
    </w:p>
    <w:p w14:paraId="5890A843" w14:textId="77777777" w:rsidR="00916191" w:rsidRPr="00F5636C" w:rsidRDefault="00916191" w:rsidP="001138A5">
      <w:pPr>
        <w:rPr>
          <w:b/>
          <w:sz w:val="22"/>
          <w:szCs w:val="22"/>
          <w:lang w:val="lt-LT"/>
        </w:rPr>
      </w:pPr>
      <w:r w:rsidRPr="00F5636C">
        <w:rPr>
          <w:b/>
          <w:sz w:val="22"/>
          <w:szCs w:val="22"/>
          <w:lang w:val="lt-LT"/>
        </w:rPr>
        <w:t>BENDRI REIKALAVIMAI PERKAMAI ĮRANGAI</w:t>
      </w:r>
    </w:p>
    <w:p w14:paraId="4093F64B" w14:textId="77777777" w:rsidR="00916191" w:rsidRPr="00F5636C" w:rsidRDefault="00916191" w:rsidP="00916191">
      <w:pPr>
        <w:tabs>
          <w:tab w:val="left" w:pos="6804"/>
        </w:tabs>
        <w:jc w:val="center"/>
        <w:rPr>
          <w:bCs/>
          <w:iCs/>
          <w:sz w:val="22"/>
          <w:szCs w:val="22"/>
          <w:lang w:val="lt-LT"/>
        </w:rPr>
      </w:pPr>
    </w:p>
    <w:p w14:paraId="0DD90280" w14:textId="53767AFD" w:rsidR="00F5636C" w:rsidRPr="00F5636C" w:rsidRDefault="00F5636C" w:rsidP="00F5636C">
      <w:pPr>
        <w:pStyle w:val="ListParagraph"/>
        <w:numPr>
          <w:ilvl w:val="0"/>
          <w:numId w:val="1"/>
        </w:numPr>
        <w:tabs>
          <w:tab w:val="left" w:pos="567"/>
        </w:tabs>
        <w:spacing w:line="276" w:lineRule="auto"/>
        <w:ind w:left="0" w:firstLine="0"/>
        <w:jc w:val="both"/>
        <w:rPr>
          <w:bCs/>
          <w:sz w:val="22"/>
          <w:szCs w:val="22"/>
          <w:lang w:val="lt-LT"/>
        </w:rPr>
      </w:pPr>
      <w:r w:rsidRPr="00F5636C">
        <w:rPr>
          <w:sz w:val="22"/>
          <w:szCs w:val="22"/>
          <w:lang w:val="lt-LT"/>
        </w:rPr>
        <w:t xml:space="preserve">Perkamas </w:t>
      </w:r>
      <w:r w:rsidRPr="00F5636C">
        <w:rPr>
          <w:b/>
          <w:sz w:val="22"/>
          <w:szCs w:val="22"/>
          <w:lang w:val="lt-LT"/>
        </w:rPr>
        <w:t xml:space="preserve">Violetinio lazerio komplektas </w:t>
      </w:r>
      <w:proofErr w:type="spellStart"/>
      <w:r w:rsidRPr="00F5636C">
        <w:rPr>
          <w:b/>
          <w:sz w:val="22"/>
          <w:szCs w:val="22"/>
          <w:lang w:val="lt-LT"/>
        </w:rPr>
        <w:t>citometrijos</w:t>
      </w:r>
      <w:proofErr w:type="spellEnd"/>
      <w:r w:rsidRPr="00F5636C">
        <w:rPr>
          <w:b/>
          <w:sz w:val="22"/>
          <w:szCs w:val="22"/>
          <w:lang w:val="lt-LT"/>
        </w:rPr>
        <w:t xml:space="preserve"> sistemai</w:t>
      </w:r>
      <w:r w:rsidRPr="00F5636C">
        <w:rPr>
          <w:sz w:val="22"/>
          <w:szCs w:val="22"/>
          <w:lang w:val="lt-LT"/>
        </w:rPr>
        <w:t xml:space="preserve"> (toliau – Įranga/prietaisas).</w:t>
      </w:r>
    </w:p>
    <w:p w14:paraId="55FF82F9" w14:textId="7658514E" w:rsidR="00F5636C" w:rsidRDefault="00F5636C" w:rsidP="00916191">
      <w:pPr>
        <w:pStyle w:val="ListParagraph"/>
        <w:numPr>
          <w:ilvl w:val="0"/>
          <w:numId w:val="1"/>
        </w:numPr>
        <w:tabs>
          <w:tab w:val="left" w:pos="567"/>
        </w:tabs>
        <w:spacing w:line="276" w:lineRule="auto"/>
        <w:ind w:left="0" w:firstLine="0"/>
        <w:jc w:val="both"/>
        <w:rPr>
          <w:bCs/>
          <w:sz w:val="22"/>
          <w:szCs w:val="22"/>
          <w:lang w:val="lt-LT"/>
        </w:rPr>
      </w:pPr>
      <w:r w:rsidRPr="00D418D9">
        <w:rPr>
          <w:b/>
          <w:bCs/>
          <w:sz w:val="22"/>
          <w:szCs w:val="22"/>
          <w:lang w:val="lt-LT"/>
        </w:rPr>
        <w:t>Perkamas kiekis</w:t>
      </w:r>
      <w:r>
        <w:rPr>
          <w:bCs/>
          <w:sz w:val="22"/>
          <w:szCs w:val="22"/>
          <w:lang w:val="lt-LT"/>
        </w:rPr>
        <w:t xml:space="preserve"> – 1 komplektas.</w:t>
      </w:r>
    </w:p>
    <w:p w14:paraId="7FB297F2" w14:textId="50C5F973" w:rsidR="001138A5" w:rsidRPr="00F5636C" w:rsidRDefault="001138A5" w:rsidP="00916191">
      <w:pPr>
        <w:pStyle w:val="ListParagraph"/>
        <w:numPr>
          <w:ilvl w:val="0"/>
          <w:numId w:val="1"/>
        </w:numPr>
        <w:tabs>
          <w:tab w:val="left" w:pos="567"/>
        </w:tabs>
        <w:spacing w:line="276" w:lineRule="auto"/>
        <w:ind w:left="0" w:firstLine="0"/>
        <w:jc w:val="both"/>
        <w:rPr>
          <w:bCs/>
          <w:sz w:val="22"/>
          <w:szCs w:val="22"/>
          <w:lang w:val="lt-LT"/>
        </w:rPr>
      </w:pPr>
      <w:r w:rsidRPr="00F5636C">
        <w:rPr>
          <w:bCs/>
          <w:sz w:val="22"/>
          <w:szCs w:val="22"/>
          <w:lang w:val="lt-LT"/>
        </w:rPr>
        <w:t>Pirkimą finansuoja Europos Sąjunga – „</w:t>
      </w:r>
      <w:proofErr w:type="spellStart"/>
      <w:r w:rsidRPr="00F5636C">
        <w:rPr>
          <w:bCs/>
          <w:sz w:val="22"/>
          <w:szCs w:val="22"/>
          <w:lang w:val="lt-LT"/>
        </w:rPr>
        <w:t>NextGenerationEU</w:t>
      </w:r>
      <w:proofErr w:type="spellEnd"/>
      <w:r w:rsidRPr="00F5636C">
        <w:rPr>
          <w:bCs/>
          <w:sz w:val="22"/>
          <w:szCs w:val="22"/>
          <w:lang w:val="lt-LT"/>
        </w:rPr>
        <w:t>“ pagal Ekonomikos gaivinimo ir atsparumo didinimo planą „Naujos kartos Lietuva“.</w:t>
      </w:r>
    </w:p>
    <w:p w14:paraId="3BC22539" w14:textId="71884AFF" w:rsidR="001138A5" w:rsidRPr="00F5636C" w:rsidRDefault="001138A5" w:rsidP="00916191">
      <w:pPr>
        <w:pStyle w:val="ListParagraph"/>
        <w:numPr>
          <w:ilvl w:val="0"/>
          <w:numId w:val="1"/>
        </w:numPr>
        <w:tabs>
          <w:tab w:val="left" w:pos="567"/>
        </w:tabs>
        <w:spacing w:line="276" w:lineRule="auto"/>
        <w:ind w:left="0" w:firstLine="0"/>
        <w:jc w:val="both"/>
        <w:rPr>
          <w:b/>
          <w:bCs/>
          <w:sz w:val="22"/>
          <w:szCs w:val="22"/>
          <w:lang w:val="lt-LT"/>
        </w:rPr>
      </w:pPr>
      <w:r w:rsidRPr="00F5636C">
        <w:rPr>
          <w:sz w:val="22"/>
          <w:szCs w:val="22"/>
          <w:u w:val="single"/>
          <w:lang w:val="lt-LT"/>
        </w:rPr>
        <w:t>Pristatoma Įranga turi būti nauja (angl. „</w:t>
      </w:r>
      <w:proofErr w:type="spellStart"/>
      <w:r w:rsidRPr="00F5636C">
        <w:rPr>
          <w:sz w:val="22"/>
          <w:szCs w:val="22"/>
          <w:u w:val="single"/>
          <w:lang w:val="lt-LT"/>
        </w:rPr>
        <w:t>brand</w:t>
      </w:r>
      <w:proofErr w:type="spellEnd"/>
      <w:r w:rsidRPr="00F5636C">
        <w:rPr>
          <w:sz w:val="22"/>
          <w:szCs w:val="22"/>
          <w:u w:val="single"/>
          <w:lang w:val="lt-LT"/>
        </w:rPr>
        <w:t xml:space="preserve"> </w:t>
      </w:r>
      <w:proofErr w:type="spellStart"/>
      <w:r w:rsidRPr="00F5636C">
        <w:rPr>
          <w:sz w:val="22"/>
          <w:szCs w:val="22"/>
          <w:u w:val="single"/>
          <w:lang w:val="lt-LT"/>
        </w:rPr>
        <w:t>new</w:t>
      </w:r>
      <w:proofErr w:type="spellEnd"/>
      <w:r w:rsidRPr="00F5636C">
        <w:rPr>
          <w:sz w:val="22"/>
          <w:szCs w:val="22"/>
          <w:u w:val="single"/>
          <w:lang w:val="lt-LT"/>
        </w:rPr>
        <w:t xml:space="preserve">“), nenaudota, </w:t>
      </w:r>
      <w:proofErr w:type="spellStart"/>
      <w:r w:rsidRPr="00F5636C">
        <w:rPr>
          <w:sz w:val="22"/>
          <w:szCs w:val="22"/>
          <w:u w:val="single"/>
          <w:lang w:val="lt-LT"/>
        </w:rPr>
        <w:t>gamykliškai</w:t>
      </w:r>
      <w:proofErr w:type="spellEnd"/>
      <w:r w:rsidRPr="00F5636C">
        <w:rPr>
          <w:sz w:val="22"/>
          <w:szCs w:val="22"/>
          <w:u w:val="single"/>
          <w:lang w:val="lt-LT"/>
        </w:rPr>
        <w:t xml:space="preserve"> atnaujinti (angl. „</w:t>
      </w:r>
      <w:proofErr w:type="spellStart"/>
      <w:r w:rsidRPr="00F5636C">
        <w:rPr>
          <w:sz w:val="22"/>
          <w:szCs w:val="22"/>
          <w:u w:val="single"/>
          <w:lang w:val="lt-LT"/>
        </w:rPr>
        <w:t>renewed</w:t>
      </w:r>
      <w:proofErr w:type="spellEnd"/>
      <w:r w:rsidRPr="00F5636C">
        <w:rPr>
          <w:sz w:val="22"/>
          <w:szCs w:val="22"/>
          <w:u w:val="single"/>
          <w:lang w:val="lt-LT"/>
        </w:rPr>
        <w:t>“/„</w:t>
      </w:r>
      <w:proofErr w:type="spellStart"/>
      <w:r w:rsidRPr="00F5636C">
        <w:rPr>
          <w:sz w:val="22"/>
          <w:szCs w:val="22"/>
          <w:u w:val="single"/>
          <w:lang w:val="lt-LT"/>
        </w:rPr>
        <w:t>refurbished</w:t>
      </w:r>
      <w:proofErr w:type="spellEnd"/>
      <w:r w:rsidRPr="00F5636C">
        <w:rPr>
          <w:sz w:val="22"/>
          <w:szCs w:val="22"/>
          <w:u w:val="single"/>
          <w:lang w:val="lt-LT"/>
        </w:rPr>
        <w:t>“) komponentai neleistini. Įranga turi atitikti šioje Techninėje specifikacijoje nustatytus minimalius / būtinus reikalavimus (Reikalaujamos techninės charakteristikos/parametrai).</w:t>
      </w:r>
    </w:p>
    <w:p w14:paraId="02CACA3C" w14:textId="0359195A" w:rsidR="00916191" w:rsidRPr="00F5636C" w:rsidRDefault="00916191" w:rsidP="00916191">
      <w:pPr>
        <w:pStyle w:val="ListParagraph"/>
        <w:numPr>
          <w:ilvl w:val="0"/>
          <w:numId w:val="1"/>
        </w:numPr>
        <w:tabs>
          <w:tab w:val="left" w:pos="567"/>
        </w:tabs>
        <w:spacing w:line="276" w:lineRule="auto"/>
        <w:ind w:left="0" w:firstLine="0"/>
        <w:jc w:val="both"/>
        <w:rPr>
          <w:b/>
          <w:bCs/>
          <w:sz w:val="22"/>
          <w:szCs w:val="22"/>
          <w:lang w:val="lt-LT"/>
        </w:rPr>
      </w:pPr>
      <w:r w:rsidRPr="00D418D9">
        <w:rPr>
          <w:b/>
          <w:bCs/>
          <w:color w:val="000000" w:themeColor="text1"/>
          <w:sz w:val="22"/>
          <w:szCs w:val="22"/>
          <w:lang w:val="lt-LT"/>
        </w:rPr>
        <w:t>Įrangos pristatymo vieta</w:t>
      </w:r>
      <w:r w:rsidRPr="00F5636C">
        <w:rPr>
          <w:color w:val="000000" w:themeColor="text1"/>
          <w:sz w:val="22"/>
          <w:szCs w:val="22"/>
          <w:lang w:val="lt-LT"/>
        </w:rPr>
        <w:t xml:space="preserve"> </w:t>
      </w:r>
      <w:r w:rsidRPr="00F5636C">
        <w:rPr>
          <w:b/>
          <w:bCs/>
          <w:color w:val="000000" w:themeColor="text1"/>
          <w:sz w:val="22"/>
          <w:szCs w:val="22"/>
          <w:lang w:val="lt-LT"/>
        </w:rPr>
        <w:t>–</w:t>
      </w:r>
      <w:r w:rsidRPr="00F5636C">
        <w:rPr>
          <w:color w:val="000000" w:themeColor="text1"/>
          <w:sz w:val="22"/>
          <w:szCs w:val="22"/>
          <w:lang w:val="lt-LT"/>
        </w:rPr>
        <w:t xml:space="preserve"> </w:t>
      </w:r>
      <w:r w:rsidRPr="00F5636C">
        <w:rPr>
          <w:sz w:val="22"/>
          <w:szCs w:val="22"/>
          <w:lang w:val="lt-LT"/>
        </w:rPr>
        <w:t xml:space="preserve">Stiprių magnetinių laukų institutas, patalpa </w:t>
      </w:r>
      <w:r w:rsidR="008C36A7" w:rsidRPr="00F5636C">
        <w:rPr>
          <w:sz w:val="22"/>
          <w:szCs w:val="22"/>
          <w:lang w:val="lt-LT"/>
        </w:rPr>
        <w:t>P1-424</w:t>
      </w:r>
      <w:r w:rsidRPr="00F5636C">
        <w:rPr>
          <w:sz w:val="22"/>
          <w:szCs w:val="22"/>
          <w:lang w:val="lt-LT"/>
        </w:rPr>
        <w:t>, Plytinės g. 2</w:t>
      </w:r>
      <w:r w:rsidR="008C36A7" w:rsidRPr="00F5636C">
        <w:rPr>
          <w:sz w:val="22"/>
          <w:szCs w:val="22"/>
          <w:lang w:val="lt-LT"/>
        </w:rPr>
        <w:t>7</w:t>
      </w:r>
      <w:r w:rsidRPr="00F5636C">
        <w:rPr>
          <w:sz w:val="22"/>
          <w:szCs w:val="22"/>
          <w:lang w:val="lt-LT"/>
        </w:rPr>
        <w:t>, Vilnius, Lietuva</w:t>
      </w:r>
      <w:r w:rsidR="00F5636C">
        <w:rPr>
          <w:sz w:val="22"/>
          <w:szCs w:val="22"/>
          <w:lang w:val="lt-LT" w:eastAsia="lt-LT"/>
        </w:rPr>
        <w:t>.</w:t>
      </w:r>
      <w:r w:rsidR="001138A5" w:rsidRPr="00F5636C">
        <w:rPr>
          <w:sz w:val="22"/>
          <w:szCs w:val="22"/>
          <w:lang w:val="lt-LT" w:eastAsia="lt-LT"/>
        </w:rPr>
        <w:t xml:space="preserve"> </w:t>
      </w:r>
    </w:p>
    <w:p w14:paraId="38BD13DF" w14:textId="09F7B22A" w:rsidR="00916191" w:rsidRPr="00F5636C" w:rsidRDefault="00916191" w:rsidP="00916191">
      <w:pPr>
        <w:pStyle w:val="ListParagraph"/>
        <w:numPr>
          <w:ilvl w:val="0"/>
          <w:numId w:val="1"/>
        </w:numPr>
        <w:tabs>
          <w:tab w:val="left" w:pos="567"/>
        </w:tabs>
        <w:spacing w:line="276" w:lineRule="auto"/>
        <w:ind w:left="0" w:firstLine="0"/>
        <w:jc w:val="both"/>
        <w:rPr>
          <w:color w:val="000000" w:themeColor="text1"/>
          <w:sz w:val="22"/>
          <w:szCs w:val="22"/>
          <w:lang w:val="lt-LT"/>
        </w:rPr>
      </w:pPr>
      <w:r w:rsidRPr="00D418D9">
        <w:rPr>
          <w:b/>
          <w:bCs/>
          <w:color w:val="000000" w:themeColor="text1"/>
          <w:sz w:val="22"/>
          <w:szCs w:val="22"/>
          <w:lang w:val="lt-LT"/>
        </w:rPr>
        <w:t>Pristatymo terminai</w:t>
      </w:r>
      <w:r w:rsidRPr="00F5636C">
        <w:rPr>
          <w:color w:val="000000" w:themeColor="text1"/>
          <w:sz w:val="22"/>
          <w:szCs w:val="22"/>
          <w:lang w:val="lt-LT"/>
        </w:rPr>
        <w:t xml:space="preserve"> – ne vėliau kaip </w:t>
      </w:r>
      <w:r w:rsidR="00D418D9">
        <w:rPr>
          <w:color w:val="000000" w:themeColor="text1"/>
          <w:sz w:val="22"/>
          <w:szCs w:val="22"/>
          <w:lang w:val="lt-LT"/>
        </w:rPr>
        <w:t xml:space="preserve">per </w:t>
      </w:r>
      <w:r w:rsidR="00D13B50" w:rsidRPr="00D418D9">
        <w:rPr>
          <w:b/>
          <w:bCs/>
          <w:color w:val="000000" w:themeColor="text1"/>
          <w:sz w:val="22"/>
          <w:szCs w:val="22"/>
          <w:lang w:val="lt-LT"/>
        </w:rPr>
        <w:t>3</w:t>
      </w:r>
      <w:r w:rsidRPr="00D418D9">
        <w:rPr>
          <w:b/>
          <w:bCs/>
          <w:color w:val="000000" w:themeColor="text1"/>
          <w:sz w:val="22"/>
          <w:szCs w:val="22"/>
          <w:lang w:val="lt-LT"/>
        </w:rPr>
        <w:t xml:space="preserve"> mėnesius</w:t>
      </w:r>
      <w:r w:rsidRPr="00F5636C">
        <w:rPr>
          <w:color w:val="000000" w:themeColor="text1"/>
          <w:sz w:val="22"/>
          <w:szCs w:val="22"/>
          <w:lang w:val="lt-LT"/>
        </w:rPr>
        <w:t xml:space="preserve"> nuo pirkimo sutarties </w:t>
      </w:r>
      <w:r w:rsidR="001138A5" w:rsidRPr="00F5636C">
        <w:rPr>
          <w:color w:val="000000" w:themeColor="text1"/>
          <w:sz w:val="22"/>
          <w:szCs w:val="22"/>
          <w:lang w:val="lt-LT"/>
        </w:rPr>
        <w:t xml:space="preserve">įsigaliojimo </w:t>
      </w:r>
      <w:r w:rsidRPr="00F5636C">
        <w:rPr>
          <w:color w:val="000000" w:themeColor="text1"/>
          <w:sz w:val="22"/>
          <w:szCs w:val="22"/>
          <w:lang w:val="lt-LT"/>
        </w:rPr>
        <w:t>dienos.</w:t>
      </w:r>
    </w:p>
    <w:p w14:paraId="425F78F4" w14:textId="30941FF8" w:rsidR="002E3B2E" w:rsidRPr="00E174D5" w:rsidRDefault="00916191" w:rsidP="001138A5">
      <w:pPr>
        <w:pStyle w:val="ListParagraph"/>
        <w:numPr>
          <w:ilvl w:val="0"/>
          <w:numId w:val="1"/>
        </w:numPr>
        <w:tabs>
          <w:tab w:val="left" w:pos="567"/>
        </w:tabs>
        <w:spacing w:line="276" w:lineRule="auto"/>
        <w:ind w:left="0" w:firstLine="0"/>
        <w:jc w:val="both"/>
        <w:rPr>
          <w:color w:val="000000" w:themeColor="text1"/>
          <w:sz w:val="22"/>
          <w:szCs w:val="22"/>
          <w:lang w:val="lt-LT"/>
        </w:rPr>
      </w:pPr>
      <w:r w:rsidRPr="00F5636C">
        <w:rPr>
          <w:color w:val="000000" w:themeColor="text1"/>
          <w:sz w:val="22"/>
          <w:szCs w:val="22"/>
          <w:lang w:val="lt-LT"/>
        </w:rPr>
        <w:t>Tiekėjas savo lėšomis, transportu ir jėgomis turi pristatyti Įrangą, sumontuoti</w:t>
      </w:r>
      <w:r w:rsidR="008C36A7" w:rsidRPr="00F5636C">
        <w:rPr>
          <w:color w:val="000000" w:themeColor="text1"/>
          <w:sz w:val="22"/>
          <w:szCs w:val="22"/>
          <w:lang w:val="lt-LT"/>
        </w:rPr>
        <w:t xml:space="preserve"> į </w:t>
      </w:r>
      <w:proofErr w:type="spellStart"/>
      <w:r w:rsidR="008C36A7" w:rsidRPr="00F5636C">
        <w:rPr>
          <w:color w:val="000000" w:themeColor="text1"/>
          <w:sz w:val="22"/>
          <w:szCs w:val="22"/>
          <w:lang w:val="lt-LT"/>
        </w:rPr>
        <w:t>citometrijos</w:t>
      </w:r>
      <w:proofErr w:type="spellEnd"/>
      <w:r w:rsidR="008C36A7" w:rsidRPr="00F5636C">
        <w:rPr>
          <w:color w:val="000000" w:themeColor="text1"/>
          <w:sz w:val="22"/>
          <w:szCs w:val="22"/>
          <w:lang w:val="lt-LT"/>
        </w:rPr>
        <w:t xml:space="preserve"> sistemą</w:t>
      </w:r>
      <w:r w:rsidRPr="00F5636C">
        <w:rPr>
          <w:color w:val="000000" w:themeColor="text1"/>
          <w:sz w:val="22"/>
          <w:szCs w:val="22"/>
          <w:lang w:val="lt-LT"/>
        </w:rPr>
        <w:t>, patikrinti Įrangos funkcionalumą</w:t>
      </w:r>
      <w:r w:rsidR="00D254CF" w:rsidRPr="00F5636C">
        <w:rPr>
          <w:color w:val="000000" w:themeColor="text1"/>
          <w:sz w:val="22"/>
          <w:szCs w:val="22"/>
          <w:lang w:val="lt-LT"/>
        </w:rPr>
        <w:t xml:space="preserve"> ir pilną suderinamumą </w:t>
      </w:r>
      <w:r w:rsidR="00D254CF" w:rsidRPr="00DF3250">
        <w:rPr>
          <w:sz w:val="22"/>
          <w:szCs w:val="22"/>
          <w:lang w:val="lt-LT"/>
        </w:rPr>
        <w:t xml:space="preserve">su </w:t>
      </w:r>
      <w:r w:rsidR="00345852" w:rsidRPr="00DF3250">
        <w:rPr>
          <w:sz w:val="22"/>
          <w:szCs w:val="22"/>
          <w:lang w:val="lt-LT"/>
        </w:rPr>
        <w:t xml:space="preserve">turimu </w:t>
      </w:r>
      <w:proofErr w:type="spellStart"/>
      <w:r w:rsidR="00D254CF" w:rsidRPr="00DF3250">
        <w:rPr>
          <w:sz w:val="22"/>
          <w:szCs w:val="22"/>
          <w:lang w:val="lt-LT"/>
        </w:rPr>
        <w:t>citometru</w:t>
      </w:r>
      <w:proofErr w:type="spellEnd"/>
      <w:r w:rsidR="00345852" w:rsidRPr="00DF3250">
        <w:rPr>
          <w:sz w:val="22"/>
          <w:szCs w:val="22"/>
          <w:lang w:val="lt-LT"/>
        </w:rPr>
        <w:t xml:space="preserve"> </w:t>
      </w:r>
      <w:proofErr w:type="spellStart"/>
      <w:r w:rsidR="00345852" w:rsidRPr="00DF3250">
        <w:rPr>
          <w:sz w:val="22"/>
          <w:szCs w:val="22"/>
          <w:lang w:val="lt-LT"/>
        </w:rPr>
        <w:t>Attune</w:t>
      </w:r>
      <w:proofErr w:type="spellEnd"/>
      <w:r w:rsidR="00345852" w:rsidRPr="00DF3250">
        <w:rPr>
          <w:sz w:val="22"/>
          <w:szCs w:val="22"/>
          <w:lang w:val="lt-LT"/>
        </w:rPr>
        <w:t xml:space="preserve"> </w:t>
      </w:r>
      <w:proofErr w:type="spellStart"/>
      <w:r w:rsidR="00345852" w:rsidRPr="00DF3250">
        <w:rPr>
          <w:sz w:val="22"/>
          <w:szCs w:val="22"/>
          <w:lang w:val="lt-LT"/>
        </w:rPr>
        <w:t>NxT</w:t>
      </w:r>
      <w:proofErr w:type="spellEnd"/>
      <w:r w:rsidRPr="00DF3250">
        <w:rPr>
          <w:sz w:val="22"/>
          <w:szCs w:val="22"/>
          <w:lang w:val="lt-LT"/>
        </w:rPr>
        <w:t>.</w:t>
      </w:r>
    </w:p>
    <w:p w14:paraId="5F52361C" w14:textId="46D86CFB" w:rsidR="00D40829" w:rsidRPr="00A27BA1" w:rsidRDefault="00D40829" w:rsidP="00916191">
      <w:pPr>
        <w:pStyle w:val="ListParagraph"/>
        <w:numPr>
          <w:ilvl w:val="0"/>
          <w:numId w:val="1"/>
        </w:numPr>
        <w:tabs>
          <w:tab w:val="left" w:pos="567"/>
        </w:tabs>
        <w:spacing w:line="276" w:lineRule="auto"/>
        <w:ind w:left="0" w:firstLine="0"/>
        <w:jc w:val="both"/>
        <w:rPr>
          <w:sz w:val="22"/>
          <w:szCs w:val="22"/>
          <w:lang w:val="lt-LT"/>
        </w:rPr>
      </w:pPr>
      <w:r w:rsidRPr="00A27BA1">
        <w:rPr>
          <w:sz w:val="22"/>
          <w:szCs w:val="22"/>
          <w:lang w:val="lt-LT"/>
        </w:rPr>
        <w:t>Kartu s</w:t>
      </w:r>
      <w:r w:rsidR="00527842" w:rsidRPr="00A27BA1">
        <w:rPr>
          <w:sz w:val="22"/>
          <w:szCs w:val="22"/>
          <w:lang w:val="lt-LT"/>
        </w:rPr>
        <w:t>u pasiūlymu Tiekėjas</w:t>
      </w:r>
      <w:r w:rsidRPr="00A27BA1">
        <w:t xml:space="preserve"> (</w:t>
      </w:r>
      <w:r w:rsidRPr="00A27BA1">
        <w:rPr>
          <w:sz w:val="22"/>
          <w:szCs w:val="22"/>
          <w:lang w:val="lt-LT"/>
        </w:rPr>
        <w:t>jeigu jis pats nėra Įrangos gamintojas)</w:t>
      </w:r>
      <w:r w:rsidR="00527842" w:rsidRPr="00A27BA1">
        <w:rPr>
          <w:sz w:val="22"/>
          <w:szCs w:val="22"/>
          <w:lang w:val="lt-LT"/>
        </w:rPr>
        <w:t xml:space="preserve"> privalo pateikti</w:t>
      </w:r>
      <w:r w:rsidR="000C02EF" w:rsidRPr="00A27BA1">
        <w:rPr>
          <w:sz w:val="22"/>
          <w:szCs w:val="22"/>
          <w:lang w:val="lt-LT"/>
        </w:rPr>
        <w:t xml:space="preserve"> </w:t>
      </w:r>
      <w:proofErr w:type="spellStart"/>
      <w:r w:rsidR="000C02EF" w:rsidRPr="00A27BA1">
        <w:rPr>
          <w:sz w:val="22"/>
          <w:szCs w:val="22"/>
          <w:lang w:val="lt-LT"/>
        </w:rPr>
        <w:t>Attune</w:t>
      </w:r>
      <w:proofErr w:type="spellEnd"/>
      <w:r w:rsidR="000C02EF" w:rsidRPr="00A27BA1">
        <w:rPr>
          <w:sz w:val="22"/>
          <w:szCs w:val="22"/>
          <w:lang w:val="lt-LT"/>
        </w:rPr>
        <w:t xml:space="preserve"> </w:t>
      </w:r>
      <w:proofErr w:type="spellStart"/>
      <w:r w:rsidR="000C02EF" w:rsidRPr="00A27BA1">
        <w:rPr>
          <w:sz w:val="22"/>
          <w:szCs w:val="22"/>
          <w:lang w:val="lt-LT"/>
        </w:rPr>
        <w:t>NxT</w:t>
      </w:r>
      <w:proofErr w:type="spellEnd"/>
      <w:r w:rsidR="00527842" w:rsidRPr="00A27BA1">
        <w:rPr>
          <w:sz w:val="22"/>
          <w:szCs w:val="22"/>
          <w:lang w:val="lt-LT"/>
        </w:rPr>
        <w:t xml:space="preserve"> </w:t>
      </w:r>
      <w:proofErr w:type="spellStart"/>
      <w:r w:rsidR="00527842" w:rsidRPr="00A27BA1">
        <w:rPr>
          <w:sz w:val="22"/>
          <w:szCs w:val="22"/>
          <w:lang w:val="lt-LT"/>
        </w:rPr>
        <w:t>citometro</w:t>
      </w:r>
      <w:proofErr w:type="spellEnd"/>
      <w:r w:rsidR="00527842" w:rsidRPr="00A27BA1">
        <w:rPr>
          <w:sz w:val="22"/>
          <w:szCs w:val="22"/>
          <w:lang w:val="lt-LT"/>
        </w:rPr>
        <w:t xml:space="preserve"> gamintojo arba jo įgalioto atstovo (turinčio </w:t>
      </w:r>
      <w:r w:rsidR="000C02EF" w:rsidRPr="00A27BA1">
        <w:rPr>
          <w:sz w:val="22"/>
          <w:szCs w:val="22"/>
          <w:lang w:val="lt-LT"/>
        </w:rPr>
        <w:t xml:space="preserve">gamintojo suteiktą teisę </w:t>
      </w:r>
      <w:r w:rsidR="00527842" w:rsidRPr="00A27BA1">
        <w:rPr>
          <w:sz w:val="22"/>
          <w:szCs w:val="22"/>
          <w:lang w:val="lt-LT"/>
        </w:rPr>
        <w:t xml:space="preserve">atlikti </w:t>
      </w:r>
      <w:proofErr w:type="spellStart"/>
      <w:r w:rsidR="00527842" w:rsidRPr="00A27BA1">
        <w:rPr>
          <w:sz w:val="22"/>
          <w:szCs w:val="22"/>
          <w:lang w:val="lt-LT"/>
        </w:rPr>
        <w:t>Attune</w:t>
      </w:r>
      <w:proofErr w:type="spellEnd"/>
      <w:r w:rsidR="00527842" w:rsidRPr="00A27BA1">
        <w:rPr>
          <w:sz w:val="22"/>
          <w:szCs w:val="22"/>
          <w:lang w:val="lt-LT"/>
        </w:rPr>
        <w:t xml:space="preserve"> </w:t>
      </w:r>
      <w:proofErr w:type="spellStart"/>
      <w:r w:rsidR="00527842" w:rsidRPr="00A27BA1">
        <w:rPr>
          <w:sz w:val="22"/>
          <w:szCs w:val="22"/>
          <w:lang w:val="lt-LT"/>
        </w:rPr>
        <w:t>NxT</w:t>
      </w:r>
      <w:proofErr w:type="spellEnd"/>
      <w:r w:rsidR="00527842" w:rsidRPr="00A27BA1">
        <w:rPr>
          <w:sz w:val="22"/>
          <w:szCs w:val="22"/>
          <w:lang w:val="lt-LT"/>
        </w:rPr>
        <w:t xml:space="preserve"> tėkmės </w:t>
      </w:r>
      <w:proofErr w:type="spellStart"/>
      <w:r w:rsidR="00527842" w:rsidRPr="00A27BA1">
        <w:rPr>
          <w:sz w:val="22"/>
          <w:szCs w:val="22"/>
          <w:lang w:val="lt-LT"/>
        </w:rPr>
        <w:t>citometro</w:t>
      </w:r>
      <w:proofErr w:type="spellEnd"/>
      <w:r w:rsidR="00527842" w:rsidRPr="00A27BA1">
        <w:rPr>
          <w:sz w:val="22"/>
          <w:szCs w:val="22"/>
          <w:lang w:val="lt-LT"/>
        </w:rPr>
        <w:t xml:space="preserve"> aptarnavimo ir priežiūros paslaugas) patvirtinimą, arba kitus lygiaverčius įrodymus, pagrindžiančius, kad siūloma įranga yra visiškai suderinama su </w:t>
      </w:r>
      <w:proofErr w:type="spellStart"/>
      <w:r w:rsidR="00527842" w:rsidRPr="00A27BA1">
        <w:rPr>
          <w:sz w:val="22"/>
          <w:szCs w:val="22"/>
          <w:lang w:val="lt-LT"/>
        </w:rPr>
        <w:t>Attune</w:t>
      </w:r>
      <w:proofErr w:type="spellEnd"/>
      <w:r w:rsidR="00527842" w:rsidRPr="00A27BA1">
        <w:rPr>
          <w:sz w:val="22"/>
          <w:szCs w:val="22"/>
          <w:lang w:val="lt-LT"/>
        </w:rPr>
        <w:t xml:space="preserve"> </w:t>
      </w:r>
      <w:proofErr w:type="spellStart"/>
      <w:r w:rsidR="00527842" w:rsidRPr="00A27BA1">
        <w:rPr>
          <w:sz w:val="22"/>
          <w:szCs w:val="22"/>
          <w:lang w:val="lt-LT"/>
        </w:rPr>
        <w:t>NxT</w:t>
      </w:r>
      <w:proofErr w:type="spellEnd"/>
      <w:r w:rsidR="00527842" w:rsidRPr="00A27BA1">
        <w:rPr>
          <w:sz w:val="22"/>
          <w:szCs w:val="22"/>
          <w:lang w:val="lt-LT"/>
        </w:rPr>
        <w:t xml:space="preserve"> tėkmės </w:t>
      </w:r>
      <w:proofErr w:type="spellStart"/>
      <w:r w:rsidR="00527842" w:rsidRPr="00A27BA1">
        <w:rPr>
          <w:sz w:val="22"/>
          <w:szCs w:val="22"/>
          <w:lang w:val="lt-LT"/>
        </w:rPr>
        <w:t>citometru</w:t>
      </w:r>
      <w:proofErr w:type="spellEnd"/>
      <w:r w:rsidR="00527842" w:rsidRPr="00A27BA1">
        <w:rPr>
          <w:sz w:val="22"/>
          <w:szCs w:val="22"/>
          <w:lang w:val="lt-LT"/>
        </w:rPr>
        <w:t xml:space="preserve">. Jei pateikiamas </w:t>
      </w:r>
      <w:proofErr w:type="spellStart"/>
      <w:r w:rsidR="00527842" w:rsidRPr="00A27BA1">
        <w:rPr>
          <w:sz w:val="22"/>
          <w:szCs w:val="22"/>
          <w:lang w:val="lt-LT"/>
        </w:rPr>
        <w:t>citometro</w:t>
      </w:r>
      <w:proofErr w:type="spellEnd"/>
      <w:r w:rsidR="00527842" w:rsidRPr="00A27BA1">
        <w:rPr>
          <w:sz w:val="22"/>
          <w:szCs w:val="22"/>
          <w:lang w:val="lt-LT"/>
        </w:rPr>
        <w:t xml:space="preserve"> gamintojo įgalioto atstovo patvirtinimas ar kiti lygiaverčiai įrodymai, kartu su pasiūlymu turi būti pateikti dokumentai, patvirtinantys, kad gamintojas yra įgaliojęs atstovą vykdyti </w:t>
      </w:r>
      <w:proofErr w:type="spellStart"/>
      <w:r w:rsidR="00527842" w:rsidRPr="00A27BA1">
        <w:rPr>
          <w:sz w:val="22"/>
          <w:szCs w:val="22"/>
          <w:lang w:val="lt-LT"/>
        </w:rPr>
        <w:t>Attune</w:t>
      </w:r>
      <w:proofErr w:type="spellEnd"/>
      <w:r w:rsidR="00527842" w:rsidRPr="00A27BA1">
        <w:rPr>
          <w:sz w:val="22"/>
          <w:szCs w:val="22"/>
          <w:lang w:val="lt-LT"/>
        </w:rPr>
        <w:t xml:space="preserve"> </w:t>
      </w:r>
      <w:proofErr w:type="spellStart"/>
      <w:r w:rsidR="00527842" w:rsidRPr="00A27BA1">
        <w:rPr>
          <w:sz w:val="22"/>
          <w:szCs w:val="22"/>
          <w:lang w:val="lt-LT"/>
        </w:rPr>
        <w:t>NxT</w:t>
      </w:r>
      <w:proofErr w:type="spellEnd"/>
      <w:r w:rsidR="00527842" w:rsidRPr="00A27BA1">
        <w:rPr>
          <w:sz w:val="22"/>
          <w:szCs w:val="22"/>
          <w:lang w:val="lt-LT"/>
        </w:rPr>
        <w:t xml:space="preserve"> tėkmės </w:t>
      </w:r>
      <w:proofErr w:type="spellStart"/>
      <w:r w:rsidR="00527842" w:rsidRPr="00A27BA1">
        <w:rPr>
          <w:sz w:val="22"/>
          <w:szCs w:val="22"/>
          <w:lang w:val="lt-LT"/>
        </w:rPr>
        <w:t>citometro</w:t>
      </w:r>
      <w:proofErr w:type="spellEnd"/>
      <w:r w:rsidR="00527842" w:rsidRPr="00A27BA1">
        <w:rPr>
          <w:sz w:val="22"/>
          <w:szCs w:val="22"/>
          <w:lang w:val="lt-LT"/>
        </w:rPr>
        <w:t xml:space="preserve"> aptarnavimo ir priežiūros paslaugas.</w:t>
      </w:r>
    </w:p>
    <w:p w14:paraId="717445E2" w14:textId="36A12697" w:rsidR="00916191" w:rsidRPr="00F5636C" w:rsidRDefault="00916191" w:rsidP="00916191">
      <w:pPr>
        <w:pStyle w:val="ListParagraph"/>
        <w:numPr>
          <w:ilvl w:val="0"/>
          <w:numId w:val="1"/>
        </w:numPr>
        <w:tabs>
          <w:tab w:val="left" w:pos="567"/>
        </w:tabs>
        <w:spacing w:line="276" w:lineRule="auto"/>
        <w:ind w:left="0" w:firstLine="0"/>
        <w:jc w:val="both"/>
        <w:rPr>
          <w:color w:val="000000" w:themeColor="text1"/>
          <w:sz w:val="22"/>
          <w:szCs w:val="22"/>
          <w:lang w:val="lt-LT"/>
        </w:rPr>
      </w:pPr>
      <w:r w:rsidRPr="00F5636C">
        <w:rPr>
          <w:rFonts w:eastAsia="Calibri"/>
          <w:color w:val="000000" w:themeColor="text1"/>
          <w:sz w:val="22"/>
          <w:szCs w:val="22"/>
          <w:lang w:val="lt-LT"/>
        </w:rPr>
        <w:t>Įrangai</w:t>
      </w:r>
      <w:r w:rsidRPr="00F5636C">
        <w:rPr>
          <w:color w:val="000000" w:themeColor="text1"/>
          <w:sz w:val="22"/>
          <w:szCs w:val="22"/>
          <w:lang w:val="lt-LT"/>
        </w:rPr>
        <w:t xml:space="preserve"> (įskaitant jos sudėtines/komplektuojamas dalis)</w:t>
      </w:r>
      <w:r w:rsidRPr="00F5636C">
        <w:rPr>
          <w:rFonts w:eastAsia="Calibri"/>
          <w:color w:val="000000" w:themeColor="text1"/>
          <w:sz w:val="22"/>
          <w:szCs w:val="22"/>
          <w:lang w:val="lt-LT"/>
        </w:rPr>
        <w:t xml:space="preserve"> turi būti suteikiama garantija ne trumpesniam </w:t>
      </w:r>
      <w:r w:rsidRPr="000C02EF">
        <w:rPr>
          <w:rFonts w:eastAsia="Calibri"/>
          <w:b/>
          <w:bCs/>
          <w:color w:val="000000" w:themeColor="text1"/>
          <w:sz w:val="22"/>
          <w:szCs w:val="22"/>
          <w:lang w:val="lt-LT"/>
        </w:rPr>
        <w:t xml:space="preserve">kaip </w:t>
      </w:r>
      <w:r w:rsidR="008E6EC8" w:rsidRPr="000C02EF">
        <w:rPr>
          <w:rFonts w:eastAsia="Calibri"/>
          <w:b/>
          <w:bCs/>
          <w:color w:val="000000" w:themeColor="text1"/>
          <w:sz w:val="22"/>
          <w:szCs w:val="22"/>
          <w:lang w:val="lt-LT"/>
        </w:rPr>
        <w:t>12</w:t>
      </w:r>
      <w:r w:rsidRPr="000C02EF">
        <w:rPr>
          <w:rFonts w:eastAsia="Calibri"/>
          <w:b/>
          <w:bCs/>
          <w:color w:val="000000" w:themeColor="text1"/>
          <w:sz w:val="22"/>
          <w:szCs w:val="22"/>
          <w:lang w:val="lt-LT"/>
        </w:rPr>
        <w:t xml:space="preserve"> mėnesių terminui</w:t>
      </w:r>
      <w:r w:rsidRPr="00F5636C">
        <w:rPr>
          <w:color w:val="000000" w:themeColor="text1"/>
          <w:sz w:val="22"/>
          <w:szCs w:val="22"/>
          <w:lang w:val="lt-LT"/>
        </w:rPr>
        <w:t xml:space="preserve"> </w:t>
      </w:r>
      <w:r w:rsidRPr="00F5636C">
        <w:rPr>
          <w:sz w:val="22"/>
          <w:szCs w:val="22"/>
          <w:lang w:val="lt-LT"/>
        </w:rPr>
        <w:t>nuo perdavimo-priėmimo akto pasirašymo</w:t>
      </w:r>
      <w:r w:rsidR="00D418D9">
        <w:rPr>
          <w:sz w:val="22"/>
          <w:szCs w:val="22"/>
          <w:lang w:val="lt-LT"/>
        </w:rPr>
        <w:t xml:space="preserve"> dienos</w:t>
      </w:r>
      <w:r w:rsidRPr="00F5636C">
        <w:rPr>
          <w:rFonts w:eastAsia="Calibri"/>
          <w:sz w:val="22"/>
          <w:szCs w:val="22"/>
          <w:lang w:val="lt-LT"/>
        </w:rPr>
        <w:t>.</w:t>
      </w:r>
    </w:p>
    <w:p w14:paraId="1833C737" w14:textId="1FAE0CBE" w:rsidR="00DF7DFE" w:rsidRPr="000C02EF" w:rsidRDefault="00F5636C" w:rsidP="00D36B29">
      <w:pPr>
        <w:pStyle w:val="ListParagraph"/>
        <w:numPr>
          <w:ilvl w:val="0"/>
          <w:numId w:val="1"/>
        </w:numPr>
        <w:tabs>
          <w:tab w:val="left" w:pos="567"/>
        </w:tabs>
        <w:spacing w:line="276" w:lineRule="auto"/>
        <w:ind w:left="0" w:firstLine="0"/>
        <w:jc w:val="both"/>
        <w:rPr>
          <w:b/>
          <w:bCs/>
          <w:color w:val="000000" w:themeColor="text1"/>
          <w:sz w:val="22"/>
          <w:szCs w:val="22"/>
          <w:lang w:val="lt-LT"/>
        </w:rPr>
      </w:pPr>
      <w:r w:rsidRPr="00DF7DFE">
        <w:rPr>
          <w:color w:val="000000" w:themeColor="text1"/>
          <w:sz w:val="22"/>
          <w:szCs w:val="22"/>
          <w:lang w:val="lt-LT"/>
        </w:rPr>
        <w:t>Įranga turi turėti CE ženklinimą ir tai patvirtinantį CE sertifikatą /-</w:t>
      </w:r>
      <w:proofErr w:type="spellStart"/>
      <w:r w:rsidRPr="00DF7DFE">
        <w:rPr>
          <w:color w:val="000000" w:themeColor="text1"/>
          <w:sz w:val="22"/>
          <w:szCs w:val="22"/>
          <w:lang w:val="lt-LT"/>
        </w:rPr>
        <w:t>us</w:t>
      </w:r>
      <w:proofErr w:type="spellEnd"/>
      <w:r w:rsidRPr="00DF7DFE">
        <w:rPr>
          <w:color w:val="000000" w:themeColor="text1"/>
          <w:sz w:val="22"/>
          <w:szCs w:val="22"/>
          <w:lang w:val="lt-LT"/>
        </w:rPr>
        <w:t xml:space="preserve">. </w:t>
      </w:r>
      <w:r w:rsidRPr="000C02EF">
        <w:rPr>
          <w:b/>
          <w:bCs/>
          <w:color w:val="000000" w:themeColor="text1"/>
          <w:sz w:val="22"/>
          <w:szCs w:val="22"/>
          <w:lang w:val="lt-LT"/>
        </w:rPr>
        <w:t xml:space="preserve">Kartu su </w:t>
      </w:r>
      <w:r w:rsidR="000C02EF" w:rsidRPr="000C02EF">
        <w:rPr>
          <w:b/>
          <w:bCs/>
          <w:color w:val="000000" w:themeColor="text1"/>
          <w:sz w:val="22"/>
          <w:szCs w:val="22"/>
          <w:lang w:val="lt-LT"/>
        </w:rPr>
        <w:t>pasiūlymu</w:t>
      </w:r>
      <w:r w:rsidRPr="000C02EF">
        <w:rPr>
          <w:b/>
          <w:bCs/>
          <w:color w:val="000000" w:themeColor="text1"/>
          <w:sz w:val="22"/>
          <w:szCs w:val="22"/>
          <w:lang w:val="lt-LT"/>
        </w:rPr>
        <w:t xml:space="preserve"> pateikiamas CE sertifikatas ir (ar) gamintojo CE atitikties deklaracija ar kiti lygiaverčiai įrodymai.</w:t>
      </w:r>
    </w:p>
    <w:p w14:paraId="411AC5CA" w14:textId="6ADB62D4" w:rsidR="00DF7DFE" w:rsidRPr="00D40829" w:rsidRDefault="00DF7DFE" w:rsidP="00D37DC0">
      <w:pPr>
        <w:pStyle w:val="ListParagraph"/>
        <w:numPr>
          <w:ilvl w:val="0"/>
          <w:numId w:val="1"/>
        </w:numPr>
        <w:tabs>
          <w:tab w:val="left" w:pos="567"/>
        </w:tabs>
        <w:ind w:left="0" w:firstLine="0"/>
        <w:jc w:val="both"/>
        <w:rPr>
          <w:b/>
          <w:bCs/>
          <w:color w:val="000000" w:themeColor="text1"/>
          <w:sz w:val="22"/>
          <w:szCs w:val="22"/>
          <w:lang w:val="lt-LT"/>
        </w:rPr>
      </w:pPr>
      <w:r w:rsidRPr="00DF7DFE">
        <w:rPr>
          <w:color w:val="000000" w:themeColor="text1"/>
          <w:sz w:val="22"/>
          <w:szCs w:val="22"/>
          <w:lang w:val="lt-LT"/>
        </w:rPr>
        <w:t>Tiekėjas (jeigu jis pats nėra Įrangos gamintojas) turi turėti teisę atlikti siūlomos Įrangos aptarnavimo ir priežiūros paslaugas arba turi būti sudaręs atitinkamų paslaugų teikimo sutartį (ar lygiavertį rašytinį susitarimą) su kitu ūkio subjektu, kuriam suteikta teisė atlikti siūlomos Įrangos aptarnavimą ir priežiūrą ir jis sutinka teikti siūlomos Įrangos aptarnavimo ir priežiūros paslaugas</w:t>
      </w:r>
      <w:r w:rsidR="00E174D5">
        <w:rPr>
          <w:color w:val="000000" w:themeColor="text1"/>
          <w:sz w:val="22"/>
          <w:szCs w:val="22"/>
          <w:lang w:val="lt-LT"/>
        </w:rPr>
        <w:t xml:space="preserve">. </w:t>
      </w:r>
      <w:r w:rsidRPr="00D40829">
        <w:rPr>
          <w:b/>
          <w:bCs/>
          <w:color w:val="000000" w:themeColor="text1"/>
          <w:sz w:val="22"/>
          <w:szCs w:val="22"/>
          <w:lang w:val="lt-LT"/>
        </w:rPr>
        <w:t>Kartu su pasiūlymu pateikiami gamintojo patvirtinti dokumentai, kad tiekėjas turi teisę atlikti siūlomos Įrangos aptarnavimo ir priežiūros paslaugas arba, dokumentai patvirtinantys, kad tiekėjas yra sudaręs paslaugų sutartį (ar lygiavertį rašytinį susitarimą) su kitu ūkio subjektu, kuriam suteikta teisė atlikti siūlomos Įrangos aptarnavimo ir priežiūros paslaugas ir jis (kitas ūkio subjektas) sutinka atlikti siūlomos Įrangos aptarnavimo ir priežiūros paslaugas sutarties vykdymo metu, arba kiti lygiaverčiai dokumentai.</w:t>
      </w:r>
    </w:p>
    <w:p w14:paraId="6D66D2EE" w14:textId="156E3CAF" w:rsidR="00D37DC0" w:rsidRPr="00F5636C" w:rsidRDefault="00D37DC0" w:rsidP="00D37DC0">
      <w:pPr>
        <w:pStyle w:val="ListParagraph"/>
        <w:numPr>
          <w:ilvl w:val="0"/>
          <w:numId w:val="1"/>
        </w:numPr>
        <w:tabs>
          <w:tab w:val="left" w:pos="567"/>
        </w:tabs>
        <w:ind w:left="0" w:firstLine="0"/>
        <w:jc w:val="both"/>
        <w:rPr>
          <w:color w:val="000000" w:themeColor="text1"/>
          <w:sz w:val="22"/>
          <w:szCs w:val="22"/>
          <w:lang w:val="lt-LT"/>
        </w:rPr>
      </w:pPr>
      <w:r w:rsidRPr="00F5636C">
        <w:rPr>
          <w:b/>
          <w:bCs/>
          <w:sz w:val="22"/>
          <w:szCs w:val="22"/>
          <w:lang w:val="lt-LT"/>
        </w:rPr>
        <w:t>Vykdomas žaliasis pirkimas.</w:t>
      </w:r>
      <w:r w:rsidRPr="00F5636C">
        <w:rPr>
          <w:sz w:val="22"/>
          <w:szCs w:val="22"/>
          <w:lang w:val="lt-LT"/>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w:t>
      </w:r>
      <w:r w:rsidRPr="00F5636C">
        <w:rPr>
          <w:sz w:val="22"/>
          <w:szCs w:val="22"/>
          <w:lang w:val="lt-LT"/>
        </w:rPr>
        <w:lastRenderedPageBreak/>
        <w:t>perkantieji subjektai turi taikyti pirkdami prekes, paslaugas ar darbus, taikymo tvarkos aprašo patvirtinimo“ pakeitimo“ nuostatomis (toliau – Aprašas):</w:t>
      </w:r>
    </w:p>
    <w:p w14:paraId="60EABF6E" w14:textId="77777777" w:rsidR="00F5636C" w:rsidRPr="00F5636C" w:rsidRDefault="00F5636C" w:rsidP="00F5636C">
      <w:pPr>
        <w:pStyle w:val="ListParagraph"/>
        <w:numPr>
          <w:ilvl w:val="1"/>
          <w:numId w:val="1"/>
        </w:numPr>
        <w:tabs>
          <w:tab w:val="left" w:pos="567"/>
        </w:tabs>
        <w:ind w:left="0" w:firstLine="567"/>
        <w:jc w:val="both"/>
        <w:rPr>
          <w:color w:val="000000" w:themeColor="text1"/>
          <w:sz w:val="22"/>
          <w:szCs w:val="22"/>
          <w:lang w:val="lt-LT"/>
        </w:rPr>
      </w:pPr>
      <w:r w:rsidRPr="00F5636C">
        <w:rPr>
          <w:color w:val="000000" w:themeColor="text1"/>
          <w:sz w:val="22"/>
          <w:szCs w:val="22"/>
          <w:lang w:val="lt-LT"/>
        </w:rPr>
        <w:t xml:space="preserve">Vadovaujantis Aprašo 4.4.4.2 papunkčiu: siūloma Įranga turi atitikti Europos Parlamento ir Tarybos direktyvos 2009/125/EB ekologinio projektavimo reikalavimus. </w:t>
      </w:r>
      <w:r w:rsidRPr="00D40829">
        <w:rPr>
          <w:b/>
          <w:bCs/>
          <w:color w:val="000000" w:themeColor="text1"/>
          <w:sz w:val="22"/>
          <w:szCs w:val="22"/>
          <w:lang w:val="lt-LT"/>
        </w:rPr>
        <w:t>Atitiktis turi būti įrodoma kartu su pasiūlymu pateikiant gamintojo deklaraciją arba sertifikatą, patvirtinantį direktyvos 2009/125/EB nustatytus ekologinio projektavimo reikalavimų laikymąsi arba kitus lygiaverčius įrodymus</w:t>
      </w:r>
      <w:r w:rsidRPr="00F5636C">
        <w:rPr>
          <w:color w:val="000000" w:themeColor="text1"/>
          <w:sz w:val="22"/>
          <w:szCs w:val="22"/>
          <w:lang w:val="lt-LT"/>
        </w:rPr>
        <w:t>.</w:t>
      </w:r>
    </w:p>
    <w:p w14:paraId="28BED01B" w14:textId="77777777" w:rsidR="00F5636C" w:rsidRPr="00D40829" w:rsidRDefault="00F5636C" w:rsidP="00F5636C">
      <w:pPr>
        <w:pStyle w:val="ListParagraph"/>
        <w:numPr>
          <w:ilvl w:val="1"/>
          <w:numId w:val="1"/>
        </w:numPr>
        <w:tabs>
          <w:tab w:val="left" w:pos="567"/>
        </w:tabs>
        <w:ind w:left="0" w:firstLine="567"/>
        <w:jc w:val="both"/>
        <w:rPr>
          <w:b/>
          <w:bCs/>
          <w:color w:val="000000" w:themeColor="text1"/>
          <w:sz w:val="22"/>
          <w:szCs w:val="22"/>
          <w:lang w:val="lt-LT"/>
        </w:rPr>
      </w:pPr>
      <w:r w:rsidRPr="00F5636C">
        <w:rPr>
          <w:color w:val="000000" w:themeColor="text1"/>
          <w:sz w:val="22"/>
          <w:szCs w:val="22"/>
          <w:lang w:val="lt-LT"/>
        </w:rPr>
        <w:t>Vadovaujantis Aprašo 4.4.4.3 papunkčiu: siūloma Įranga turi atitikti Europos Parlamento ir Tarybos direktyvos 2011/65/ES (</w:t>
      </w:r>
      <w:proofErr w:type="spellStart"/>
      <w:r w:rsidRPr="00F5636C">
        <w:rPr>
          <w:color w:val="000000" w:themeColor="text1"/>
          <w:sz w:val="22"/>
          <w:szCs w:val="22"/>
          <w:lang w:val="lt-LT"/>
        </w:rPr>
        <w:t>RoHS</w:t>
      </w:r>
      <w:proofErr w:type="spellEnd"/>
      <w:r w:rsidRPr="00F5636C">
        <w:rPr>
          <w:color w:val="000000" w:themeColor="text1"/>
          <w:sz w:val="22"/>
          <w:szCs w:val="22"/>
          <w:lang w:val="lt-LT"/>
        </w:rPr>
        <w:t xml:space="preserve"> ) reikalavimus, ribojančius tam tikrų pavojingų medžiagų (švino, gyvsidabrio, kadmio, </w:t>
      </w:r>
      <w:proofErr w:type="spellStart"/>
      <w:r w:rsidRPr="00F5636C">
        <w:rPr>
          <w:color w:val="000000" w:themeColor="text1"/>
          <w:sz w:val="22"/>
          <w:szCs w:val="22"/>
          <w:lang w:val="lt-LT"/>
        </w:rPr>
        <w:t>šešiavalenčio</w:t>
      </w:r>
      <w:proofErr w:type="spellEnd"/>
      <w:r w:rsidRPr="00F5636C">
        <w:rPr>
          <w:color w:val="000000" w:themeColor="text1"/>
          <w:sz w:val="22"/>
          <w:szCs w:val="22"/>
          <w:lang w:val="lt-LT"/>
        </w:rPr>
        <w:t xml:space="preserve"> chromo, PBB ir PBDE) naudojimą elektros ir elektroninėje įrangoje. </w:t>
      </w:r>
      <w:r w:rsidRPr="00D40829">
        <w:rPr>
          <w:b/>
          <w:bCs/>
          <w:color w:val="000000" w:themeColor="text1"/>
          <w:sz w:val="22"/>
          <w:szCs w:val="22"/>
          <w:lang w:val="lt-LT"/>
        </w:rPr>
        <w:t xml:space="preserve">Atitiktis turi būti įrodoma kartu su pasiūlymu pateikiant gamintojo deklaraciją arba sertifikatą, patvirtinantį </w:t>
      </w:r>
      <w:proofErr w:type="spellStart"/>
      <w:r w:rsidRPr="00D40829">
        <w:rPr>
          <w:b/>
          <w:bCs/>
          <w:color w:val="000000" w:themeColor="text1"/>
          <w:sz w:val="22"/>
          <w:szCs w:val="22"/>
          <w:lang w:val="lt-LT"/>
        </w:rPr>
        <w:t>RoHS</w:t>
      </w:r>
      <w:proofErr w:type="spellEnd"/>
      <w:r w:rsidRPr="00D40829">
        <w:rPr>
          <w:b/>
          <w:bCs/>
          <w:color w:val="000000" w:themeColor="text1"/>
          <w:sz w:val="22"/>
          <w:szCs w:val="22"/>
          <w:lang w:val="lt-LT"/>
        </w:rPr>
        <w:t xml:space="preserve"> reikalavimų laikymąsi arba kitus lygiaverčius įrodymus. </w:t>
      </w:r>
    </w:p>
    <w:p w14:paraId="18304DAC" w14:textId="6128851D" w:rsidR="00D418D9" w:rsidRPr="00F5636C" w:rsidRDefault="00D418D9" w:rsidP="007C7AD7">
      <w:pPr>
        <w:pStyle w:val="ListParagraph"/>
        <w:tabs>
          <w:tab w:val="left" w:pos="0"/>
        </w:tabs>
        <w:ind w:left="0"/>
        <w:jc w:val="both"/>
        <w:rPr>
          <w:color w:val="000000" w:themeColor="text1"/>
          <w:sz w:val="22"/>
          <w:szCs w:val="22"/>
          <w:lang w:val="lt-LT"/>
        </w:rPr>
      </w:pPr>
    </w:p>
    <w:p w14:paraId="6CDED156" w14:textId="40AB042B" w:rsidR="00916191" w:rsidRPr="00F5636C" w:rsidRDefault="001138A5" w:rsidP="001138A5">
      <w:pPr>
        <w:pStyle w:val="ListParagraph"/>
        <w:tabs>
          <w:tab w:val="left" w:pos="567"/>
        </w:tabs>
        <w:spacing w:line="276" w:lineRule="auto"/>
        <w:ind w:left="0"/>
        <w:jc w:val="both"/>
        <w:rPr>
          <w:i/>
          <w:iCs/>
          <w:color w:val="000000" w:themeColor="text1"/>
          <w:sz w:val="22"/>
          <w:szCs w:val="22"/>
          <w:lang w:val="lt-LT"/>
        </w:rPr>
      </w:pPr>
      <w:r w:rsidRPr="00F5636C">
        <w:rPr>
          <w:i/>
          <w:iCs/>
          <w:color w:val="000000"/>
          <w:sz w:val="22"/>
          <w:szCs w:val="22"/>
          <w:lang w:val="lt-LT"/>
        </w:rPr>
        <w:tab/>
      </w:r>
      <w:r w:rsidR="00916191" w:rsidRPr="00F5636C">
        <w:rPr>
          <w:i/>
          <w:iCs/>
          <w:color w:val="000000"/>
          <w:sz w:val="22"/>
          <w:szCs w:val="22"/>
          <w:lang w:val="lt-LT"/>
        </w:rPr>
        <w:t xml:space="preserve">Šiose </w:t>
      </w:r>
      <w:r w:rsidR="00916191" w:rsidRPr="00F5636C">
        <w:rPr>
          <w:i/>
          <w:iCs/>
          <w:color w:val="000000" w:themeColor="text1"/>
          <w:sz w:val="22"/>
          <w:szCs w:val="22"/>
          <w:lang w:val="lt-LT"/>
        </w:rPr>
        <w:t>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D68B1DD" w14:textId="77777777" w:rsidR="008C36A7" w:rsidRPr="00F5636C" w:rsidRDefault="008C36A7" w:rsidP="008C36A7">
      <w:pPr>
        <w:pStyle w:val="ListParagraph"/>
        <w:tabs>
          <w:tab w:val="left" w:pos="567"/>
        </w:tabs>
        <w:spacing w:line="276" w:lineRule="auto"/>
        <w:ind w:left="0"/>
        <w:jc w:val="both"/>
        <w:rPr>
          <w:color w:val="000000" w:themeColor="text1"/>
          <w:sz w:val="22"/>
          <w:szCs w:val="22"/>
          <w:lang w:val="lt-LT"/>
        </w:rPr>
      </w:pPr>
    </w:p>
    <w:p w14:paraId="3B11D398" w14:textId="5EB211C9" w:rsidR="00916191" w:rsidRPr="00F5636C" w:rsidRDefault="00732A3D" w:rsidP="00732A3D">
      <w:pPr>
        <w:pStyle w:val="ListParagraph"/>
        <w:numPr>
          <w:ilvl w:val="0"/>
          <w:numId w:val="9"/>
        </w:numPr>
        <w:tabs>
          <w:tab w:val="left" w:pos="567"/>
          <w:tab w:val="left" w:pos="851"/>
        </w:tabs>
        <w:spacing w:line="276" w:lineRule="auto"/>
        <w:ind w:left="426"/>
        <w:jc w:val="both"/>
        <w:rPr>
          <w:color w:val="000000" w:themeColor="text1"/>
          <w:sz w:val="22"/>
          <w:szCs w:val="22"/>
          <w:lang w:val="lt-LT"/>
        </w:rPr>
      </w:pPr>
      <w:r w:rsidRPr="00F5636C">
        <w:rPr>
          <w:bCs/>
          <w:sz w:val="22"/>
          <w:szCs w:val="22"/>
          <w:lang w:val="lt-LT"/>
        </w:rPr>
        <w:t xml:space="preserve">Lentelė. </w:t>
      </w:r>
      <w:r w:rsidR="007A00E0" w:rsidRPr="00F5636C">
        <w:rPr>
          <w:bCs/>
          <w:sz w:val="22"/>
          <w:szCs w:val="22"/>
          <w:lang w:val="lt-LT"/>
        </w:rPr>
        <w:t>Violetinio</w:t>
      </w:r>
      <w:r w:rsidR="008C36A7" w:rsidRPr="00F5636C">
        <w:rPr>
          <w:bCs/>
          <w:sz w:val="22"/>
          <w:szCs w:val="22"/>
          <w:lang w:val="lt-LT"/>
        </w:rPr>
        <w:t xml:space="preserve"> lazerio komplektas</w:t>
      </w:r>
      <w:r w:rsidR="00D76017" w:rsidRPr="00F5636C">
        <w:rPr>
          <w:bCs/>
          <w:sz w:val="22"/>
          <w:szCs w:val="22"/>
          <w:lang w:val="lt-LT"/>
        </w:rPr>
        <w:t xml:space="preserve"> </w:t>
      </w:r>
      <w:r w:rsidR="00916191" w:rsidRPr="00F5636C">
        <w:rPr>
          <w:bCs/>
          <w:sz w:val="22"/>
          <w:szCs w:val="22"/>
          <w:lang w:val="lt-LT"/>
        </w:rPr>
        <w:t>turi atitikti žemiau nurodytus reikalavimus:</w:t>
      </w:r>
    </w:p>
    <w:tbl>
      <w:tblPr>
        <w:tblW w:w="9618" w:type="dxa"/>
        <w:tblLook w:val="04A0" w:firstRow="1" w:lastRow="0" w:firstColumn="1" w:lastColumn="0" w:noHBand="0" w:noVBand="1"/>
      </w:tblPr>
      <w:tblGrid>
        <w:gridCol w:w="983"/>
        <w:gridCol w:w="4819"/>
        <w:gridCol w:w="3816"/>
      </w:tblGrid>
      <w:tr w:rsidR="00D96FB4" w:rsidRPr="00F5636C" w14:paraId="786093AE" w14:textId="77777777" w:rsidTr="007A00E0">
        <w:trPr>
          <w:trHeight w:val="781"/>
        </w:trPr>
        <w:tc>
          <w:tcPr>
            <w:tcW w:w="983" w:type="dxa"/>
            <w:tcBorders>
              <w:top w:val="single" w:sz="8" w:space="0" w:color="auto"/>
              <w:left w:val="single" w:sz="8" w:space="0" w:color="auto"/>
              <w:bottom w:val="nil"/>
              <w:right w:val="single" w:sz="8" w:space="0" w:color="auto"/>
            </w:tcBorders>
            <w:vAlign w:val="center"/>
          </w:tcPr>
          <w:p w14:paraId="34539FA9" w14:textId="77777777" w:rsidR="00D96FB4" w:rsidRPr="00F5636C" w:rsidRDefault="00D96FB4" w:rsidP="00D96FB4">
            <w:pPr>
              <w:widowControl w:val="0"/>
              <w:jc w:val="center"/>
              <w:rPr>
                <w:bCs/>
                <w:i/>
                <w:iCs/>
                <w:sz w:val="22"/>
                <w:szCs w:val="22"/>
                <w:lang w:val="lt-LT" w:eastAsia="zh-CN"/>
              </w:rPr>
            </w:pPr>
            <w:r w:rsidRPr="00F5636C">
              <w:rPr>
                <w:bCs/>
                <w:i/>
                <w:iCs/>
                <w:sz w:val="22"/>
                <w:szCs w:val="22"/>
                <w:lang w:val="lt-LT" w:eastAsia="zh-CN"/>
              </w:rPr>
              <w:t>Eil.</w:t>
            </w:r>
          </w:p>
          <w:p w14:paraId="0720F03D" w14:textId="77777777" w:rsidR="00D96FB4" w:rsidRPr="00F5636C" w:rsidRDefault="00D96FB4" w:rsidP="00D96FB4">
            <w:pPr>
              <w:widowControl w:val="0"/>
              <w:jc w:val="center"/>
              <w:rPr>
                <w:bCs/>
                <w:i/>
                <w:iCs/>
                <w:sz w:val="22"/>
                <w:szCs w:val="22"/>
                <w:lang w:val="lt-LT" w:eastAsia="zh-CN"/>
              </w:rPr>
            </w:pPr>
            <w:r w:rsidRPr="00F5636C">
              <w:rPr>
                <w:bCs/>
                <w:i/>
                <w:iCs/>
                <w:sz w:val="22"/>
                <w:szCs w:val="22"/>
                <w:lang w:val="lt-LT" w:eastAsia="zh-CN"/>
              </w:rPr>
              <w:t>Nr.</w:t>
            </w:r>
          </w:p>
        </w:tc>
        <w:tc>
          <w:tcPr>
            <w:tcW w:w="4819" w:type="dxa"/>
            <w:tcBorders>
              <w:top w:val="single" w:sz="8" w:space="0" w:color="auto"/>
              <w:left w:val="single" w:sz="8" w:space="0" w:color="auto"/>
              <w:bottom w:val="nil"/>
              <w:right w:val="single" w:sz="8" w:space="0" w:color="auto"/>
            </w:tcBorders>
            <w:vAlign w:val="center"/>
          </w:tcPr>
          <w:p w14:paraId="15ACFF79" w14:textId="77777777" w:rsidR="00D96FB4" w:rsidRPr="00F5636C" w:rsidRDefault="00D96FB4" w:rsidP="00D96FB4">
            <w:pPr>
              <w:widowControl w:val="0"/>
              <w:jc w:val="center"/>
              <w:rPr>
                <w:bCs/>
                <w:i/>
                <w:iCs/>
                <w:sz w:val="22"/>
                <w:szCs w:val="22"/>
                <w:lang w:val="lt-LT" w:eastAsia="zh-CN"/>
              </w:rPr>
            </w:pPr>
            <w:r w:rsidRPr="00F5636C">
              <w:rPr>
                <w:bCs/>
                <w:i/>
                <w:iCs/>
                <w:sz w:val="22"/>
                <w:szCs w:val="22"/>
                <w:lang w:val="lt-LT" w:eastAsia="zh-CN"/>
              </w:rPr>
              <w:t>Reikalaujamos techninės charakteristikos/parametrai</w:t>
            </w:r>
          </w:p>
        </w:tc>
        <w:tc>
          <w:tcPr>
            <w:tcW w:w="3816" w:type="dxa"/>
            <w:tcBorders>
              <w:top w:val="single" w:sz="8" w:space="0" w:color="auto"/>
              <w:left w:val="single" w:sz="8" w:space="0" w:color="auto"/>
              <w:bottom w:val="nil"/>
              <w:right w:val="single" w:sz="8" w:space="0" w:color="auto"/>
            </w:tcBorders>
            <w:vAlign w:val="center"/>
          </w:tcPr>
          <w:p w14:paraId="06F4CCC7" w14:textId="592EAE55" w:rsidR="00D96FB4" w:rsidRPr="00F5636C" w:rsidRDefault="00885A52" w:rsidP="00D96FB4">
            <w:pPr>
              <w:widowControl w:val="0"/>
              <w:jc w:val="center"/>
              <w:rPr>
                <w:bCs/>
                <w:i/>
                <w:iCs/>
                <w:sz w:val="22"/>
                <w:szCs w:val="22"/>
                <w:lang w:val="lt-LT" w:eastAsia="zh-CN"/>
              </w:rPr>
            </w:pPr>
            <w:r w:rsidRPr="00F5636C">
              <w:rPr>
                <w:bCs/>
                <w:i/>
                <w:iCs/>
                <w:sz w:val="22"/>
                <w:szCs w:val="22"/>
                <w:lang w:val="lt-LT" w:eastAsia="zh-CN"/>
              </w:rPr>
              <w:t>Pildo tiekėjas, nurodydamas konkrečius parametrus / charakteristikas</w:t>
            </w:r>
          </w:p>
        </w:tc>
      </w:tr>
      <w:tr w:rsidR="007A00E0" w:rsidRPr="00F5636C" w14:paraId="29B6E76F" w14:textId="77777777" w:rsidTr="007A00E0">
        <w:trPr>
          <w:trHeight w:val="1166"/>
        </w:trPr>
        <w:tc>
          <w:tcPr>
            <w:tcW w:w="983" w:type="dxa"/>
            <w:tcBorders>
              <w:top w:val="single" w:sz="8" w:space="0" w:color="auto"/>
              <w:left w:val="single" w:sz="8" w:space="0" w:color="auto"/>
              <w:bottom w:val="single" w:sz="4" w:space="0" w:color="auto"/>
              <w:right w:val="single" w:sz="8" w:space="0" w:color="auto"/>
            </w:tcBorders>
            <w:vAlign w:val="center"/>
          </w:tcPr>
          <w:p w14:paraId="6CC3E0AC" w14:textId="3210AFD4" w:rsidR="007A00E0" w:rsidRPr="00F5636C" w:rsidRDefault="007A00E0" w:rsidP="00C910F4">
            <w:pPr>
              <w:jc w:val="both"/>
              <w:rPr>
                <w:color w:val="000000"/>
                <w:sz w:val="22"/>
                <w:szCs w:val="22"/>
                <w:lang w:val="lt-LT"/>
              </w:rPr>
            </w:pPr>
            <w:r w:rsidRPr="00F5636C">
              <w:rPr>
                <w:color w:val="000000"/>
                <w:sz w:val="22"/>
                <w:szCs w:val="22"/>
                <w:lang w:val="lt-LT"/>
              </w:rPr>
              <w:t>1.</w:t>
            </w:r>
          </w:p>
        </w:tc>
        <w:tc>
          <w:tcPr>
            <w:tcW w:w="4819" w:type="dxa"/>
            <w:tcBorders>
              <w:top w:val="single" w:sz="8" w:space="0" w:color="auto"/>
              <w:left w:val="single" w:sz="8" w:space="0" w:color="auto"/>
              <w:bottom w:val="single" w:sz="4" w:space="0" w:color="auto"/>
              <w:right w:val="single" w:sz="8" w:space="0" w:color="auto"/>
            </w:tcBorders>
            <w:vAlign w:val="center"/>
          </w:tcPr>
          <w:p w14:paraId="318F190D" w14:textId="03A0268F" w:rsidR="007A00E0" w:rsidRPr="00F5636C" w:rsidRDefault="007A00E0" w:rsidP="00C910F4">
            <w:pPr>
              <w:jc w:val="both"/>
              <w:rPr>
                <w:b/>
                <w:bCs/>
                <w:color w:val="000000"/>
                <w:sz w:val="22"/>
                <w:szCs w:val="22"/>
                <w:lang w:val="lt-LT"/>
              </w:rPr>
            </w:pPr>
            <w:r w:rsidRPr="00F5636C">
              <w:rPr>
                <w:b/>
                <w:sz w:val="22"/>
                <w:szCs w:val="22"/>
                <w:lang w:val="lt-LT"/>
              </w:rPr>
              <w:t xml:space="preserve">Violetinio lazerio komplektas </w:t>
            </w:r>
            <w:proofErr w:type="spellStart"/>
            <w:r w:rsidRPr="00F5636C">
              <w:rPr>
                <w:b/>
                <w:sz w:val="22"/>
                <w:szCs w:val="22"/>
                <w:lang w:val="lt-LT"/>
              </w:rPr>
              <w:t>citometrijos</w:t>
            </w:r>
            <w:proofErr w:type="spellEnd"/>
            <w:r w:rsidRPr="00F5636C">
              <w:rPr>
                <w:b/>
                <w:sz w:val="22"/>
                <w:szCs w:val="22"/>
                <w:lang w:val="lt-LT"/>
              </w:rPr>
              <w:t xml:space="preserve"> sistemai</w:t>
            </w:r>
          </w:p>
        </w:tc>
        <w:tc>
          <w:tcPr>
            <w:tcW w:w="3816" w:type="dxa"/>
            <w:tcBorders>
              <w:top w:val="single" w:sz="8" w:space="0" w:color="auto"/>
              <w:left w:val="single" w:sz="8" w:space="0" w:color="auto"/>
              <w:bottom w:val="single" w:sz="4" w:space="0" w:color="auto"/>
              <w:right w:val="single" w:sz="8" w:space="0" w:color="auto"/>
            </w:tcBorders>
            <w:vAlign w:val="center"/>
          </w:tcPr>
          <w:p w14:paraId="59C0D738" w14:textId="77777777" w:rsidR="007A00E0" w:rsidRPr="00F5636C" w:rsidRDefault="007A00E0" w:rsidP="00C910F4">
            <w:pPr>
              <w:tabs>
                <w:tab w:val="left" w:pos="30"/>
              </w:tabs>
              <w:jc w:val="both"/>
              <w:rPr>
                <w:sz w:val="22"/>
                <w:szCs w:val="22"/>
                <w:lang w:val="lt-LT"/>
              </w:rPr>
            </w:pPr>
            <w:r w:rsidRPr="00F5636C">
              <w:rPr>
                <w:sz w:val="22"/>
                <w:szCs w:val="22"/>
                <w:lang w:val="lt-LT"/>
              </w:rPr>
              <w:t xml:space="preserve">Gamintojas </w:t>
            </w:r>
            <w:r w:rsidRPr="00F5636C">
              <w:rPr>
                <w:i/>
                <w:color w:val="0070C0"/>
                <w:sz w:val="22"/>
                <w:szCs w:val="22"/>
                <w:lang w:val="lt-LT"/>
              </w:rPr>
              <w:t>(nurodyti)</w:t>
            </w:r>
            <w:r w:rsidRPr="00F5636C">
              <w:rPr>
                <w:sz w:val="22"/>
                <w:szCs w:val="22"/>
                <w:lang w:val="lt-LT"/>
              </w:rPr>
              <w:t>: .................</w:t>
            </w:r>
          </w:p>
          <w:p w14:paraId="560D74D5" w14:textId="55D6DDDF" w:rsidR="007A00E0" w:rsidRPr="00F5636C" w:rsidRDefault="007A00E0" w:rsidP="00C910F4">
            <w:pPr>
              <w:jc w:val="both"/>
              <w:rPr>
                <w:sz w:val="22"/>
                <w:szCs w:val="22"/>
                <w:lang w:val="lt-LT"/>
              </w:rPr>
            </w:pPr>
            <w:r w:rsidRPr="00F5636C">
              <w:rPr>
                <w:sz w:val="22"/>
                <w:szCs w:val="22"/>
                <w:lang w:val="lt-LT"/>
              </w:rPr>
              <w:t xml:space="preserve">Modelis </w:t>
            </w:r>
            <w:r w:rsidRPr="00F5636C">
              <w:rPr>
                <w:i/>
                <w:color w:val="0070C0"/>
                <w:sz w:val="22"/>
                <w:szCs w:val="22"/>
                <w:lang w:val="lt-LT"/>
              </w:rPr>
              <w:t>(nurodyti, jeigu yra)</w:t>
            </w:r>
            <w:r w:rsidRPr="00F5636C">
              <w:rPr>
                <w:sz w:val="22"/>
                <w:szCs w:val="22"/>
                <w:lang w:val="lt-LT"/>
              </w:rPr>
              <w:t>: .................</w:t>
            </w:r>
          </w:p>
          <w:p w14:paraId="5D47E206" w14:textId="44BCA12D" w:rsidR="007A00E0" w:rsidRPr="00F5636C" w:rsidRDefault="007A00E0" w:rsidP="00C910F4">
            <w:pPr>
              <w:jc w:val="both"/>
              <w:rPr>
                <w:color w:val="000000"/>
                <w:sz w:val="22"/>
                <w:szCs w:val="22"/>
                <w:lang w:val="lt-LT"/>
              </w:rPr>
            </w:pPr>
            <w:r w:rsidRPr="00F5636C">
              <w:rPr>
                <w:sz w:val="22"/>
                <w:szCs w:val="22"/>
                <w:lang w:val="lt-LT"/>
              </w:rPr>
              <w:t xml:space="preserve">Kodas </w:t>
            </w:r>
            <w:r w:rsidRPr="00F5636C">
              <w:rPr>
                <w:i/>
                <w:color w:val="0070C0"/>
                <w:sz w:val="22"/>
                <w:szCs w:val="22"/>
                <w:lang w:val="lt-LT"/>
              </w:rPr>
              <w:t>(nurodyti, jeigu yra)</w:t>
            </w:r>
            <w:r w:rsidRPr="00F5636C">
              <w:rPr>
                <w:sz w:val="22"/>
                <w:szCs w:val="22"/>
                <w:lang w:val="lt-LT"/>
              </w:rPr>
              <w:t>: ...................</w:t>
            </w:r>
          </w:p>
        </w:tc>
      </w:tr>
      <w:tr w:rsidR="007A00E0" w:rsidRPr="00F5636C" w14:paraId="5F9478EA" w14:textId="77777777" w:rsidTr="007A00E0">
        <w:trPr>
          <w:trHeight w:val="829"/>
        </w:trPr>
        <w:tc>
          <w:tcPr>
            <w:tcW w:w="983" w:type="dxa"/>
            <w:tcBorders>
              <w:top w:val="single" w:sz="8" w:space="0" w:color="auto"/>
              <w:left w:val="single" w:sz="8" w:space="0" w:color="auto"/>
              <w:bottom w:val="single" w:sz="4" w:space="0" w:color="auto"/>
              <w:right w:val="single" w:sz="8" w:space="0" w:color="auto"/>
            </w:tcBorders>
            <w:vAlign w:val="center"/>
          </w:tcPr>
          <w:p w14:paraId="53B5C5C1" w14:textId="274A4395" w:rsidR="007A00E0" w:rsidRPr="00F5636C" w:rsidRDefault="007A00E0" w:rsidP="00C910F4">
            <w:pPr>
              <w:jc w:val="both"/>
              <w:rPr>
                <w:color w:val="000000"/>
                <w:sz w:val="22"/>
                <w:szCs w:val="22"/>
                <w:lang w:val="lt-LT"/>
              </w:rPr>
            </w:pPr>
            <w:r w:rsidRPr="00F5636C">
              <w:rPr>
                <w:color w:val="000000"/>
                <w:sz w:val="22"/>
                <w:szCs w:val="22"/>
                <w:lang w:val="lt-LT"/>
              </w:rPr>
              <w:t>1.1.</w:t>
            </w:r>
          </w:p>
        </w:tc>
        <w:tc>
          <w:tcPr>
            <w:tcW w:w="4819" w:type="dxa"/>
            <w:tcBorders>
              <w:top w:val="single" w:sz="8" w:space="0" w:color="auto"/>
              <w:left w:val="single" w:sz="8" w:space="0" w:color="auto"/>
              <w:bottom w:val="single" w:sz="4" w:space="0" w:color="auto"/>
              <w:right w:val="single" w:sz="8" w:space="0" w:color="auto"/>
            </w:tcBorders>
            <w:vAlign w:val="center"/>
          </w:tcPr>
          <w:p w14:paraId="7F705AD8" w14:textId="57390A96" w:rsidR="007A00E0" w:rsidRPr="00F5636C" w:rsidRDefault="007A00E0" w:rsidP="00C910F4">
            <w:pPr>
              <w:jc w:val="both"/>
              <w:rPr>
                <w:b/>
                <w:sz w:val="22"/>
                <w:szCs w:val="22"/>
                <w:lang w:val="lt-LT"/>
              </w:rPr>
            </w:pPr>
            <w:r w:rsidRPr="00F5636C">
              <w:rPr>
                <w:color w:val="000000"/>
                <w:sz w:val="22"/>
                <w:szCs w:val="22"/>
                <w:lang w:val="lt-LT"/>
              </w:rPr>
              <w:t xml:space="preserve">Komplektą sudaro violetinis lazeris ir visos reikalingos priemonės lazerio </w:t>
            </w:r>
            <w:r w:rsidR="001B5319">
              <w:rPr>
                <w:color w:val="000000"/>
                <w:sz w:val="22"/>
                <w:szCs w:val="22"/>
                <w:lang w:val="lt-LT"/>
              </w:rPr>
              <w:t>diegimui</w:t>
            </w:r>
            <w:r w:rsidR="001B5319" w:rsidRPr="00F5636C">
              <w:rPr>
                <w:color w:val="000000"/>
                <w:sz w:val="22"/>
                <w:szCs w:val="22"/>
                <w:lang w:val="lt-LT"/>
              </w:rPr>
              <w:t xml:space="preserve"> </w:t>
            </w:r>
            <w:r w:rsidRPr="00F5636C">
              <w:rPr>
                <w:color w:val="000000"/>
                <w:sz w:val="22"/>
                <w:szCs w:val="22"/>
                <w:lang w:val="lt-LT"/>
              </w:rPr>
              <w:t>bei kalibravimui</w:t>
            </w:r>
          </w:p>
        </w:tc>
        <w:tc>
          <w:tcPr>
            <w:tcW w:w="3816" w:type="dxa"/>
            <w:tcBorders>
              <w:top w:val="single" w:sz="8" w:space="0" w:color="auto"/>
              <w:left w:val="single" w:sz="8" w:space="0" w:color="auto"/>
              <w:bottom w:val="single" w:sz="4" w:space="0" w:color="auto"/>
              <w:right w:val="single" w:sz="8" w:space="0" w:color="auto"/>
            </w:tcBorders>
            <w:vAlign w:val="center"/>
          </w:tcPr>
          <w:p w14:paraId="145A1997" w14:textId="77777777" w:rsidR="007A00E0" w:rsidRPr="00F5636C" w:rsidRDefault="007A00E0" w:rsidP="00C910F4">
            <w:pPr>
              <w:tabs>
                <w:tab w:val="left" w:pos="30"/>
              </w:tabs>
              <w:jc w:val="both"/>
              <w:rPr>
                <w:sz w:val="22"/>
                <w:szCs w:val="22"/>
                <w:lang w:val="lt-LT"/>
              </w:rPr>
            </w:pPr>
          </w:p>
        </w:tc>
      </w:tr>
      <w:tr w:rsidR="007A00E0" w:rsidRPr="00F5636C" w14:paraId="0BFE05E8" w14:textId="77777777" w:rsidTr="007A00E0">
        <w:trPr>
          <w:trHeight w:val="829"/>
        </w:trPr>
        <w:tc>
          <w:tcPr>
            <w:tcW w:w="983" w:type="dxa"/>
            <w:tcBorders>
              <w:top w:val="single" w:sz="8" w:space="0" w:color="auto"/>
              <w:left w:val="single" w:sz="8" w:space="0" w:color="auto"/>
              <w:bottom w:val="single" w:sz="4" w:space="0" w:color="auto"/>
              <w:right w:val="single" w:sz="8" w:space="0" w:color="auto"/>
            </w:tcBorders>
            <w:vAlign w:val="center"/>
          </w:tcPr>
          <w:p w14:paraId="15245FE2" w14:textId="17D1FB69" w:rsidR="007A00E0" w:rsidRPr="00F5636C" w:rsidRDefault="007A00E0" w:rsidP="00C910F4">
            <w:pPr>
              <w:jc w:val="both"/>
              <w:rPr>
                <w:color w:val="000000"/>
                <w:sz w:val="22"/>
                <w:szCs w:val="22"/>
                <w:lang w:val="lt-LT"/>
              </w:rPr>
            </w:pPr>
            <w:r w:rsidRPr="00F5636C">
              <w:rPr>
                <w:color w:val="000000"/>
                <w:sz w:val="22"/>
                <w:szCs w:val="22"/>
                <w:lang w:val="lt-LT"/>
              </w:rPr>
              <w:t>1.2.</w:t>
            </w:r>
          </w:p>
        </w:tc>
        <w:tc>
          <w:tcPr>
            <w:tcW w:w="4819" w:type="dxa"/>
            <w:tcBorders>
              <w:top w:val="single" w:sz="8" w:space="0" w:color="auto"/>
              <w:left w:val="single" w:sz="8" w:space="0" w:color="auto"/>
              <w:bottom w:val="single" w:sz="4" w:space="0" w:color="auto"/>
              <w:right w:val="single" w:sz="8" w:space="0" w:color="auto"/>
            </w:tcBorders>
            <w:vAlign w:val="center"/>
          </w:tcPr>
          <w:p w14:paraId="2F7F0D29" w14:textId="727F59B8" w:rsidR="007A00E0" w:rsidRPr="00F5636C" w:rsidRDefault="007A00E0" w:rsidP="00C910F4">
            <w:pPr>
              <w:jc w:val="both"/>
              <w:rPr>
                <w:color w:val="000000"/>
                <w:sz w:val="22"/>
                <w:szCs w:val="22"/>
                <w:lang w:val="lt-LT"/>
              </w:rPr>
            </w:pPr>
            <w:r w:rsidRPr="00F5636C">
              <w:rPr>
                <w:color w:val="000000"/>
                <w:sz w:val="22"/>
                <w:szCs w:val="22"/>
                <w:lang w:val="lt-LT"/>
              </w:rPr>
              <w:t>Lazerio atnaujinimo komplektas turi būti tinkamas perkančiosios organizacijos turimam </w:t>
            </w:r>
            <w:proofErr w:type="spellStart"/>
            <w:r w:rsidRPr="00F5636C">
              <w:rPr>
                <w:color w:val="000000"/>
                <w:sz w:val="22"/>
                <w:szCs w:val="22"/>
                <w:lang w:val="lt-LT"/>
              </w:rPr>
              <w:t>Attune</w:t>
            </w:r>
            <w:proofErr w:type="spellEnd"/>
            <w:r w:rsidRPr="00F5636C">
              <w:rPr>
                <w:color w:val="000000"/>
                <w:sz w:val="22"/>
                <w:szCs w:val="22"/>
                <w:lang w:val="lt-LT"/>
              </w:rPr>
              <w:t xml:space="preserve"> </w:t>
            </w:r>
            <w:proofErr w:type="spellStart"/>
            <w:r w:rsidRPr="00F5636C">
              <w:rPr>
                <w:color w:val="000000"/>
                <w:sz w:val="22"/>
                <w:szCs w:val="22"/>
                <w:lang w:val="lt-LT"/>
              </w:rPr>
              <w:t>NxT</w:t>
            </w:r>
            <w:proofErr w:type="spellEnd"/>
            <w:r w:rsidRPr="00F5636C">
              <w:rPr>
                <w:color w:val="000000"/>
                <w:sz w:val="22"/>
                <w:szCs w:val="22"/>
                <w:lang w:val="lt-LT"/>
              </w:rPr>
              <w:t xml:space="preserve"> tėkmės </w:t>
            </w:r>
            <w:proofErr w:type="spellStart"/>
            <w:r w:rsidRPr="00F5636C">
              <w:rPr>
                <w:color w:val="000000"/>
                <w:sz w:val="22"/>
                <w:szCs w:val="22"/>
                <w:lang w:val="lt-LT"/>
              </w:rPr>
              <w:t>citometrui</w:t>
            </w:r>
            <w:proofErr w:type="spellEnd"/>
          </w:p>
        </w:tc>
        <w:tc>
          <w:tcPr>
            <w:tcW w:w="3816" w:type="dxa"/>
            <w:tcBorders>
              <w:top w:val="single" w:sz="8" w:space="0" w:color="auto"/>
              <w:left w:val="single" w:sz="8" w:space="0" w:color="auto"/>
              <w:bottom w:val="single" w:sz="4" w:space="0" w:color="auto"/>
              <w:right w:val="single" w:sz="8" w:space="0" w:color="auto"/>
            </w:tcBorders>
            <w:vAlign w:val="center"/>
          </w:tcPr>
          <w:p w14:paraId="3828B03E" w14:textId="77777777" w:rsidR="007A00E0" w:rsidRPr="00F5636C" w:rsidRDefault="007A00E0" w:rsidP="00C910F4">
            <w:pPr>
              <w:tabs>
                <w:tab w:val="left" w:pos="30"/>
              </w:tabs>
              <w:jc w:val="both"/>
              <w:rPr>
                <w:sz w:val="22"/>
                <w:szCs w:val="22"/>
                <w:lang w:val="lt-LT"/>
              </w:rPr>
            </w:pPr>
          </w:p>
        </w:tc>
      </w:tr>
    </w:tbl>
    <w:p w14:paraId="5572623F" w14:textId="77777777" w:rsidR="00887D85" w:rsidRPr="00F5636C" w:rsidRDefault="00887D85">
      <w:pPr>
        <w:rPr>
          <w:sz w:val="22"/>
          <w:szCs w:val="22"/>
          <w:lang w:val="lt-LT"/>
        </w:rPr>
      </w:pPr>
    </w:p>
    <w:sectPr w:rsidR="00887D85" w:rsidRPr="00F5636C">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38A2" w14:textId="77777777" w:rsidR="000C02EF" w:rsidRDefault="000C02EF" w:rsidP="000C02EF">
      <w:r>
        <w:separator/>
      </w:r>
    </w:p>
  </w:endnote>
  <w:endnote w:type="continuationSeparator" w:id="0">
    <w:p w14:paraId="40566644" w14:textId="77777777" w:rsidR="000C02EF" w:rsidRDefault="000C02EF" w:rsidP="000C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076784"/>
      <w:docPartObj>
        <w:docPartGallery w:val="Page Numbers (Bottom of Page)"/>
        <w:docPartUnique/>
      </w:docPartObj>
    </w:sdtPr>
    <w:sdtEndPr>
      <w:rPr>
        <w:noProof/>
      </w:rPr>
    </w:sdtEndPr>
    <w:sdtContent>
      <w:p w14:paraId="761E24F0" w14:textId="16BD3BE5" w:rsidR="000C02EF" w:rsidRDefault="000C0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1F3BF4" w14:textId="77777777" w:rsidR="000C02EF" w:rsidRDefault="000C0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FB42" w14:textId="77777777" w:rsidR="000C02EF" w:rsidRDefault="000C02EF" w:rsidP="000C02EF">
      <w:r>
        <w:separator/>
      </w:r>
    </w:p>
  </w:footnote>
  <w:footnote w:type="continuationSeparator" w:id="0">
    <w:p w14:paraId="66FC818B" w14:textId="77777777" w:rsidR="000C02EF" w:rsidRDefault="000C02EF" w:rsidP="000C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BCC"/>
    <w:multiLevelType w:val="multilevel"/>
    <w:tmpl w:val="0F56CFD0"/>
    <w:lvl w:ilvl="0">
      <w:start w:val="11"/>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B505BB"/>
    <w:multiLevelType w:val="hybridMultilevel"/>
    <w:tmpl w:val="FB185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51618"/>
    <w:multiLevelType w:val="hybridMultilevel"/>
    <w:tmpl w:val="9024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110BD"/>
    <w:multiLevelType w:val="hybridMultilevel"/>
    <w:tmpl w:val="CA5E10C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A91886"/>
    <w:multiLevelType w:val="hybridMultilevel"/>
    <w:tmpl w:val="2A066D34"/>
    <w:lvl w:ilvl="0" w:tplc="0809000F">
      <w:start w:val="1"/>
      <w:numFmt w:val="decimal"/>
      <w:lvlText w:val="%1."/>
      <w:lvlJc w:val="left"/>
      <w:pPr>
        <w:ind w:left="720" w:hanging="360"/>
      </w:pPr>
    </w:lvl>
    <w:lvl w:ilvl="1" w:tplc="DA020CCC">
      <w:numFmt w:val="bullet"/>
      <w:lvlText w:val="-"/>
      <w:lvlJc w:val="left"/>
      <w:pPr>
        <w:ind w:left="1440" w:hanging="360"/>
      </w:pPr>
      <w:rPr>
        <w:rFonts w:ascii="Times" w:eastAsia="Times New Roman" w:hAnsi="Times"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98E3BE9"/>
    <w:multiLevelType w:val="hybridMultilevel"/>
    <w:tmpl w:val="547A4A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7D5547"/>
    <w:multiLevelType w:val="hybridMultilevel"/>
    <w:tmpl w:val="8D685BB4"/>
    <w:lvl w:ilvl="0" w:tplc="9E4AED4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B72928"/>
    <w:multiLevelType w:val="hybridMultilevel"/>
    <w:tmpl w:val="CA5E10C0"/>
    <w:lvl w:ilvl="0" w:tplc="EE7A831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3"/>
  </w:num>
  <w:num w:numId="7">
    <w:abstractNumId w:val="2"/>
  </w:num>
  <w:num w:numId="8">
    <w:abstractNumId w:val="0"/>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91"/>
    <w:rsid w:val="00036C20"/>
    <w:rsid w:val="00085F59"/>
    <w:rsid w:val="000C02EF"/>
    <w:rsid w:val="000C6127"/>
    <w:rsid w:val="001138A5"/>
    <w:rsid w:val="00194DCE"/>
    <w:rsid w:val="001A5629"/>
    <w:rsid w:val="001B5319"/>
    <w:rsid w:val="00214480"/>
    <w:rsid w:val="00254A62"/>
    <w:rsid w:val="00277AEE"/>
    <w:rsid w:val="0028129C"/>
    <w:rsid w:val="002E3B2E"/>
    <w:rsid w:val="002E649E"/>
    <w:rsid w:val="00345852"/>
    <w:rsid w:val="003527E0"/>
    <w:rsid w:val="003803D2"/>
    <w:rsid w:val="003D3A58"/>
    <w:rsid w:val="003D4AC9"/>
    <w:rsid w:val="00417891"/>
    <w:rsid w:val="00527842"/>
    <w:rsid w:val="00565E6C"/>
    <w:rsid w:val="006418EF"/>
    <w:rsid w:val="0064639B"/>
    <w:rsid w:val="0068407C"/>
    <w:rsid w:val="006930A7"/>
    <w:rsid w:val="006D7575"/>
    <w:rsid w:val="006F68A9"/>
    <w:rsid w:val="006F7627"/>
    <w:rsid w:val="00732A3D"/>
    <w:rsid w:val="007631CA"/>
    <w:rsid w:val="007A00E0"/>
    <w:rsid w:val="007C7AD7"/>
    <w:rsid w:val="008159F8"/>
    <w:rsid w:val="00845191"/>
    <w:rsid w:val="00885A52"/>
    <w:rsid w:val="00887D85"/>
    <w:rsid w:val="008A20D1"/>
    <w:rsid w:val="008B79B6"/>
    <w:rsid w:val="008C36A7"/>
    <w:rsid w:val="008E5379"/>
    <w:rsid w:val="008E6EC8"/>
    <w:rsid w:val="00916191"/>
    <w:rsid w:val="009758AC"/>
    <w:rsid w:val="00993425"/>
    <w:rsid w:val="009D34F9"/>
    <w:rsid w:val="00A273CC"/>
    <w:rsid w:val="00A27BA1"/>
    <w:rsid w:val="00A44463"/>
    <w:rsid w:val="00A80023"/>
    <w:rsid w:val="00A80AC3"/>
    <w:rsid w:val="00AA5F30"/>
    <w:rsid w:val="00AA7402"/>
    <w:rsid w:val="00AD4E45"/>
    <w:rsid w:val="00B3480C"/>
    <w:rsid w:val="00B90129"/>
    <w:rsid w:val="00BA32CB"/>
    <w:rsid w:val="00BA417D"/>
    <w:rsid w:val="00C247FE"/>
    <w:rsid w:val="00C508E5"/>
    <w:rsid w:val="00CA6E1C"/>
    <w:rsid w:val="00CB5626"/>
    <w:rsid w:val="00CF1455"/>
    <w:rsid w:val="00D05D70"/>
    <w:rsid w:val="00D13B50"/>
    <w:rsid w:val="00D254CF"/>
    <w:rsid w:val="00D37DC0"/>
    <w:rsid w:val="00D40829"/>
    <w:rsid w:val="00D418D9"/>
    <w:rsid w:val="00D478F9"/>
    <w:rsid w:val="00D613BA"/>
    <w:rsid w:val="00D76017"/>
    <w:rsid w:val="00D96FB4"/>
    <w:rsid w:val="00DD6ACF"/>
    <w:rsid w:val="00DD7516"/>
    <w:rsid w:val="00DF3250"/>
    <w:rsid w:val="00DF7DFE"/>
    <w:rsid w:val="00E174D5"/>
    <w:rsid w:val="00E66682"/>
    <w:rsid w:val="00EC789E"/>
    <w:rsid w:val="00F5636C"/>
    <w:rsid w:val="00F86264"/>
    <w:rsid w:val="00F8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A982"/>
  <w15:chartTrackingRefBased/>
  <w15:docId w15:val="{823F1D90-DB03-44CB-A82A-DA82785B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Lente"/>
    <w:basedOn w:val="Normal"/>
    <w:link w:val="ListParagraphChar"/>
    <w:uiPriority w:val="34"/>
    <w:qFormat/>
    <w:rsid w:val="00916191"/>
    <w:pPr>
      <w:ind w:left="720"/>
      <w:contextualSpacing/>
    </w:pPr>
    <w:rPr>
      <w:lang w:val="en-GB" w:eastAsia="en-US"/>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916191"/>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916191"/>
    <w:pPr>
      <w:spacing w:after="120"/>
      <w:ind w:left="283"/>
    </w:pPr>
    <w:rPr>
      <w:lang w:val="en-GB" w:eastAsia="en-US"/>
    </w:rPr>
  </w:style>
  <w:style w:type="character" w:customStyle="1" w:styleId="BodyTextIndentChar">
    <w:name w:val="Body Text Indent Char"/>
    <w:basedOn w:val="DefaultParagraphFont"/>
    <w:link w:val="BodyTextIndent"/>
    <w:rsid w:val="0091619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87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4BF"/>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28129C"/>
    <w:rPr>
      <w:sz w:val="16"/>
      <w:szCs w:val="16"/>
    </w:rPr>
  </w:style>
  <w:style w:type="paragraph" w:styleId="CommentText">
    <w:name w:val="annotation text"/>
    <w:basedOn w:val="Normal"/>
    <w:link w:val="CommentTextChar"/>
    <w:uiPriority w:val="99"/>
    <w:semiHidden/>
    <w:unhideWhenUsed/>
    <w:rsid w:val="0028129C"/>
    <w:rPr>
      <w:sz w:val="20"/>
      <w:szCs w:val="20"/>
      <w:lang w:val="en-GB" w:eastAsia="en-US"/>
    </w:rPr>
  </w:style>
  <w:style w:type="character" w:customStyle="1" w:styleId="CommentTextChar">
    <w:name w:val="Comment Text Char"/>
    <w:basedOn w:val="DefaultParagraphFont"/>
    <w:link w:val="CommentText"/>
    <w:uiPriority w:val="99"/>
    <w:semiHidden/>
    <w:rsid w:val="0028129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8129C"/>
    <w:rPr>
      <w:b/>
      <w:bCs/>
    </w:rPr>
  </w:style>
  <w:style w:type="character" w:customStyle="1" w:styleId="CommentSubjectChar">
    <w:name w:val="Comment Subject Char"/>
    <w:basedOn w:val="CommentTextChar"/>
    <w:link w:val="CommentSubject"/>
    <w:uiPriority w:val="99"/>
    <w:semiHidden/>
    <w:rsid w:val="0028129C"/>
    <w:rPr>
      <w:rFonts w:ascii="Times New Roman" w:eastAsia="Times New Roman" w:hAnsi="Times New Roman" w:cs="Times New Roman"/>
      <w:b/>
      <w:bCs/>
      <w:sz w:val="20"/>
      <w:szCs w:val="20"/>
      <w:lang w:val="en-GB"/>
    </w:rPr>
  </w:style>
  <w:style w:type="paragraph" w:styleId="Revision">
    <w:name w:val="Revision"/>
    <w:hidden/>
    <w:uiPriority w:val="99"/>
    <w:semiHidden/>
    <w:rsid w:val="00CB5626"/>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0C02EF"/>
    <w:pPr>
      <w:tabs>
        <w:tab w:val="center" w:pos="4819"/>
        <w:tab w:val="right" w:pos="9638"/>
      </w:tabs>
    </w:pPr>
  </w:style>
  <w:style w:type="character" w:customStyle="1" w:styleId="HeaderChar">
    <w:name w:val="Header Char"/>
    <w:basedOn w:val="DefaultParagraphFont"/>
    <w:link w:val="Header"/>
    <w:uiPriority w:val="99"/>
    <w:rsid w:val="000C02E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02EF"/>
    <w:pPr>
      <w:tabs>
        <w:tab w:val="center" w:pos="4819"/>
        <w:tab w:val="right" w:pos="9638"/>
      </w:tabs>
    </w:pPr>
  </w:style>
  <w:style w:type="character" w:customStyle="1" w:styleId="FooterChar">
    <w:name w:val="Footer Char"/>
    <w:basedOn w:val="DefaultParagraphFont"/>
    <w:link w:val="Footer"/>
    <w:uiPriority w:val="99"/>
    <w:rsid w:val="000C02E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707">
      <w:bodyDiv w:val="1"/>
      <w:marLeft w:val="0"/>
      <w:marRight w:val="0"/>
      <w:marTop w:val="0"/>
      <w:marBottom w:val="0"/>
      <w:divBdr>
        <w:top w:val="none" w:sz="0" w:space="0" w:color="auto"/>
        <w:left w:val="none" w:sz="0" w:space="0" w:color="auto"/>
        <w:bottom w:val="none" w:sz="0" w:space="0" w:color="auto"/>
        <w:right w:val="none" w:sz="0" w:space="0" w:color="auto"/>
      </w:divBdr>
    </w:div>
    <w:div w:id="834956777">
      <w:bodyDiv w:val="1"/>
      <w:marLeft w:val="0"/>
      <w:marRight w:val="0"/>
      <w:marTop w:val="0"/>
      <w:marBottom w:val="0"/>
      <w:divBdr>
        <w:top w:val="none" w:sz="0" w:space="0" w:color="auto"/>
        <w:left w:val="none" w:sz="0" w:space="0" w:color="auto"/>
        <w:bottom w:val="none" w:sz="0" w:space="0" w:color="auto"/>
        <w:right w:val="none" w:sz="0" w:space="0" w:color="auto"/>
      </w:divBdr>
    </w:div>
    <w:div w:id="1276596126">
      <w:bodyDiv w:val="1"/>
      <w:marLeft w:val="0"/>
      <w:marRight w:val="0"/>
      <w:marTop w:val="0"/>
      <w:marBottom w:val="0"/>
      <w:divBdr>
        <w:top w:val="none" w:sz="0" w:space="0" w:color="auto"/>
        <w:left w:val="none" w:sz="0" w:space="0" w:color="auto"/>
        <w:bottom w:val="none" w:sz="0" w:space="0" w:color="auto"/>
        <w:right w:val="none" w:sz="0" w:space="0" w:color="auto"/>
      </w:divBdr>
    </w:div>
    <w:div w:id="1325936236">
      <w:bodyDiv w:val="1"/>
      <w:marLeft w:val="0"/>
      <w:marRight w:val="0"/>
      <w:marTop w:val="0"/>
      <w:marBottom w:val="0"/>
      <w:divBdr>
        <w:top w:val="none" w:sz="0" w:space="0" w:color="auto"/>
        <w:left w:val="none" w:sz="0" w:space="0" w:color="auto"/>
        <w:bottom w:val="none" w:sz="0" w:space="0" w:color="auto"/>
        <w:right w:val="none" w:sz="0" w:space="0" w:color="auto"/>
      </w:divBdr>
    </w:div>
    <w:div w:id="1566377116">
      <w:bodyDiv w:val="1"/>
      <w:marLeft w:val="0"/>
      <w:marRight w:val="0"/>
      <w:marTop w:val="0"/>
      <w:marBottom w:val="0"/>
      <w:divBdr>
        <w:top w:val="none" w:sz="0" w:space="0" w:color="auto"/>
        <w:left w:val="none" w:sz="0" w:space="0" w:color="auto"/>
        <w:bottom w:val="none" w:sz="0" w:space="0" w:color="auto"/>
        <w:right w:val="none" w:sz="0" w:space="0" w:color="auto"/>
      </w:divBdr>
    </w:div>
    <w:div w:id="19506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B750-CF2D-4676-B030-055D413B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3750</Words>
  <Characters>2138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4</cp:revision>
  <dcterms:created xsi:type="dcterms:W3CDTF">2026-05-20T06:54:00Z</dcterms:created>
  <dcterms:modified xsi:type="dcterms:W3CDTF">2026-05-20T09:22:00Z</dcterms:modified>
</cp:coreProperties>
</file>