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0BAE" w14:textId="77777777" w:rsidR="00322315" w:rsidRPr="003511A9" w:rsidRDefault="00322315" w:rsidP="00322315">
      <w:pPr>
        <w:spacing w:after="0"/>
        <w:jc w:val="center"/>
        <w:rPr>
          <w:rFonts w:cs="Times New Roman"/>
          <w:b/>
          <w:bCs/>
          <w:lang w:val="lt-LT"/>
        </w:rPr>
      </w:pPr>
      <w:r w:rsidRPr="003511A9">
        <w:rPr>
          <w:rFonts w:cs="Times New Roman"/>
          <w:b/>
          <w:bCs/>
          <w:lang w:val="lt-LT"/>
        </w:rPr>
        <w:t>Techninė specifikacija</w:t>
      </w:r>
    </w:p>
    <w:p w14:paraId="7566E6E1" w14:textId="77777777" w:rsidR="00322315" w:rsidRPr="003511A9" w:rsidRDefault="00322315" w:rsidP="00322315">
      <w:pPr>
        <w:spacing w:after="120"/>
        <w:rPr>
          <w:rFonts w:cs="Times New Roman"/>
          <w:i/>
          <w:color w:val="FF0000"/>
          <w:szCs w:val="24"/>
          <w:lang w:val="lt-LT"/>
        </w:rPr>
      </w:pPr>
    </w:p>
    <w:p w14:paraId="07B42952" w14:textId="77777777" w:rsidR="00322315" w:rsidRPr="003511A9" w:rsidRDefault="00322315" w:rsidP="00322315">
      <w:pPr>
        <w:spacing w:after="120"/>
        <w:rPr>
          <w:rFonts w:cs="Times New Roman"/>
          <w:b/>
          <w:bCs/>
          <w:color w:val="000000" w:themeColor="text1"/>
          <w:lang w:val="lt-LT"/>
        </w:rPr>
      </w:pPr>
      <w:r w:rsidRPr="003511A9">
        <w:rPr>
          <w:rFonts w:cs="Times New Roman"/>
          <w:b/>
          <w:bCs/>
          <w:color w:val="000000" w:themeColor="text1"/>
          <w:lang w:val="lt-LT"/>
        </w:rPr>
        <w:t xml:space="preserve">1 lentelė. Hiperkonverguotos infrastruktūros telkinio sprendimas – 1 </w:t>
      </w:r>
      <w:r w:rsidRPr="003511A9">
        <w:rPr>
          <w:rFonts w:cs="Times New Roman"/>
          <w:b/>
          <w:bCs/>
          <w:color w:val="000000" w:themeColor="text1"/>
          <w:szCs w:val="24"/>
          <w:lang w:val="lt-LT"/>
        </w:rPr>
        <w:t>komplektas</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2786"/>
        <w:gridCol w:w="6647"/>
        <w:gridCol w:w="4286"/>
      </w:tblGrid>
      <w:tr w:rsidR="00322315" w:rsidRPr="003511A9" w14:paraId="66E634AF" w14:textId="77777777" w:rsidTr="006D50DF">
        <w:trPr>
          <w:trHeight w:val="510"/>
        </w:trPr>
        <w:tc>
          <w:tcPr>
            <w:tcW w:w="362" w:type="pct"/>
            <w:vAlign w:val="center"/>
            <w:hideMark/>
          </w:tcPr>
          <w:p w14:paraId="25A1F1B4" w14:textId="77777777" w:rsidR="00322315" w:rsidRPr="003511A9" w:rsidRDefault="00322315" w:rsidP="006D50DF">
            <w:pPr>
              <w:spacing w:after="120" w:line="240" w:lineRule="auto"/>
              <w:ind w:right="179"/>
              <w:rPr>
                <w:rFonts w:cs="Times New Roman"/>
                <w:b/>
                <w:sz w:val="22"/>
                <w:lang w:val="lt-LT"/>
              </w:rPr>
            </w:pPr>
            <w:r w:rsidRPr="003511A9">
              <w:rPr>
                <w:rFonts w:cs="Times New Roman"/>
                <w:b/>
                <w:sz w:val="22"/>
                <w:lang w:val="lt-LT"/>
              </w:rPr>
              <w:t>Eil.</w:t>
            </w:r>
            <w:r w:rsidRPr="003511A9">
              <w:rPr>
                <w:rFonts w:cs="Times New Roman"/>
                <w:b/>
                <w:sz w:val="22"/>
                <w:lang w:val="lt-LT"/>
              </w:rPr>
              <w:br/>
              <w:t>Nr.</w:t>
            </w:r>
          </w:p>
        </w:tc>
        <w:tc>
          <w:tcPr>
            <w:tcW w:w="942" w:type="pct"/>
            <w:vAlign w:val="center"/>
            <w:hideMark/>
          </w:tcPr>
          <w:p w14:paraId="50C241BC" w14:textId="77777777" w:rsidR="00322315" w:rsidRPr="003511A9" w:rsidRDefault="00322315" w:rsidP="006D50DF">
            <w:pPr>
              <w:spacing w:after="120" w:line="240" w:lineRule="auto"/>
              <w:jc w:val="center"/>
              <w:rPr>
                <w:rFonts w:cs="Times New Roman"/>
                <w:b/>
                <w:sz w:val="22"/>
                <w:lang w:val="lt-LT"/>
              </w:rPr>
            </w:pPr>
            <w:r w:rsidRPr="003511A9">
              <w:rPr>
                <w:rFonts w:cs="Times New Roman"/>
                <w:b/>
                <w:sz w:val="22"/>
                <w:lang w:val="lt-LT"/>
              </w:rPr>
              <w:t>Charakteristikos pavadinimas</w:t>
            </w:r>
          </w:p>
        </w:tc>
        <w:tc>
          <w:tcPr>
            <w:tcW w:w="2247" w:type="pct"/>
            <w:vAlign w:val="center"/>
            <w:hideMark/>
          </w:tcPr>
          <w:p w14:paraId="47609DBE" w14:textId="77777777" w:rsidR="00322315" w:rsidRPr="003511A9" w:rsidRDefault="00322315" w:rsidP="006D50DF">
            <w:pPr>
              <w:spacing w:after="0"/>
              <w:ind w:right="-77"/>
              <w:jc w:val="center"/>
              <w:rPr>
                <w:rFonts w:cs="Times New Roman"/>
                <w:b/>
                <w:sz w:val="22"/>
                <w:lang w:val="lt-LT"/>
              </w:rPr>
            </w:pPr>
            <w:r w:rsidRPr="003511A9">
              <w:rPr>
                <w:rFonts w:cs="Times New Roman"/>
                <w:b/>
                <w:sz w:val="22"/>
                <w:lang w:val="lt-LT"/>
              </w:rPr>
              <w:t xml:space="preserve">Reikalaujama charakteristika </w:t>
            </w:r>
          </w:p>
          <w:p w14:paraId="609050B2" w14:textId="77777777" w:rsidR="00322315" w:rsidRPr="003511A9" w:rsidRDefault="00322315" w:rsidP="006D50DF">
            <w:pPr>
              <w:spacing w:after="120" w:line="240" w:lineRule="auto"/>
              <w:jc w:val="center"/>
              <w:rPr>
                <w:rFonts w:cs="Times New Roman"/>
                <w:b/>
                <w:sz w:val="22"/>
                <w:lang w:val="lt-LT"/>
              </w:rPr>
            </w:pPr>
            <w:r w:rsidRPr="003511A9">
              <w:rPr>
                <w:rFonts w:cs="Times New Roman"/>
                <w:b/>
                <w:sz w:val="22"/>
                <w:lang w:val="lt-LT"/>
              </w:rPr>
              <w:t>(ne blogiau kaip)</w:t>
            </w:r>
          </w:p>
        </w:tc>
        <w:tc>
          <w:tcPr>
            <w:tcW w:w="1449" w:type="pct"/>
            <w:vAlign w:val="center"/>
          </w:tcPr>
          <w:p w14:paraId="1B74B23B" w14:textId="77777777" w:rsidR="00322315" w:rsidRPr="003511A9" w:rsidRDefault="00322315" w:rsidP="006D50DF">
            <w:pPr>
              <w:spacing w:after="120" w:line="240" w:lineRule="auto"/>
              <w:jc w:val="center"/>
              <w:rPr>
                <w:rFonts w:cs="Times New Roman"/>
                <w:b/>
                <w:sz w:val="22"/>
                <w:lang w:val="lt-LT"/>
              </w:rPr>
            </w:pPr>
            <w:r w:rsidRPr="003511A9">
              <w:rPr>
                <w:rFonts w:cs="Times New Roman"/>
                <w:b/>
                <w:bCs/>
                <w:sz w:val="22"/>
                <w:lang w:val="lt-LT"/>
              </w:rPr>
              <w:t>Siūloma charakteristika</w:t>
            </w:r>
          </w:p>
        </w:tc>
      </w:tr>
      <w:tr w:rsidR="00322315" w:rsidRPr="003511A9" w14:paraId="758143FD"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88000B5"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51A7DF24" w14:textId="77777777" w:rsidR="00322315" w:rsidRPr="003511A9" w:rsidRDefault="00322315" w:rsidP="006D50DF">
            <w:pPr>
              <w:spacing w:after="120" w:line="240" w:lineRule="auto"/>
              <w:rPr>
                <w:rFonts w:cs="Times New Roman"/>
                <w:sz w:val="22"/>
                <w:lang w:val="lt-LT"/>
              </w:rPr>
            </w:pPr>
            <w:r w:rsidRPr="003511A9">
              <w:rPr>
                <w:rFonts w:cs="Times New Roman"/>
                <w:color w:val="000000"/>
                <w:sz w:val="22"/>
                <w:lang w:val="lt-LT" w:eastAsia="lt-LT"/>
              </w:rPr>
              <w:t>Gamintojas</w:t>
            </w:r>
          </w:p>
        </w:tc>
        <w:tc>
          <w:tcPr>
            <w:tcW w:w="2247" w:type="pct"/>
            <w:tcBorders>
              <w:top w:val="single" w:sz="4" w:space="0" w:color="auto"/>
              <w:left w:val="single" w:sz="4" w:space="0" w:color="auto"/>
              <w:bottom w:val="single" w:sz="4" w:space="0" w:color="auto"/>
              <w:right w:val="single" w:sz="4" w:space="0" w:color="auto"/>
            </w:tcBorders>
          </w:tcPr>
          <w:p w14:paraId="30285B8B" w14:textId="77777777" w:rsidR="00322315" w:rsidRPr="003511A9" w:rsidRDefault="00322315" w:rsidP="006D50DF">
            <w:pPr>
              <w:spacing w:after="120" w:line="240" w:lineRule="auto"/>
              <w:rPr>
                <w:rFonts w:cs="Times New Roman"/>
                <w:sz w:val="22"/>
                <w:lang w:val="lt-LT"/>
              </w:rPr>
            </w:pPr>
            <w:r w:rsidRPr="003511A9">
              <w:rPr>
                <w:rFonts w:cs="Times New Roman"/>
                <w:color w:val="000000"/>
                <w:sz w:val="22"/>
                <w:lang w:val="lt-LT" w:eastAsia="lt-LT"/>
              </w:rPr>
              <w:t>Nurodyti gamintoją.</w:t>
            </w:r>
          </w:p>
        </w:tc>
        <w:tc>
          <w:tcPr>
            <w:tcW w:w="1449" w:type="pct"/>
            <w:tcBorders>
              <w:top w:val="single" w:sz="4" w:space="0" w:color="auto"/>
              <w:left w:val="single" w:sz="4" w:space="0" w:color="auto"/>
              <w:bottom w:val="single" w:sz="4" w:space="0" w:color="auto"/>
              <w:right w:val="single" w:sz="4" w:space="0" w:color="auto"/>
            </w:tcBorders>
          </w:tcPr>
          <w:p w14:paraId="174CB9D1" w14:textId="77777777" w:rsidR="00322315" w:rsidRPr="003511A9" w:rsidRDefault="00322315" w:rsidP="006D50DF">
            <w:pPr>
              <w:spacing w:after="120" w:line="240" w:lineRule="auto"/>
              <w:rPr>
                <w:rFonts w:cs="Times New Roman"/>
                <w:b/>
                <w:i/>
                <w:sz w:val="22"/>
                <w:lang w:val="lt-LT"/>
              </w:rPr>
            </w:pPr>
          </w:p>
        </w:tc>
      </w:tr>
      <w:tr w:rsidR="00322315" w:rsidRPr="00D02428" w14:paraId="30539432"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B1A4288"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397764E7" w14:textId="77777777" w:rsidR="00322315" w:rsidRPr="003511A9" w:rsidRDefault="00322315" w:rsidP="006D50DF">
            <w:pPr>
              <w:spacing w:after="120" w:line="240" w:lineRule="auto"/>
              <w:rPr>
                <w:rFonts w:cs="Times New Roman"/>
                <w:sz w:val="22"/>
                <w:lang w:val="lt-LT"/>
              </w:rPr>
            </w:pPr>
            <w:r w:rsidRPr="003511A9">
              <w:rPr>
                <w:rFonts w:cs="Times New Roman"/>
                <w:color w:val="000000"/>
                <w:sz w:val="22"/>
                <w:lang w:val="lt-LT" w:eastAsia="lt-LT"/>
              </w:rPr>
              <w:t>Produkto pavadinimas</w:t>
            </w:r>
          </w:p>
        </w:tc>
        <w:tc>
          <w:tcPr>
            <w:tcW w:w="2247" w:type="pct"/>
            <w:tcBorders>
              <w:top w:val="single" w:sz="4" w:space="0" w:color="auto"/>
              <w:left w:val="single" w:sz="4" w:space="0" w:color="auto"/>
              <w:bottom w:val="single" w:sz="4" w:space="0" w:color="auto"/>
              <w:right w:val="single" w:sz="4" w:space="0" w:color="auto"/>
            </w:tcBorders>
          </w:tcPr>
          <w:p w14:paraId="3466B162" w14:textId="77777777" w:rsidR="00322315" w:rsidRPr="003511A9" w:rsidRDefault="00322315" w:rsidP="006D50DF">
            <w:pPr>
              <w:spacing w:after="120" w:line="240" w:lineRule="auto"/>
              <w:rPr>
                <w:rFonts w:cs="Times New Roman"/>
                <w:color w:val="000000"/>
                <w:sz w:val="22"/>
                <w:lang w:val="lt-LT" w:eastAsia="lt-LT"/>
              </w:rPr>
            </w:pPr>
            <w:r w:rsidRPr="003511A9">
              <w:rPr>
                <w:rFonts w:cs="Times New Roman"/>
                <w:color w:val="000000"/>
                <w:sz w:val="22"/>
                <w:lang w:val="lt-LT" w:eastAsia="lt-LT"/>
              </w:rPr>
              <w:t>Visa siūloma techninė įranga, privalo būti gamintojo dedikuota hiperkonverguotos infrastruktūros telkinio formavimui bei pilnai atitinkanti gamintojo keliamus techninius bei programinius reikalavimus.</w:t>
            </w:r>
          </w:p>
          <w:p w14:paraId="62AFD0AB" w14:textId="77777777" w:rsidR="00322315" w:rsidRPr="003511A9" w:rsidRDefault="00322315" w:rsidP="006D50DF">
            <w:pPr>
              <w:spacing w:after="120" w:line="240" w:lineRule="auto"/>
              <w:rPr>
                <w:rFonts w:cs="Times New Roman"/>
                <w:color w:val="000000"/>
                <w:sz w:val="22"/>
                <w:lang w:val="lt-LT" w:eastAsia="lt-LT"/>
              </w:rPr>
            </w:pPr>
            <w:r w:rsidRPr="003511A9">
              <w:rPr>
                <w:rFonts w:cs="Times New Roman"/>
                <w:color w:val="000000"/>
                <w:sz w:val="22"/>
                <w:lang w:val="lt-LT" w:eastAsia="lt-LT"/>
              </w:rPr>
              <w:t>Nurodyti produkto pavadinimą, modelį ir kodą.</w:t>
            </w:r>
          </w:p>
          <w:p w14:paraId="0DE528AF" w14:textId="77777777" w:rsidR="00322315" w:rsidRPr="003511A9" w:rsidRDefault="00322315" w:rsidP="006D50DF">
            <w:pPr>
              <w:spacing w:after="120" w:line="240" w:lineRule="auto"/>
              <w:rPr>
                <w:rFonts w:cs="Times New Roman"/>
                <w:b/>
                <w:bCs/>
                <w:sz w:val="22"/>
                <w:lang w:val="lt-LT"/>
              </w:rPr>
            </w:pPr>
            <w:r w:rsidRPr="003511A9">
              <w:rPr>
                <w:rFonts w:cs="Times New Roman"/>
                <w:b/>
                <w:bCs/>
                <w:color w:val="000000"/>
                <w:sz w:val="22"/>
                <w:lang w:val="lt-LT" w:eastAsia="lt-LT"/>
              </w:rPr>
              <w:t>Kartu su pasiūlymu atskirame dokumente privalo būti pateiktas pilnas komplektuojamų komponentų sąrašas su gamintojo kodais, kiekiais ir pavadinimais.</w:t>
            </w:r>
          </w:p>
        </w:tc>
        <w:tc>
          <w:tcPr>
            <w:tcW w:w="1449" w:type="pct"/>
            <w:tcBorders>
              <w:top w:val="single" w:sz="4" w:space="0" w:color="auto"/>
              <w:left w:val="single" w:sz="4" w:space="0" w:color="auto"/>
              <w:bottom w:val="single" w:sz="4" w:space="0" w:color="auto"/>
              <w:right w:val="single" w:sz="4" w:space="0" w:color="auto"/>
            </w:tcBorders>
          </w:tcPr>
          <w:p w14:paraId="2B567F04" w14:textId="77777777" w:rsidR="00322315" w:rsidRPr="003511A9" w:rsidRDefault="00322315" w:rsidP="006D50DF">
            <w:pPr>
              <w:spacing w:after="120" w:line="240" w:lineRule="auto"/>
              <w:rPr>
                <w:rFonts w:cs="Times New Roman"/>
                <w:bCs/>
                <w:iCs/>
                <w:sz w:val="22"/>
                <w:lang w:val="lt-LT"/>
              </w:rPr>
            </w:pPr>
          </w:p>
        </w:tc>
      </w:tr>
      <w:tr w:rsidR="00322315" w:rsidRPr="003511A9" w14:paraId="41090E1F"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169108B"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06AC57D3" w14:textId="77777777" w:rsidR="00322315" w:rsidRPr="003511A9" w:rsidRDefault="00322315" w:rsidP="006D50DF">
            <w:pPr>
              <w:spacing w:after="120" w:line="240" w:lineRule="auto"/>
              <w:rPr>
                <w:rFonts w:cs="Times New Roman"/>
                <w:sz w:val="22"/>
                <w:highlight w:val="yellow"/>
                <w:lang w:val="lt-LT"/>
              </w:rPr>
            </w:pPr>
            <w:r w:rsidRPr="003511A9">
              <w:rPr>
                <w:rFonts w:cs="Times New Roman"/>
                <w:sz w:val="22"/>
                <w:lang w:val="lt-LT"/>
              </w:rPr>
              <w:t>Duomenų saugojimo ir apdorojimo įrangos savybės</w:t>
            </w:r>
          </w:p>
        </w:tc>
        <w:tc>
          <w:tcPr>
            <w:tcW w:w="2247" w:type="pct"/>
            <w:tcBorders>
              <w:top w:val="single" w:sz="4" w:space="0" w:color="auto"/>
              <w:left w:val="single" w:sz="4" w:space="0" w:color="auto"/>
              <w:bottom w:val="single" w:sz="4" w:space="0" w:color="auto"/>
              <w:right w:val="single" w:sz="4" w:space="0" w:color="auto"/>
            </w:tcBorders>
          </w:tcPr>
          <w:p w14:paraId="1CB1FD6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Sprendimą privalo sudaryti mazgų (angl. </w:t>
            </w:r>
            <w:r w:rsidRPr="003511A9">
              <w:rPr>
                <w:rFonts w:cs="Times New Roman"/>
                <w:i/>
                <w:iCs/>
                <w:sz w:val="22"/>
                <w:lang w:val="lt-LT"/>
              </w:rPr>
              <w:t>„node“)</w:t>
            </w:r>
            <w:r w:rsidRPr="003511A9">
              <w:rPr>
                <w:rFonts w:cs="Times New Roman"/>
                <w:sz w:val="22"/>
                <w:lang w:val="lt-LT"/>
              </w:rPr>
              <w:t xml:space="preserve"> telkinys (angl. </w:t>
            </w:r>
            <w:r w:rsidRPr="003511A9">
              <w:rPr>
                <w:rFonts w:cs="Times New Roman"/>
                <w:i/>
                <w:iCs/>
                <w:sz w:val="22"/>
                <w:lang w:val="lt-LT"/>
              </w:rPr>
              <w:t>cluster</w:t>
            </w:r>
            <w:r w:rsidRPr="003511A9">
              <w:rPr>
                <w:rFonts w:cs="Times New Roman"/>
                <w:sz w:val="22"/>
                <w:lang w:val="lt-LT"/>
              </w:rPr>
              <w:t xml:space="preserve">). Telkinį privalo sudaryti ne mažiau kaip 6 (šeši) mazgai.   </w:t>
            </w:r>
          </w:p>
          <w:p w14:paraId="7352A09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Kiekviename mazge privalo būti duomenų apdorojimo (CPU), tiek duomenų saugojimo resursai (dedikuoti diskai duomenims ir spartinančiajai atminčiai (angl. „</w:t>
            </w:r>
            <w:r w:rsidRPr="003511A9">
              <w:rPr>
                <w:rFonts w:cs="Times New Roman"/>
                <w:i/>
                <w:iCs/>
                <w:sz w:val="22"/>
                <w:lang w:val="lt-LT"/>
              </w:rPr>
              <w:t>cache</w:t>
            </w:r>
            <w:r w:rsidRPr="003511A9">
              <w:rPr>
                <w:rFonts w:cs="Times New Roman"/>
                <w:sz w:val="22"/>
                <w:lang w:val="lt-LT"/>
              </w:rPr>
              <w:t xml:space="preserve">“)), maitinimo šaltiniai, operatyvinė atmintis (RAM), tinklo jungtys. </w:t>
            </w:r>
          </w:p>
          <w:p w14:paraId="43E7DB0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Visi telkinį sudarantys mazgai privalo būti identiški. </w:t>
            </w:r>
          </w:p>
          <w:p w14:paraId="30CBA16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Suformuoto telkinio darbas neturi sutrikti sustojus ar sugedus bet kuriam iš mazgų ar bet kuriam mazgo komponentui. </w:t>
            </w:r>
          </w:p>
          <w:p w14:paraId="0EFB7C75" w14:textId="77777777" w:rsidR="00322315" w:rsidRPr="003511A9" w:rsidRDefault="00322315" w:rsidP="006D50DF">
            <w:pPr>
              <w:spacing w:after="120" w:line="240" w:lineRule="auto"/>
              <w:rPr>
                <w:rFonts w:cs="Times New Roman"/>
                <w:color w:val="000000" w:themeColor="text1"/>
                <w:sz w:val="22"/>
                <w:lang w:val="lt-LT"/>
              </w:rPr>
            </w:pPr>
            <w:r w:rsidRPr="003511A9">
              <w:rPr>
                <w:rFonts w:cs="Times New Roman"/>
                <w:sz w:val="22"/>
                <w:lang w:val="lt-LT"/>
              </w:rPr>
              <w:t xml:space="preserve">Telkinys privalo </w:t>
            </w:r>
            <w:r w:rsidRPr="003511A9">
              <w:rPr>
                <w:rFonts w:cs="Times New Roman"/>
                <w:color w:val="000000" w:themeColor="text1"/>
                <w:sz w:val="22"/>
                <w:lang w:val="lt-LT"/>
              </w:rPr>
              <w:t xml:space="preserve">būti plečiamas pridedant tokius pat arba skirtingos konfigūracijos mazgus. Privalo būti galimybė ateityje pridėti mazgus be duomenų saugyklos posistemės (angl. „diskless“). </w:t>
            </w:r>
          </w:p>
          <w:p w14:paraId="60E24308" w14:textId="77777777" w:rsidR="00322315" w:rsidRPr="003511A9" w:rsidRDefault="00322315" w:rsidP="006D50DF">
            <w:pPr>
              <w:spacing w:after="120" w:line="240" w:lineRule="auto"/>
              <w:rPr>
                <w:rFonts w:cs="Times New Roman"/>
                <w:color w:val="000000" w:themeColor="text1"/>
                <w:sz w:val="22"/>
                <w:lang w:val="lt-LT"/>
              </w:rPr>
            </w:pPr>
            <w:r w:rsidRPr="003511A9">
              <w:rPr>
                <w:rFonts w:cs="Times New Roman"/>
                <w:color w:val="000000" w:themeColor="text1"/>
                <w:sz w:val="22"/>
                <w:lang w:val="lt-LT"/>
              </w:rPr>
              <w:t>Privalo būti galimybė ateityje pridėti vieną mazgą nutolusiame (angl. „edge“) duomenų centre, kuris veiktų bei būtų valdomas kaip sudedamoji HCI telkinio dalis, turėtų telkinio savybes, turėtų RAID kontrolerį apsaugantį duomenų saugyklos posistemę ir būtų centralizuotai valdomas bei atnaujinamas.  </w:t>
            </w:r>
          </w:p>
          <w:p w14:paraId="6332826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lastRenderedPageBreak/>
              <w:t>Plėtimai bei telkinio programinės įrangos naujinimai privalo būti vykdomi nestabdant telkinio darbo.</w:t>
            </w:r>
          </w:p>
        </w:tc>
        <w:tc>
          <w:tcPr>
            <w:tcW w:w="1449" w:type="pct"/>
            <w:tcBorders>
              <w:top w:val="single" w:sz="4" w:space="0" w:color="auto"/>
              <w:left w:val="single" w:sz="4" w:space="0" w:color="auto"/>
              <w:bottom w:val="single" w:sz="4" w:space="0" w:color="auto"/>
              <w:right w:val="single" w:sz="4" w:space="0" w:color="auto"/>
            </w:tcBorders>
          </w:tcPr>
          <w:p w14:paraId="23C1132B" w14:textId="77777777" w:rsidR="00322315" w:rsidRPr="003511A9" w:rsidRDefault="00322315" w:rsidP="006D50DF">
            <w:pPr>
              <w:spacing w:after="120" w:line="240" w:lineRule="auto"/>
              <w:rPr>
                <w:rFonts w:cs="Times New Roman"/>
                <w:bCs/>
                <w:iCs/>
                <w:sz w:val="22"/>
                <w:lang w:val="lt-LT"/>
              </w:rPr>
            </w:pPr>
          </w:p>
        </w:tc>
      </w:tr>
      <w:tr w:rsidR="00322315" w:rsidRPr="00D02428" w14:paraId="6C65929F"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3"/>
        </w:trPr>
        <w:tc>
          <w:tcPr>
            <w:tcW w:w="362" w:type="pct"/>
            <w:tcBorders>
              <w:top w:val="single" w:sz="4" w:space="0" w:color="auto"/>
              <w:left w:val="single" w:sz="4" w:space="0" w:color="auto"/>
              <w:bottom w:val="single" w:sz="4" w:space="0" w:color="auto"/>
              <w:right w:val="single" w:sz="4" w:space="0" w:color="auto"/>
            </w:tcBorders>
            <w:noWrap/>
          </w:tcPr>
          <w:p w14:paraId="136F8944"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38F1AC8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Telkinio plečiamumas</w:t>
            </w:r>
          </w:p>
        </w:tc>
        <w:tc>
          <w:tcPr>
            <w:tcW w:w="2247" w:type="pct"/>
            <w:tcBorders>
              <w:top w:val="single" w:sz="4" w:space="0" w:color="auto"/>
              <w:left w:val="single" w:sz="4" w:space="0" w:color="auto"/>
              <w:bottom w:val="single" w:sz="4" w:space="0" w:color="auto"/>
              <w:right w:val="single" w:sz="4" w:space="0" w:color="auto"/>
            </w:tcBorders>
          </w:tcPr>
          <w:p w14:paraId="2A75759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Telkinys privalo turėti galimybę būti plečiamas ne mažiau kaip du kartus („scale-out“ tipo plėtimas) pridedant papildomus mazgus, esant galimybei papildomiems mazgams būti skirtingiems bei neįtakojant veikiančio telkinio darbo. </w:t>
            </w:r>
          </w:p>
        </w:tc>
        <w:tc>
          <w:tcPr>
            <w:tcW w:w="1449" w:type="pct"/>
            <w:tcBorders>
              <w:top w:val="single" w:sz="4" w:space="0" w:color="auto"/>
              <w:left w:val="single" w:sz="4" w:space="0" w:color="auto"/>
              <w:bottom w:val="single" w:sz="4" w:space="0" w:color="auto"/>
              <w:right w:val="single" w:sz="4" w:space="0" w:color="auto"/>
            </w:tcBorders>
          </w:tcPr>
          <w:p w14:paraId="772BF511" w14:textId="77777777" w:rsidR="00322315" w:rsidRPr="003511A9" w:rsidRDefault="00322315" w:rsidP="006D50DF">
            <w:pPr>
              <w:spacing w:after="120" w:line="240" w:lineRule="auto"/>
              <w:rPr>
                <w:rFonts w:cs="Times New Roman"/>
                <w:b/>
                <w:i/>
                <w:sz w:val="22"/>
                <w:lang w:val="lt-LT"/>
              </w:rPr>
            </w:pPr>
          </w:p>
        </w:tc>
      </w:tr>
      <w:tr w:rsidR="00322315" w:rsidRPr="00D02428" w14:paraId="4E17710A"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FB6CAEF"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293FF5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Telkinio patikimumas</w:t>
            </w:r>
          </w:p>
        </w:tc>
        <w:tc>
          <w:tcPr>
            <w:tcW w:w="2247" w:type="pct"/>
            <w:tcBorders>
              <w:top w:val="single" w:sz="4" w:space="0" w:color="auto"/>
              <w:left w:val="single" w:sz="4" w:space="0" w:color="auto"/>
              <w:bottom w:val="single" w:sz="4" w:space="0" w:color="auto"/>
              <w:right w:val="single" w:sz="4" w:space="0" w:color="auto"/>
            </w:tcBorders>
          </w:tcPr>
          <w:p w14:paraId="32B6FE7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Visi įrašomi duomenys privalo būti automatiškai paskirstomi visuose telkinio mazguose, duomenys vienu metu privalo būti saugomi bent dviejuose mazguose, užtikrinant duomenų išsaugojimą bet kurio vieno mazgo praradimo atveju. </w:t>
            </w:r>
          </w:p>
          <w:p w14:paraId="314C5FD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Privalo būti galimybė nurodyti telkinio mazgų išdėstymo patikimumo politiką, kad dubliuojami duomenys būtų saugomi skirtinguose korpusuose ar spintose, talpinančiose telkinio mazgus. </w:t>
            </w:r>
          </w:p>
          <w:p w14:paraId="5A0486D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Telkinio mazgai privalo būti maitinami iš perteklinių maitinimo šaltinių ir jungiami į elektros tinklą per dubliuotas sąsajas. </w:t>
            </w:r>
          </w:p>
          <w:p w14:paraId="7AB54BC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Telkinio darbas neturi sutrikti dėl vieno mazgo komponentų gedimo.</w:t>
            </w:r>
          </w:p>
          <w:p w14:paraId="182A010B"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galimybė perkamų mazgų apimtyje naudoti skirtingas patikimumo politikas virtualios mašinos lygmenyje, įskaitant, bet neapsiribojant „</w:t>
            </w:r>
            <w:r w:rsidRPr="003511A9">
              <w:rPr>
                <w:rFonts w:cs="Times New Roman"/>
                <w:i/>
                <w:iCs/>
                <w:sz w:val="22"/>
                <w:lang w:val="lt-LT"/>
              </w:rPr>
              <w:t>Mirror</w:t>
            </w:r>
            <w:r w:rsidRPr="003511A9">
              <w:rPr>
                <w:rFonts w:cs="Times New Roman"/>
                <w:sz w:val="22"/>
                <w:lang w:val="lt-LT"/>
              </w:rPr>
              <w:t>“ (dubliavimu) bei „RAID5 (5+1) lygio „</w:t>
            </w:r>
            <w:r w:rsidRPr="003511A9">
              <w:rPr>
                <w:rFonts w:cs="Times New Roman"/>
                <w:i/>
                <w:iCs/>
                <w:sz w:val="22"/>
                <w:lang w:val="lt-LT"/>
              </w:rPr>
              <w:t>Erasure coding</w:t>
            </w:r>
            <w:r w:rsidRPr="003511A9">
              <w:rPr>
                <w:rFonts w:cs="Times New Roman"/>
                <w:sz w:val="22"/>
                <w:lang w:val="lt-LT"/>
              </w:rPr>
              <w:t xml:space="preserve">“.  </w:t>
            </w:r>
          </w:p>
        </w:tc>
        <w:tc>
          <w:tcPr>
            <w:tcW w:w="1449" w:type="pct"/>
            <w:tcBorders>
              <w:top w:val="single" w:sz="4" w:space="0" w:color="auto"/>
              <w:left w:val="single" w:sz="4" w:space="0" w:color="auto"/>
              <w:bottom w:val="single" w:sz="4" w:space="0" w:color="auto"/>
              <w:right w:val="single" w:sz="4" w:space="0" w:color="auto"/>
            </w:tcBorders>
          </w:tcPr>
          <w:p w14:paraId="1E76C95B" w14:textId="77777777" w:rsidR="00322315" w:rsidRPr="003511A9" w:rsidRDefault="00322315" w:rsidP="006D50DF">
            <w:pPr>
              <w:spacing w:after="120" w:line="240" w:lineRule="auto"/>
              <w:rPr>
                <w:rFonts w:cs="Times New Roman"/>
                <w:sz w:val="22"/>
                <w:lang w:val="lt-LT"/>
              </w:rPr>
            </w:pPr>
          </w:p>
        </w:tc>
      </w:tr>
      <w:tr w:rsidR="00322315" w:rsidRPr="00D02428" w14:paraId="567923DA"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4586352"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DE7470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Telkinio valdymas</w:t>
            </w:r>
          </w:p>
        </w:tc>
        <w:tc>
          <w:tcPr>
            <w:tcW w:w="2247" w:type="pct"/>
            <w:tcBorders>
              <w:top w:val="single" w:sz="4" w:space="0" w:color="auto"/>
              <w:left w:val="single" w:sz="4" w:space="0" w:color="auto"/>
              <w:bottom w:val="single" w:sz="4" w:space="0" w:color="auto"/>
              <w:right w:val="single" w:sz="4" w:space="0" w:color="auto"/>
            </w:tcBorders>
          </w:tcPr>
          <w:p w14:paraId="2C9DF779"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Visi telkinio resursai (skaičiavimo, tinklo ir duomenų saugojimo resursai, virtualizavimo platforma (hypervizorius) ir jos komponentai) privalo būti suderinami su </w:t>
            </w:r>
            <w:r w:rsidRPr="003511A9">
              <w:rPr>
                <w:rFonts w:cs="Times New Roman"/>
                <w:lang w:val="lt-LT"/>
              </w:rPr>
              <w:t>Perkančiosios organizacijos</w:t>
            </w:r>
            <w:r w:rsidRPr="003511A9">
              <w:rPr>
                <w:rFonts w:cs="Times New Roman"/>
                <w:sz w:val="22"/>
                <w:lang w:val="lt-LT"/>
              </w:rPr>
              <w:t xml:space="preserve"> naudojamu VMware vCenter serveriu. </w:t>
            </w:r>
          </w:p>
          <w:p w14:paraId="432B9B86"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Viso telkinio aparatinės įrangos atpažinimas, inicializavimas, pradinis programinės valdymo, skaičiavimo ir duomenų saugyklų posistemių virtualizavimo įrangos diegimas, tvarkyklių ir versijų naujinimas ateityje privalo būti atliekamas kaip vieningas procesas. </w:t>
            </w:r>
          </w:p>
          <w:p w14:paraId="7AFA30D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Gamintojas privalo garantuoti visų aparatinių ir programinių elementų suderinamumą ir savalaikį visų komponentų (įskaitant virtualizacijos </w:t>
            </w:r>
            <w:r w:rsidRPr="003511A9">
              <w:rPr>
                <w:rFonts w:cs="Times New Roman"/>
                <w:sz w:val="22"/>
                <w:lang w:val="lt-LT"/>
              </w:rPr>
              <w:lastRenderedPageBreak/>
              <w:t>platformos) tvarkyklių ir versijų atnaujinimą ateityje, viso telkinio įrangos gyvavimo ciklo laiku.</w:t>
            </w:r>
          </w:p>
        </w:tc>
        <w:tc>
          <w:tcPr>
            <w:tcW w:w="1449" w:type="pct"/>
            <w:tcBorders>
              <w:top w:val="single" w:sz="4" w:space="0" w:color="auto"/>
              <w:left w:val="single" w:sz="4" w:space="0" w:color="auto"/>
              <w:bottom w:val="single" w:sz="4" w:space="0" w:color="auto"/>
              <w:right w:val="single" w:sz="4" w:space="0" w:color="auto"/>
            </w:tcBorders>
          </w:tcPr>
          <w:p w14:paraId="6B311ED8" w14:textId="77777777" w:rsidR="00322315" w:rsidRPr="003511A9" w:rsidRDefault="00322315" w:rsidP="006D50DF">
            <w:pPr>
              <w:spacing w:after="120" w:line="240" w:lineRule="auto"/>
              <w:rPr>
                <w:rFonts w:cs="Times New Roman"/>
                <w:b/>
                <w:i/>
                <w:sz w:val="22"/>
                <w:lang w:val="lt-LT"/>
              </w:rPr>
            </w:pPr>
          </w:p>
        </w:tc>
      </w:tr>
      <w:tr w:rsidR="00322315" w:rsidRPr="003511A9" w14:paraId="26FD9B3C"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06144E1"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E9C27A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Reikalavimai duomenų saugojimo posistemei</w:t>
            </w:r>
          </w:p>
        </w:tc>
        <w:tc>
          <w:tcPr>
            <w:tcW w:w="2247" w:type="pct"/>
            <w:tcBorders>
              <w:top w:val="single" w:sz="4" w:space="0" w:color="auto"/>
              <w:left w:val="single" w:sz="4" w:space="0" w:color="auto"/>
              <w:bottom w:val="single" w:sz="4" w:space="0" w:color="auto"/>
              <w:right w:val="single" w:sz="4" w:space="0" w:color="auto"/>
            </w:tcBorders>
          </w:tcPr>
          <w:p w14:paraId="37AB240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Telkinio duomenų saugyklos duomenys privalo būti automatiškai paskirstomi visuose telkinio mazguose pagal telkinio veikimo technologiją ir duomenų apsaugos lygį. </w:t>
            </w:r>
          </w:p>
          <w:p w14:paraId="3B92761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Visi pateikiami diskai privalo būti NVMe tipo.</w:t>
            </w:r>
          </w:p>
          <w:p w14:paraId="7CC91DC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Pateikiami diskai privalo būti gamintojo ištestuoti ir kvalifikuoti siūlomam sprendimui.</w:t>
            </w:r>
          </w:p>
          <w:p w14:paraId="4A87674E" w14:textId="77777777" w:rsidR="00322315" w:rsidRPr="003511A9" w:rsidRDefault="00322315" w:rsidP="006D50DF">
            <w:pPr>
              <w:spacing w:after="120" w:line="240" w:lineRule="auto"/>
              <w:rPr>
                <w:rFonts w:cs="Times New Roman"/>
                <w:sz w:val="22"/>
                <w:highlight w:val="yellow"/>
                <w:lang w:val="lt-LT"/>
              </w:rPr>
            </w:pPr>
            <w:r w:rsidRPr="003511A9">
              <w:rPr>
                <w:rFonts w:cs="Times New Roman"/>
                <w:sz w:val="22"/>
                <w:lang w:val="lt-LT"/>
              </w:rPr>
              <w:t>Bendra panaudojama duomenų talpa privalo būti ne mažesnė kaip 150TB (visiems duomenims naudojant ne mažiau patikimą nei RAID 6 (erasure coding tipo duomenų apsauga yra privaloma) duomenų blokų apsaugos mechanizmą, nevertinant duomenų suspaudimo ir išdubliavimo).</w:t>
            </w:r>
          </w:p>
          <w:p w14:paraId="4792EE4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Hipervizoriaus veikimui privalo būti skirti du dedikuoti ne prastesnės kaip SSD technologijos diskai, apsaugoti aparatiniu RAID1, kiekvieno disko talpa – ne mažesnė nei 960 GB. </w:t>
            </w:r>
          </w:p>
          <w:p w14:paraId="6ACC1CE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Telkinio duomenų saugyklos posistemės našumas - ne mažiau negu 350‘000 IOPS esant atsako laikui mažesniam nei 1ms, esant  apkrovos tipui OLTP 16K, kai atsitiktinis skaitymo/rašymo santykis – 70/30. Pateikti gamintojo modeliavimo įrankio ataskaitos kopiją. </w:t>
            </w:r>
          </w:p>
          <w:p w14:paraId="337E384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Sistema privalo automatiškai perkelti duomenų blokus tarp diskų spartinančiosios atminties srities ir duomenų srities. Spartinančios atminties sritis privalo būti dubliuojama ir/arba apsaugota nuo duomenų sugadinimo.</w:t>
            </w:r>
          </w:p>
          <w:p w14:paraId="0C415AE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Visų mazgų visų duomenų diskų talpa privalo būti matoma kaip viena bendra talpa duomenims saugoti. Pridedant naujus mazgus į telkinį, talpa privalo būti plečiama automatiškai, nestabdant telkinio ir virtualių mašinų darbo. Analogiškai, nestabdant darbo, privalo būti užtikrintas ir atskirų mazgų pašalinimas iš telkinio arba senų mazgų pakeitimas naujais.</w:t>
            </w:r>
          </w:p>
          <w:p w14:paraId="42490D5C"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Duomenų saugyklos posistemė privalo turėti optimizavimo funkcijas, užtikrinančias duomenų sumažinimą pagal gamintojo siūlomus algoritmus (angl. „data reduction“).</w:t>
            </w:r>
          </w:p>
          <w:p w14:paraId="07925A2B" w14:textId="77777777" w:rsidR="00322315" w:rsidRPr="003511A9" w:rsidRDefault="00322315" w:rsidP="006D50DF">
            <w:pPr>
              <w:spacing w:after="120" w:line="240" w:lineRule="auto"/>
              <w:rPr>
                <w:rFonts w:cs="Times New Roman"/>
                <w:sz w:val="22"/>
                <w:highlight w:val="yellow"/>
                <w:lang w:val="lt-LT"/>
              </w:rPr>
            </w:pPr>
            <w:r w:rsidRPr="003511A9">
              <w:rPr>
                <w:rFonts w:cs="Times New Roman"/>
                <w:sz w:val="22"/>
                <w:lang w:val="lt-LT"/>
              </w:rPr>
              <w:lastRenderedPageBreak/>
              <w:t>Jei šis funkcionalumas licencijuojamas, privalo būti pateiktos licencijos visai perkamai duomenų talpai.</w:t>
            </w:r>
          </w:p>
          <w:p w14:paraId="1499CBA3" w14:textId="77777777" w:rsidR="00322315" w:rsidRPr="003511A9" w:rsidRDefault="00322315" w:rsidP="006D50DF">
            <w:pPr>
              <w:spacing w:after="120" w:line="240" w:lineRule="auto"/>
              <w:rPr>
                <w:rFonts w:cs="Times New Roman"/>
                <w:sz w:val="22"/>
                <w:highlight w:val="yellow"/>
                <w:lang w:val="lt-LT"/>
              </w:rPr>
            </w:pPr>
            <w:r w:rsidRPr="003511A9">
              <w:rPr>
                <w:rFonts w:cs="Times New Roman"/>
                <w:sz w:val="22"/>
                <w:lang w:val="lt-LT"/>
              </w:rPr>
              <w:t xml:space="preserve">Duomenų saugyklos posistemės programinis kodas privalo būti integrali hipervizoriaus kodo (angl. </w:t>
            </w:r>
            <w:r w:rsidRPr="003511A9">
              <w:rPr>
                <w:rFonts w:cs="Times New Roman"/>
                <w:i/>
                <w:iCs/>
                <w:sz w:val="22"/>
                <w:lang w:val="lt-LT"/>
              </w:rPr>
              <w:t>„kernel“</w:t>
            </w:r>
            <w:r w:rsidRPr="003511A9">
              <w:rPr>
                <w:rFonts w:cs="Times New Roman"/>
                <w:sz w:val="22"/>
                <w:lang w:val="lt-LT"/>
              </w:rPr>
              <w:t xml:space="preserve">) dalis. </w:t>
            </w:r>
          </w:p>
        </w:tc>
        <w:tc>
          <w:tcPr>
            <w:tcW w:w="1449" w:type="pct"/>
            <w:tcBorders>
              <w:top w:val="single" w:sz="4" w:space="0" w:color="auto"/>
              <w:left w:val="single" w:sz="4" w:space="0" w:color="auto"/>
              <w:bottom w:val="single" w:sz="4" w:space="0" w:color="auto"/>
              <w:right w:val="single" w:sz="4" w:space="0" w:color="auto"/>
            </w:tcBorders>
          </w:tcPr>
          <w:p w14:paraId="6B25DF8A" w14:textId="77777777" w:rsidR="00322315" w:rsidRPr="003511A9" w:rsidRDefault="00322315" w:rsidP="006D50DF">
            <w:pPr>
              <w:spacing w:after="120" w:line="240" w:lineRule="auto"/>
              <w:rPr>
                <w:rFonts w:cs="Times New Roman"/>
                <w:sz w:val="22"/>
                <w:lang w:val="lt-LT"/>
              </w:rPr>
            </w:pPr>
          </w:p>
        </w:tc>
      </w:tr>
      <w:tr w:rsidR="00322315" w:rsidRPr="00D02428" w14:paraId="7973178A"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A390810"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8F741A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Skaičiavimo resursai</w:t>
            </w:r>
          </w:p>
        </w:tc>
        <w:tc>
          <w:tcPr>
            <w:tcW w:w="2247" w:type="pct"/>
            <w:tcBorders>
              <w:top w:val="single" w:sz="4" w:space="0" w:color="auto"/>
              <w:left w:val="single" w:sz="4" w:space="0" w:color="auto"/>
              <w:bottom w:val="single" w:sz="4" w:space="0" w:color="auto"/>
              <w:right w:val="single" w:sz="4" w:space="0" w:color="auto"/>
            </w:tcBorders>
          </w:tcPr>
          <w:p w14:paraId="309E767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Ne mažiau kaip 1 procesorius.</w:t>
            </w:r>
          </w:p>
          <w:p w14:paraId="4A33820E"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x86 architektūros procesorius, palaikantis 64 bitų operacines sistemas ir taikomąsias programas, virtualizavimo instrukcijas aparatiniu lygmeniu.</w:t>
            </w:r>
          </w:p>
          <w:p w14:paraId="35113039"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Palaikantis ne mažiau kaip 8 atminties kanalus.</w:t>
            </w:r>
          </w:p>
          <w:p w14:paraId="6F73CC1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Palaikantis ne mažiau kaip 4 TB atminties (per procesorių).</w:t>
            </w:r>
          </w:p>
          <w:p w14:paraId="4868FF2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ne mažiau kaip 32 fiziniai branduoliai procesoriuje.</w:t>
            </w:r>
          </w:p>
          <w:p w14:paraId="7F110D39"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Procesoriaus dažnis ne mažesnis kaip 2.8 Ghz.</w:t>
            </w:r>
          </w:p>
          <w:p w14:paraId="4C353B4B" w14:textId="77777777" w:rsidR="00322315" w:rsidRPr="003511A9" w:rsidRDefault="00322315" w:rsidP="006D50DF">
            <w:pPr>
              <w:spacing w:after="120" w:line="240" w:lineRule="auto"/>
              <w:rPr>
                <w:rFonts w:cs="Times New Roman"/>
                <w:color w:val="000000"/>
                <w:sz w:val="22"/>
                <w:lang w:val="lt-LT" w:eastAsia="lt-LT"/>
              </w:rPr>
            </w:pPr>
            <w:r w:rsidRPr="003511A9">
              <w:rPr>
                <w:rFonts w:cs="Times New Roman"/>
                <w:color w:val="000000"/>
                <w:sz w:val="22"/>
                <w:lang w:val="lt-LT" w:eastAsia="lt-LT"/>
              </w:rPr>
              <w:t>Procesorius privalo užtikrinti ne mažesnį kaip (rezultatai nurodyti 1 procesoriau sistemai):</w:t>
            </w:r>
          </w:p>
          <w:p w14:paraId="31308231" w14:textId="77777777" w:rsidR="00322315" w:rsidRPr="003511A9" w:rsidRDefault="00322315" w:rsidP="006D50DF">
            <w:pPr>
              <w:spacing w:after="120" w:line="240" w:lineRule="auto"/>
              <w:rPr>
                <w:rFonts w:cs="Times New Roman"/>
                <w:color w:val="000000"/>
                <w:sz w:val="22"/>
                <w:lang w:val="lt-LT" w:eastAsia="lt-LT"/>
              </w:rPr>
            </w:pPr>
            <w:r w:rsidRPr="003511A9">
              <w:rPr>
                <w:rFonts w:cs="Times New Roman"/>
                <w:color w:val="000000"/>
                <w:sz w:val="22"/>
                <w:lang w:val="lt-LT" w:eastAsia="lt-LT"/>
              </w:rPr>
              <w:t>- 635 vienetų pagal SPECrate2017 int_base testą našumą;</w:t>
            </w:r>
          </w:p>
          <w:p w14:paraId="2CFF5264" w14:textId="77777777" w:rsidR="00322315" w:rsidRPr="003511A9" w:rsidRDefault="00322315" w:rsidP="006D50DF">
            <w:pPr>
              <w:spacing w:after="120" w:line="240" w:lineRule="auto"/>
              <w:rPr>
                <w:rFonts w:cs="Times New Roman"/>
                <w:color w:val="000000"/>
                <w:sz w:val="22"/>
                <w:lang w:val="lt-LT" w:eastAsia="lt-LT"/>
              </w:rPr>
            </w:pPr>
            <w:r w:rsidRPr="003511A9">
              <w:rPr>
                <w:rFonts w:cs="Times New Roman"/>
                <w:color w:val="000000"/>
                <w:sz w:val="22"/>
                <w:lang w:val="lt-LT" w:eastAsia="lt-LT"/>
              </w:rPr>
              <w:t>- 769 vienetų pagal SPECrate2017 fp_base testą našumą.</w:t>
            </w:r>
          </w:p>
          <w:p w14:paraId="5A088FD5" w14:textId="77777777" w:rsidR="00322315" w:rsidRPr="003511A9" w:rsidRDefault="00322315" w:rsidP="006D50DF">
            <w:pPr>
              <w:spacing w:after="120" w:line="240" w:lineRule="auto"/>
              <w:rPr>
                <w:rFonts w:cs="Times New Roman"/>
                <w:b/>
                <w:color w:val="000000"/>
                <w:sz w:val="22"/>
                <w:lang w:val="lt-LT" w:eastAsia="lt-LT"/>
              </w:rPr>
            </w:pPr>
            <w:r w:rsidRPr="003511A9">
              <w:rPr>
                <w:rFonts w:cs="Times New Roman"/>
                <w:b/>
                <w:color w:val="000000"/>
                <w:sz w:val="22"/>
                <w:lang w:val="lt-LT" w:eastAsia="lt-LT"/>
              </w:rPr>
              <w:t>Rezultatai privalo būti skelbiami adresu www.spec.org puslapyje ir pateikti pasiūlyme.</w:t>
            </w:r>
          </w:p>
          <w:p w14:paraId="1582BF7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Pateikiami našumo rezultatai privalo būti išmatuoti siūlomo gamintojo aparatinėje platformoje.</w:t>
            </w:r>
          </w:p>
        </w:tc>
        <w:tc>
          <w:tcPr>
            <w:tcW w:w="1449" w:type="pct"/>
            <w:tcBorders>
              <w:top w:val="single" w:sz="4" w:space="0" w:color="auto"/>
              <w:left w:val="single" w:sz="4" w:space="0" w:color="auto"/>
              <w:bottom w:val="single" w:sz="4" w:space="0" w:color="auto"/>
              <w:right w:val="single" w:sz="4" w:space="0" w:color="auto"/>
            </w:tcBorders>
          </w:tcPr>
          <w:p w14:paraId="53F8E17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Intel Xeon Gold 6548N</w:t>
            </w:r>
          </w:p>
          <w:p w14:paraId="0DEEA83E" w14:textId="77777777" w:rsidR="00322315" w:rsidRPr="003511A9" w:rsidRDefault="00322315" w:rsidP="006D50DF">
            <w:pPr>
              <w:spacing w:after="120" w:line="240" w:lineRule="auto"/>
              <w:rPr>
                <w:rFonts w:cs="Times New Roman"/>
                <w:sz w:val="22"/>
                <w:lang w:val="lt-LT"/>
              </w:rPr>
            </w:pPr>
          </w:p>
          <w:p w14:paraId="17B8F85D" w14:textId="77777777" w:rsidR="00322315" w:rsidRPr="003511A9" w:rsidRDefault="00322315" w:rsidP="006D50DF">
            <w:pPr>
              <w:spacing w:after="120" w:line="240" w:lineRule="auto"/>
              <w:rPr>
                <w:rFonts w:cs="Times New Roman"/>
                <w:sz w:val="22"/>
                <w:lang w:val="lt-LT"/>
              </w:rPr>
            </w:pPr>
            <w:hyperlink r:id="rId8" w:history="1">
              <w:r w:rsidRPr="003511A9">
                <w:rPr>
                  <w:rStyle w:val="Hyperlink"/>
                  <w:rFonts w:cs="Times New Roman"/>
                  <w:sz w:val="22"/>
                  <w:lang w:val="lt-LT"/>
                </w:rPr>
                <w:t>https://www.spec.org/cpu2017/results/res2024q1/cpu2017-20240112-40618.pdf</w:t>
              </w:r>
            </w:hyperlink>
            <w:r w:rsidRPr="003511A9">
              <w:rPr>
                <w:rFonts w:cs="Times New Roman"/>
                <w:sz w:val="22"/>
                <w:lang w:val="lt-LT"/>
              </w:rPr>
              <w:t xml:space="preserve"> </w:t>
            </w:r>
          </w:p>
          <w:p w14:paraId="2E1CD736" w14:textId="77777777" w:rsidR="00322315" w:rsidRPr="003511A9" w:rsidRDefault="00322315" w:rsidP="006D50DF">
            <w:pPr>
              <w:spacing w:after="120" w:line="240" w:lineRule="auto"/>
              <w:rPr>
                <w:rFonts w:cs="Times New Roman"/>
                <w:sz w:val="22"/>
                <w:lang w:val="lt-LT"/>
              </w:rPr>
            </w:pPr>
          </w:p>
          <w:p w14:paraId="2378FAC6" w14:textId="77777777" w:rsidR="00322315" w:rsidRPr="003511A9" w:rsidRDefault="00322315" w:rsidP="006D50DF">
            <w:pPr>
              <w:spacing w:after="120" w:line="240" w:lineRule="auto"/>
              <w:rPr>
                <w:rFonts w:cs="Times New Roman"/>
                <w:sz w:val="22"/>
                <w:lang w:val="lt-LT"/>
              </w:rPr>
            </w:pPr>
            <w:hyperlink r:id="rId9" w:history="1">
              <w:r w:rsidRPr="003511A9">
                <w:rPr>
                  <w:rStyle w:val="Hyperlink"/>
                  <w:rFonts w:cs="Times New Roman"/>
                  <w:sz w:val="22"/>
                  <w:lang w:val="lt-LT"/>
                </w:rPr>
                <w:t>https://www.spec.org/cpu2017/results/res2024q1/cpu2017-20240112-40601.pdf</w:t>
              </w:r>
            </w:hyperlink>
            <w:r w:rsidRPr="003511A9">
              <w:rPr>
                <w:rFonts w:cs="Times New Roman"/>
                <w:sz w:val="22"/>
                <w:lang w:val="lt-LT"/>
              </w:rPr>
              <w:t xml:space="preserve"> </w:t>
            </w:r>
          </w:p>
          <w:p w14:paraId="733954B2" w14:textId="77777777" w:rsidR="00322315" w:rsidRPr="003511A9" w:rsidRDefault="00322315" w:rsidP="006D50DF">
            <w:pPr>
              <w:spacing w:after="120" w:line="240" w:lineRule="auto"/>
              <w:rPr>
                <w:rFonts w:cs="Times New Roman"/>
                <w:sz w:val="22"/>
                <w:lang w:val="lt-LT"/>
              </w:rPr>
            </w:pPr>
          </w:p>
        </w:tc>
      </w:tr>
      <w:tr w:rsidR="00322315" w:rsidRPr="00D02428" w14:paraId="6CB00BCC"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362" w:type="pct"/>
            <w:tcBorders>
              <w:top w:val="single" w:sz="4" w:space="0" w:color="auto"/>
              <w:left w:val="single" w:sz="4" w:space="0" w:color="auto"/>
              <w:bottom w:val="single" w:sz="4" w:space="0" w:color="auto"/>
              <w:right w:val="single" w:sz="4" w:space="0" w:color="auto"/>
            </w:tcBorders>
            <w:noWrap/>
          </w:tcPr>
          <w:p w14:paraId="4F5AF21B"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6F06E21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Atminties resursai</w:t>
            </w:r>
          </w:p>
        </w:tc>
        <w:tc>
          <w:tcPr>
            <w:tcW w:w="2247" w:type="pct"/>
            <w:tcBorders>
              <w:top w:val="single" w:sz="4" w:space="0" w:color="auto"/>
              <w:left w:val="single" w:sz="4" w:space="0" w:color="auto"/>
              <w:bottom w:val="single" w:sz="4" w:space="0" w:color="auto"/>
              <w:right w:val="single" w:sz="4" w:space="0" w:color="auto"/>
            </w:tcBorders>
          </w:tcPr>
          <w:p w14:paraId="761C0529"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Kiekviename mazge privalo būti ne mažiau, kaip 768GB 5200MT/s operatyvinės atminties (RAM). Atminties moduliai privalo būti vienodo dydžio. Atsiradus poreikiui, privalo būti galimybė atmintį išpėsti dvigubai, naudojant tokio paties dydžio atminties modulius, kaip ir pasiūlyti. </w:t>
            </w:r>
          </w:p>
        </w:tc>
        <w:tc>
          <w:tcPr>
            <w:tcW w:w="1449" w:type="pct"/>
            <w:tcBorders>
              <w:top w:val="single" w:sz="4" w:space="0" w:color="auto"/>
              <w:left w:val="single" w:sz="4" w:space="0" w:color="auto"/>
              <w:bottom w:val="single" w:sz="4" w:space="0" w:color="auto"/>
              <w:right w:val="single" w:sz="4" w:space="0" w:color="auto"/>
            </w:tcBorders>
          </w:tcPr>
          <w:p w14:paraId="2BFEE551" w14:textId="77777777" w:rsidR="00322315" w:rsidRPr="003511A9" w:rsidRDefault="00322315" w:rsidP="006D50DF">
            <w:pPr>
              <w:spacing w:after="120" w:line="240" w:lineRule="auto"/>
              <w:rPr>
                <w:rFonts w:cs="Times New Roman"/>
                <w:sz w:val="22"/>
                <w:lang w:val="lt-LT"/>
              </w:rPr>
            </w:pPr>
          </w:p>
        </w:tc>
      </w:tr>
      <w:tr w:rsidR="00322315" w:rsidRPr="00D02428" w14:paraId="0386E139"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8C173DE"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086CEB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Tinklo sąsajos</w:t>
            </w:r>
          </w:p>
        </w:tc>
        <w:tc>
          <w:tcPr>
            <w:tcW w:w="2247" w:type="pct"/>
            <w:tcBorders>
              <w:top w:val="single" w:sz="4" w:space="0" w:color="auto"/>
              <w:left w:val="single" w:sz="4" w:space="0" w:color="auto"/>
              <w:bottom w:val="single" w:sz="4" w:space="0" w:color="auto"/>
              <w:right w:val="single" w:sz="4" w:space="0" w:color="auto"/>
            </w:tcBorders>
          </w:tcPr>
          <w:p w14:paraId="7EB4E56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Kiekvienas telkinio mazgas privalo turėti ne mažiau, kaip 4 vienetus 25Gbps greitaveikos prievadų. Kartu kiekvienam prievadui privalo būti pateiktas 25Gbps SFP28 – SFP28 ne trumpesnis nei 2 (dviejų) metrų DAC kabelis.</w:t>
            </w:r>
          </w:p>
        </w:tc>
        <w:tc>
          <w:tcPr>
            <w:tcW w:w="1449" w:type="pct"/>
            <w:tcBorders>
              <w:top w:val="single" w:sz="4" w:space="0" w:color="auto"/>
              <w:left w:val="single" w:sz="4" w:space="0" w:color="auto"/>
              <w:bottom w:val="single" w:sz="4" w:space="0" w:color="auto"/>
              <w:right w:val="single" w:sz="4" w:space="0" w:color="auto"/>
            </w:tcBorders>
          </w:tcPr>
          <w:p w14:paraId="7CD14667" w14:textId="77777777" w:rsidR="00322315" w:rsidRPr="003511A9" w:rsidRDefault="00322315" w:rsidP="006D50DF">
            <w:pPr>
              <w:spacing w:after="120" w:line="240" w:lineRule="auto"/>
              <w:rPr>
                <w:rFonts w:cs="Times New Roman"/>
                <w:sz w:val="22"/>
                <w:lang w:val="lt-LT"/>
              </w:rPr>
            </w:pPr>
          </w:p>
        </w:tc>
      </w:tr>
      <w:tr w:rsidR="00322315" w:rsidRPr="003511A9" w14:paraId="08E27A89"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87AE84C"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4E2EAC56"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Papildomas telkinio funkcionalumas ir savybės</w:t>
            </w:r>
          </w:p>
        </w:tc>
        <w:tc>
          <w:tcPr>
            <w:tcW w:w="2247" w:type="pct"/>
            <w:tcBorders>
              <w:top w:val="single" w:sz="4" w:space="0" w:color="auto"/>
              <w:left w:val="single" w:sz="4" w:space="0" w:color="auto"/>
              <w:bottom w:val="single" w:sz="4" w:space="0" w:color="auto"/>
              <w:right w:val="single" w:sz="4" w:space="0" w:color="auto"/>
            </w:tcBorders>
          </w:tcPr>
          <w:p w14:paraId="6F963B5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Su telkiniu pateikiama programinė įranga privalo užtikrinti momentinių kopijų (angl. „snapshot“) ir pilnų kopijų (angl. „clone“) kūrimą virtualios </w:t>
            </w:r>
            <w:r w:rsidRPr="003511A9">
              <w:rPr>
                <w:rFonts w:cs="Times New Roman"/>
                <w:sz w:val="22"/>
                <w:lang w:val="lt-LT"/>
              </w:rPr>
              <w:lastRenderedPageBreak/>
              <w:t>mašinos lygmenyje (kai momentiškai kopijuojami tik vienos virtualios mašinos naudojami duomenų blokai). Privalo būti galima saugoti virtualios mašinos kopiją tame pačiame telkinyje, replikuoti saugomas virtualias mašinas į kitą perkančiosios organizacijos naudojamą VMware vSphere telkinį nutolusiame duomenų centre, arba abu būdus naudoti vienu metu tai pačiai virtualiai mašinai ar jų grupei. Privalo būti galimybė atstatyti virtualių mašinų duomenis į bet kurio praeities momento būseną (angl. „point-in-time restore“). Privalo būti palaikomos apibrėžtos būsenos aplikacijų momentinės kopijos (angl. „application consistent“). Privalo būti palaikoma galimybė aprašyti duomenų kopijavimo planą kiekvienai virtualiai mašinai) ar virtualių mašinų grupei (angl. „consistency group“) atskirai.</w:t>
            </w:r>
          </w:p>
          <w:p w14:paraId="716EE86B"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Privalo būti galimybė suteikti prieigą prie telkinio duomenų per iSCSI arba lygiavertę sąsają išorinėms tarnybinėms stotims. </w:t>
            </w:r>
          </w:p>
          <w:p w14:paraId="46D7481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Visos virtualių mašinų skaitymo operacijos privalo būti vykdomos naudojant viso telkinio spartinančiąją atmintį, jeigu sistema yra normalioje darbinėje būsenoje.</w:t>
            </w:r>
          </w:p>
          <w:p w14:paraId="4BF5272B"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Telkinys privalo palaikyti politikas (angl. </w:t>
            </w:r>
            <w:r w:rsidRPr="003511A9">
              <w:rPr>
                <w:rFonts w:cs="Times New Roman"/>
                <w:i/>
                <w:iCs/>
                <w:sz w:val="22"/>
                <w:lang w:val="lt-LT"/>
              </w:rPr>
              <w:t>„Storage based policies“</w:t>
            </w:r>
            <w:r w:rsidRPr="003511A9">
              <w:rPr>
                <w:rFonts w:cs="Times New Roman"/>
                <w:sz w:val="22"/>
                <w:lang w:val="lt-LT"/>
              </w:rPr>
              <w:t xml:space="preserve">) - galimybė nustatyti detalias duomenų saugyklos posistemės veikimo politikas (VM apsaugos lygį, prioritetų resursams valdymą (angl. </w:t>
            </w:r>
            <w:r w:rsidRPr="003511A9">
              <w:rPr>
                <w:rFonts w:cs="Times New Roman"/>
                <w:i/>
                <w:iCs/>
                <w:sz w:val="22"/>
                <w:lang w:val="lt-LT"/>
              </w:rPr>
              <w:t>„Quality of Service“</w:t>
            </w:r>
            <w:r w:rsidRPr="003511A9">
              <w:rPr>
                <w:rFonts w:cs="Times New Roman"/>
                <w:sz w:val="22"/>
                <w:lang w:val="lt-LT"/>
              </w:rPr>
              <w:t xml:space="preserve">)) kiekvienai virtualiai mašinai, objektui arba jų grupei. </w:t>
            </w:r>
          </w:p>
        </w:tc>
        <w:tc>
          <w:tcPr>
            <w:tcW w:w="1449" w:type="pct"/>
            <w:tcBorders>
              <w:top w:val="single" w:sz="4" w:space="0" w:color="auto"/>
              <w:left w:val="single" w:sz="4" w:space="0" w:color="auto"/>
              <w:bottom w:val="single" w:sz="4" w:space="0" w:color="auto"/>
              <w:right w:val="single" w:sz="4" w:space="0" w:color="auto"/>
            </w:tcBorders>
          </w:tcPr>
          <w:p w14:paraId="16EC78C9" w14:textId="77777777" w:rsidR="00322315" w:rsidRPr="003511A9" w:rsidRDefault="00322315" w:rsidP="006D50DF">
            <w:pPr>
              <w:spacing w:after="120" w:line="240" w:lineRule="auto"/>
              <w:rPr>
                <w:rFonts w:cs="Times New Roman"/>
                <w:sz w:val="22"/>
                <w:lang w:val="lt-LT"/>
              </w:rPr>
            </w:pPr>
          </w:p>
        </w:tc>
      </w:tr>
      <w:tr w:rsidR="00322315" w:rsidRPr="00D02428" w14:paraId="74CAB029"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3838021"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16D77232"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Licencijavimas</w:t>
            </w:r>
          </w:p>
        </w:tc>
        <w:tc>
          <w:tcPr>
            <w:tcW w:w="2247" w:type="pct"/>
            <w:tcBorders>
              <w:top w:val="single" w:sz="4" w:space="0" w:color="auto"/>
              <w:left w:val="single" w:sz="4" w:space="0" w:color="auto"/>
              <w:bottom w:val="single" w:sz="4" w:space="0" w:color="auto"/>
              <w:right w:val="single" w:sz="4" w:space="0" w:color="auto"/>
            </w:tcBorders>
          </w:tcPr>
          <w:p w14:paraId="6244938C"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pateiktas licencijų komplektas, atitinkantis gamintojo licencijavimo principus,  integravimui su perkančiosios organizacijos naudojamos programinės įrangos platformomis - VMware vCenter, VMware vSphere:</w:t>
            </w:r>
          </w:p>
          <w:p w14:paraId="7BDD4237" w14:textId="77777777" w:rsidR="00322315" w:rsidRPr="003511A9" w:rsidRDefault="00322315" w:rsidP="00322315">
            <w:pPr>
              <w:numPr>
                <w:ilvl w:val="0"/>
                <w:numId w:val="6"/>
              </w:numPr>
              <w:spacing w:after="120" w:line="240" w:lineRule="auto"/>
              <w:rPr>
                <w:rFonts w:cs="Times New Roman"/>
                <w:sz w:val="22"/>
                <w:lang w:val="lt-LT"/>
              </w:rPr>
            </w:pPr>
            <w:r w:rsidRPr="003511A9">
              <w:rPr>
                <w:rFonts w:cs="Times New Roman"/>
                <w:sz w:val="22"/>
                <w:lang w:val="lt-LT"/>
              </w:rPr>
              <w:t>Virtualizacijos programinė įranga ne blogiau kaip VMware vSphere Enterprise Plus arba lygiavertė;</w:t>
            </w:r>
          </w:p>
          <w:p w14:paraId="72422872" w14:textId="77777777" w:rsidR="00322315" w:rsidRPr="003511A9" w:rsidRDefault="00322315" w:rsidP="00322315">
            <w:pPr>
              <w:numPr>
                <w:ilvl w:val="0"/>
                <w:numId w:val="6"/>
              </w:numPr>
              <w:spacing w:after="120" w:line="240" w:lineRule="auto"/>
              <w:rPr>
                <w:rFonts w:cs="Times New Roman"/>
                <w:sz w:val="22"/>
                <w:lang w:val="lt-LT"/>
              </w:rPr>
            </w:pPr>
            <w:r w:rsidRPr="003511A9">
              <w:rPr>
                <w:rFonts w:cs="Times New Roman"/>
                <w:sz w:val="22"/>
                <w:lang w:val="lt-LT"/>
              </w:rPr>
              <w:t>Virtualizacijos valdymo programinė įranga ne blogiau kaip VMware vCenter arba lygiavertė;</w:t>
            </w:r>
          </w:p>
          <w:p w14:paraId="6F168FFA" w14:textId="77777777" w:rsidR="00322315" w:rsidRPr="003511A9" w:rsidRDefault="00322315" w:rsidP="00322315">
            <w:pPr>
              <w:numPr>
                <w:ilvl w:val="0"/>
                <w:numId w:val="6"/>
              </w:numPr>
              <w:spacing w:after="120" w:line="240" w:lineRule="auto"/>
              <w:rPr>
                <w:rFonts w:cs="Times New Roman"/>
                <w:sz w:val="22"/>
                <w:lang w:val="lt-LT"/>
              </w:rPr>
            </w:pPr>
            <w:r w:rsidRPr="003511A9">
              <w:rPr>
                <w:rFonts w:cs="Times New Roman"/>
                <w:sz w:val="22"/>
                <w:lang w:val="lt-LT"/>
              </w:rPr>
              <w:t>Licencijos reikalingos hiperkonverguotos infrastruktūros duomenų saugyklos posistemės funkcionalumui užtikrinti ne blogiau kaip VMware vSAN Enterprise Plus arba lygiavertės;</w:t>
            </w:r>
          </w:p>
          <w:p w14:paraId="4F9E5FAF" w14:textId="77777777" w:rsidR="00322315" w:rsidRPr="003511A9" w:rsidRDefault="00322315" w:rsidP="00322315">
            <w:pPr>
              <w:numPr>
                <w:ilvl w:val="0"/>
                <w:numId w:val="6"/>
              </w:numPr>
              <w:spacing w:after="120" w:line="240" w:lineRule="auto"/>
              <w:rPr>
                <w:rFonts w:cs="Times New Roman"/>
                <w:sz w:val="22"/>
                <w:lang w:val="lt-LT"/>
              </w:rPr>
            </w:pPr>
            <w:r w:rsidRPr="003511A9">
              <w:rPr>
                <w:rFonts w:cs="Times New Roman"/>
                <w:sz w:val="22"/>
                <w:lang w:val="lt-LT"/>
              </w:rPr>
              <w:lastRenderedPageBreak/>
              <w:t>Komercinis sisteminių įrašų kaupimo, apdorojimo ir atvaizdavimo įrankis ne blogiau kaip VMware vRealize Log Insight arba lygiavertis;</w:t>
            </w:r>
          </w:p>
          <w:p w14:paraId="09C98BC7" w14:textId="77777777" w:rsidR="00322315" w:rsidRPr="003511A9" w:rsidRDefault="00322315" w:rsidP="00322315">
            <w:pPr>
              <w:numPr>
                <w:ilvl w:val="0"/>
                <w:numId w:val="6"/>
              </w:numPr>
              <w:spacing w:after="120" w:line="240" w:lineRule="auto"/>
              <w:rPr>
                <w:rFonts w:cs="Times New Roman"/>
                <w:sz w:val="22"/>
                <w:lang w:val="lt-LT"/>
              </w:rPr>
            </w:pPr>
            <w:r w:rsidRPr="003511A9">
              <w:rPr>
                <w:rFonts w:cs="Times New Roman"/>
                <w:sz w:val="22"/>
                <w:lang w:val="lt-LT"/>
              </w:rPr>
              <w:t>Virtualizacijos virtualaus tinklo programinė įranga ne blogiau kaip NSX-T, arba lygiavertė.</w:t>
            </w:r>
          </w:p>
          <w:p w14:paraId="1404048C" w14:textId="77777777" w:rsidR="00322315" w:rsidRPr="003511A9" w:rsidRDefault="00322315" w:rsidP="00322315">
            <w:pPr>
              <w:numPr>
                <w:ilvl w:val="0"/>
                <w:numId w:val="6"/>
              </w:numPr>
              <w:spacing w:after="120" w:line="240" w:lineRule="auto"/>
              <w:rPr>
                <w:rFonts w:eastAsiaTheme="minorEastAsia" w:cs="Times New Roman"/>
                <w:sz w:val="22"/>
                <w:lang w:val="lt-LT"/>
              </w:rPr>
            </w:pPr>
            <w:r w:rsidRPr="003511A9">
              <w:rPr>
                <w:rFonts w:cs="Times New Roman"/>
                <w:sz w:val="22"/>
                <w:lang w:val="lt-LT"/>
              </w:rPr>
              <w:t>Komercinis virtualizacijos platformos valdymo, stebėjimo ir priežiūros įrankis  ne blogiau kaip VMware vROPS Advanced (Aria Operatiosn Advanced) arba lygiavertis.</w:t>
            </w:r>
          </w:p>
          <w:p w14:paraId="792F2BA0" w14:textId="77777777" w:rsidR="00322315" w:rsidRPr="003511A9" w:rsidRDefault="00322315" w:rsidP="00322315">
            <w:pPr>
              <w:numPr>
                <w:ilvl w:val="0"/>
                <w:numId w:val="6"/>
              </w:numPr>
              <w:spacing w:after="120" w:line="240" w:lineRule="auto"/>
              <w:rPr>
                <w:rFonts w:eastAsiaTheme="minorEastAsia" w:cs="Times New Roman"/>
                <w:sz w:val="22"/>
                <w:lang w:val="lt-LT"/>
              </w:rPr>
            </w:pPr>
            <w:r w:rsidRPr="003511A9">
              <w:rPr>
                <w:rFonts w:cs="Times New Roman"/>
                <w:sz w:val="22"/>
                <w:lang w:val="lt-LT"/>
              </w:rPr>
              <w:t xml:space="preserve">Duomenų apsaugos ir atstatymo programinė įranga, skirta virtualizacijos platformai bei užtikrinanti artimą nuliui RTO ir RPO. Ši programinė įranga privalo būti to paties gamintojo kaip ir Hiperkonverguotos infarstruktūros telkinio sprendimas ir privalo būti pilnai su šiuo sprendimu suderinama arba lygevertė. </w:t>
            </w:r>
          </w:p>
          <w:p w14:paraId="21A97EE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Pateikiamas licencijų komplektas privalo pilnai atitinkanti siūlomo gamintojo licencijavimo principus ir pilnai licencijuoti visą siūlomą įrangos kiekį.</w:t>
            </w:r>
          </w:p>
        </w:tc>
        <w:tc>
          <w:tcPr>
            <w:tcW w:w="1449" w:type="pct"/>
            <w:tcBorders>
              <w:top w:val="single" w:sz="4" w:space="0" w:color="auto"/>
              <w:left w:val="single" w:sz="4" w:space="0" w:color="auto"/>
              <w:bottom w:val="single" w:sz="4" w:space="0" w:color="auto"/>
              <w:right w:val="single" w:sz="4" w:space="0" w:color="auto"/>
            </w:tcBorders>
          </w:tcPr>
          <w:p w14:paraId="7E754AFC" w14:textId="77777777" w:rsidR="00322315" w:rsidRPr="003511A9" w:rsidRDefault="00322315" w:rsidP="006D50DF">
            <w:pPr>
              <w:spacing w:after="120" w:line="240" w:lineRule="auto"/>
              <w:rPr>
                <w:rFonts w:cs="Times New Roman"/>
                <w:sz w:val="22"/>
                <w:lang w:val="lt-LT"/>
              </w:rPr>
            </w:pPr>
          </w:p>
        </w:tc>
      </w:tr>
      <w:tr w:rsidR="00322315" w:rsidRPr="003511A9" w14:paraId="174A7A6F"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ED51699"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6FD0AF3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Virtulių tarnybinių stočių aukšto patikimumo užtikrinimas</w:t>
            </w:r>
          </w:p>
        </w:tc>
        <w:tc>
          <w:tcPr>
            <w:tcW w:w="2247" w:type="pct"/>
            <w:tcBorders>
              <w:top w:val="single" w:sz="4" w:space="0" w:color="auto"/>
              <w:left w:val="single" w:sz="4" w:space="0" w:color="auto"/>
              <w:bottom w:val="single" w:sz="4" w:space="0" w:color="auto"/>
              <w:right w:val="single" w:sz="4" w:space="0" w:color="auto"/>
            </w:tcBorders>
          </w:tcPr>
          <w:p w14:paraId="33DFB83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Tarnybinės stoties gedimo atveju virtualizacijos programinė įranga privalo turėti funkcionalumą užtikrinti automatinį virtualių tarnybinių stočių įjungimą kitoje veikiančioje tarnybinėje stotyje. Privalo būti palaikoma automatizuota gedimų detekcija ir atstatymas klasterio lygiu.</w:t>
            </w:r>
          </w:p>
        </w:tc>
        <w:tc>
          <w:tcPr>
            <w:tcW w:w="1449" w:type="pct"/>
            <w:tcBorders>
              <w:top w:val="single" w:sz="4" w:space="0" w:color="auto"/>
              <w:left w:val="single" w:sz="4" w:space="0" w:color="auto"/>
              <w:bottom w:val="single" w:sz="4" w:space="0" w:color="auto"/>
              <w:right w:val="single" w:sz="4" w:space="0" w:color="auto"/>
            </w:tcBorders>
          </w:tcPr>
          <w:p w14:paraId="28A9DB30" w14:textId="77777777" w:rsidR="00322315" w:rsidRPr="003511A9" w:rsidRDefault="00322315" w:rsidP="006D50DF">
            <w:pPr>
              <w:spacing w:after="120" w:line="240" w:lineRule="auto"/>
              <w:rPr>
                <w:rFonts w:cs="Times New Roman"/>
                <w:sz w:val="22"/>
                <w:lang w:val="lt-LT"/>
              </w:rPr>
            </w:pPr>
          </w:p>
        </w:tc>
      </w:tr>
      <w:tr w:rsidR="00322315" w:rsidRPr="003511A9" w14:paraId="6835D97F"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F47BE6E"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1E614E1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Virtualių tarnybinių stočių migravimas</w:t>
            </w:r>
          </w:p>
        </w:tc>
        <w:tc>
          <w:tcPr>
            <w:tcW w:w="2247" w:type="pct"/>
            <w:tcBorders>
              <w:top w:val="single" w:sz="4" w:space="0" w:color="auto"/>
              <w:left w:val="single" w:sz="4" w:space="0" w:color="auto"/>
              <w:bottom w:val="single" w:sz="4" w:space="0" w:color="auto"/>
              <w:right w:val="single" w:sz="4" w:space="0" w:color="auto"/>
            </w:tcBorders>
          </w:tcPr>
          <w:p w14:paraId="15FD90D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Programinė įranga privalo palaikyti ir užtikrinti virtualių tarnybinių stočių migravimą tarp virtualizacijos tarnybinių stočių taip, kad to nepastebėtų galutinis naudotojas ir kad virtualių tarnybinių stočių veikimas nebūtų pertraukiamas. Privalo būti galimybė migruoti virtualias tarnybines stotis tarp skirtingų virtualių tinklo komutatorių.</w:t>
            </w:r>
          </w:p>
        </w:tc>
        <w:tc>
          <w:tcPr>
            <w:tcW w:w="1449" w:type="pct"/>
            <w:tcBorders>
              <w:top w:val="single" w:sz="4" w:space="0" w:color="auto"/>
              <w:left w:val="single" w:sz="4" w:space="0" w:color="auto"/>
              <w:bottom w:val="single" w:sz="4" w:space="0" w:color="auto"/>
              <w:right w:val="single" w:sz="4" w:space="0" w:color="auto"/>
            </w:tcBorders>
          </w:tcPr>
          <w:p w14:paraId="3BA947D7" w14:textId="77777777" w:rsidR="00322315" w:rsidRPr="003511A9" w:rsidRDefault="00322315" w:rsidP="006D50DF">
            <w:pPr>
              <w:spacing w:after="120" w:line="240" w:lineRule="auto"/>
              <w:rPr>
                <w:rFonts w:cs="Times New Roman"/>
                <w:sz w:val="22"/>
                <w:lang w:val="lt-LT"/>
              </w:rPr>
            </w:pPr>
          </w:p>
        </w:tc>
      </w:tr>
      <w:tr w:rsidR="00322315" w:rsidRPr="003511A9" w14:paraId="6FDD9D3C"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4E5C788"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E24A9E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Virtualių tarnybinių stočių nepertraukiamo veikimo užtikrinimas</w:t>
            </w:r>
          </w:p>
        </w:tc>
        <w:tc>
          <w:tcPr>
            <w:tcW w:w="2247" w:type="pct"/>
            <w:tcBorders>
              <w:top w:val="single" w:sz="4" w:space="0" w:color="auto"/>
              <w:left w:val="single" w:sz="4" w:space="0" w:color="auto"/>
              <w:bottom w:val="single" w:sz="4" w:space="0" w:color="auto"/>
              <w:right w:val="single" w:sz="4" w:space="0" w:color="auto"/>
            </w:tcBorders>
          </w:tcPr>
          <w:p w14:paraId="4F97331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Virtualizacijos programinė įranga privalo turėti galimybę sukonfigūruoti kelias virtualias tarnybines stotis aukšto patikimumo klasteryje (veikiančios kopijos sinchronizacija), t. y. vienos iš tarnybinių stočių gedimo atveju sinchronizuota virtuali tarnybinė stotis </w:t>
            </w:r>
            <w:r w:rsidRPr="003511A9">
              <w:rPr>
                <w:rFonts w:cs="Times New Roman"/>
                <w:b/>
                <w:bCs/>
                <w:sz w:val="22"/>
                <w:lang w:val="lt-LT"/>
              </w:rPr>
              <w:t>nepertraukiamai</w:t>
            </w:r>
            <w:r w:rsidRPr="003511A9">
              <w:rPr>
                <w:rFonts w:cs="Times New Roman"/>
                <w:sz w:val="22"/>
                <w:lang w:val="lt-LT"/>
              </w:rPr>
              <w:t xml:space="preserve"> tęsia darbą. Virtualios tarnybinės stotys gali naudoti ne mažiau kaip </w:t>
            </w:r>
            <w:r w:rsidRPr="003511A9">
              <w:rPr>
                <w:rFonts w:cs="Times New Roman"/>
                <w:b/>
                <w:bCs/>
                <w:sz w:val="22"/>
                <w:lang w:val="lt-LT"/>
              </w:rPr>
              <w:t>8 virtualius procesorius</w:t>
            </w:r>
            <w:r w:rsidRPr="003511A9">
              <w:rPr>
                <w:rFonts w:cs="Times New Roman"/>
                <w:sz w:val="22"/>
                <w:lang w:val="lt-LT"/>
              </w:rPr>
              <w:t>.</w:t>
            </w:r>
          </w:p>
        </w:tc>
        <w:tc>
          <w:tcPr>
            <w:tcW w:w="1449" w:type="pct"/>
            <w:tcBorders>
              <w:top w:val="single" w:sz="4" w:space="0" w:color="auto"/>
              <w:left w:val="single" w:sz="4" w:space="0" w:color="auto"/>
              <w:bottom w:val="single" w:sz="4" w:space="0" w:color="auto"/>
              <w:right w:val="single" w:sz="4" w:space="0" w:color="auto"/>
            </w:tcBorders>
          </w:tcPr>
          <w:p w14:paraId="768F3B29" w14:textId="77777777" w:rsidR="00322315" w:rsidRPr="003511A9" w:rsidRDefault="00322315" w:rsidP="006D50DF">
            <w:pPr>
              <w:spacing w:after="120" w:line="240" w:lineRule="auto"/>
              <w:rPr>
                <w:rFonts w:cs="Times New Roman"/>
                <w:sz w:val="22"/>
                <w:lang w:val="lt-LT"/>
              </w:rPr>
            </w:pPr>
          </w:p>
        </w:tc>
      </w:tr>
      <w:tr w:rsidR="00322315" w:rsidRPr="003511A9" w14:paraId="32E7764F"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8" w:space="0" w:color="auto"/>
              <w:right w:val="single" w:sz="8" w:space="0" w:color="auto"/>
            </w:tcBorders>
            <w:shd w:val="clear" w:color="auto" w:fill="FFFFFF" w:themeFill="background1"/>
            <w:noWrap/>
          </w:tcPr>
          <w:p w14:paraId="23E6050E"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4A5CA01C"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Aukštą patikimumą užtikrinanti failų sistema</w:t>
            </w:r>
          </w:p>
        </w:tc>
        <w:tc>
          <w:tcPr>
            <w:tcW w:w="2247" w:type="pct"/>
            <w:tcBorders>
              <w:top w:val="nil"/>
              <w:left w:val="nil"/>
              <w:bottom w:val="single" w:sz="8" w:space="0" w:color="auto"/>
              <w:right w:val="single" w:sz="8" w:space="0" w:color="auto"/>
            </w:tcBorders>
            <w:shd w:val="clear" w:color="auto" w:fill="FFFFFF" w:themeFill="background1"/>
          </w:tcPr>
          <w:p w14:paraId="5E772A96"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Privalo užtikrinti lygiagretaus naudojimo failų sistemos veikimą, leidžiantį kelioms tarnybinėms stotims naudoti tą pačią duomenų </w:t>
            </w:r>
            <w:r w:rsidRPr="003511A9">
              <w:rPr>
                <w:rFonts w:cs="Times New Roman"/>
                <w:sz w:val="22"/>
                <w:lang w:val="lt-LT"/>
              </w:rPr>
              <w:lastRenderedPageBreak/>
              <w:t>saugyklą. Failų sistema privalo leisti migruoti virtualias tarnybines stotis iš vienos duomenų saugyklos į kitą, nestabdant virtualių serverių darbo.</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1CA9A339" w14:textId="77777777" w:rsidR="00322315" w:rsidRPr="003511A9" w:rsidRDefault="00322315" w:rsidP="006D50DF">
            <w:pPr>
              <w:spacing w:after="120" w:line="240" w:lineRule="auto"/>
              <w:rPr>
                <w:rFonts w:cs="Times New Roman"/>
                <w:sz w:val="22"/>
                <w:lang w:val="lt-LT"/>
              </w:rPr>
            </w:pPr>
          </w:p>
        </w:tc>
      </w:tr>
      <w:tr w:rsidR="00322315" w:rsidRPr="00D02428" w14:paraId="4AA4C0FC"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4" w:space="0" w:color="auto"/>
              <w:right w:val="single" w:sz="8" w:space="0" w:color="auto"/>
            </w:tcBorders>
            <w:shd w:val="clear" w:color="auto" w:fill="FFFFFF" w:themeFill="background1"/>
            <w:noWrap/>
          </w:tcPr>
          <w:p w14:paraId="74B27BCE"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4" w:space="0" w:color="auto"/>
              <w:right w:val="single" w:sz="8" w:space="0" w:color="auto"/>
            </w:tcBorders>
            <w:shd w:val="clear" w:color="auto" w:fill="FFFFFF" w:themeFill="background1"/>
            <w:noWrap/>
          </w:tcPr>
          <w:p w14:paraId="7E447622"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Virtualių tarnybinių stočių duomenų valdymas</w:t>
            </w:r>
          </w:p>
        </w:tc>
        <w:tc>
          <w:tcPr>
            <w:tcW w:w="2247" w:type="pct"/>
            <w:tcBorders>
              <w:top w:val="nil"/>
              <w:left w:val="nil"/>
              <w:bottom w:val="single" w:sz="4" w:space="0" w:color="auto"/>
              <w:right w:val="single" w:sz="8" w:space="0" w:color="auto"/>
            </w:tcBorders>
            <w:shd w:val="clear" w:color="auto" w:fill="FFFFFF" w:themeFill="background1"/>
          </w:tcPr>
          <w:p w14:paraId="2374F09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užtikrinti automatinį, valdymo nustatymais (policy) paremtą virtualių tarnybinių stočių talpinimą skirtingo tipo ir parametrų duomenų saugyklose.</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583D81AD" w14:textId="77777777" w:rsidR="00322315" w:rsidRPr="003511A9" w:rsidRDefault="00322315" w:rsidP="006D50DF">
            <w:pPr>
              <w:spacing w:after="120" w:line="240" w:lineRule="auto"/>
              <w:rPr>
                <w:rFonts w:cs="Times New Roman"/>
                <w:sz w:val="22"/>
                <w:lang w:val="lt-LT"/>
              </w:rPr>
            </w:pPr>
          </w:p>
        </w:tc>
      </w:tr>
      <w:tr w:rsidR="00322315" w:rsidRPr="00D02428" w14:paraId="65CFCF3B"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8" w:space="0" w:color="auto"/>
              <w:bottom w:val="single" w:sz="8" w:space="0" w:color="auto"/>
              <w:right w:val="single" w:sz="8" w:space="0" w:color="auto"/>
            </w:tcBorders>
            <w:shd w:val="clear" w:color="auto" w:fill="FFFFFF" w:themeFill="background1"/>
            <w:noWrap/>
          </w:tcPr>
          <w:p w14:paraId="2D8C560B"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7BCDBD4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Virtualių duomenų saugyklų migravimas</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1EE46D52"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Programinė įranga privalo palaikyti ir užtikrinti virtualių duomenų saugyklų / virtualių diskų migravimą tarp skirtingų fizinių duomenų saugyklų nestabdant virtualių tarnybinių stočių darbo.</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3C42B2BD" w14:textId="77777777" w:rsidR="00322315" w:rsidRPr="003511A9" w:rsidRDefault="00322315" w:rsidP="006D50DF">
            <w:pPr>
              <w:spacing w:after="120" w:line="240" w:lineRule="auto"/>
              <w:rPr>
                <w:rFonts w:cs="Times New Roman"/>
                <w:sz w:val="22"/>
                <w:lang w:val="lt-LT"/>
              </w:rPr>
            </w:pPr>
          </w:p>
        </w:tc>
      </w:tr>
      <w:tr w:rsidR="00322315" w:rsidRPr="00D02428" w14:paraId="1C8F0F74"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8" w:space="0" w:color="auto"/>
              <w:right w:val="single" w:sz="8" w:space="0" w:color="auto"/>
            </w:tcBorders>
            <w:shd w:val="clear" w:color="auto" w:fill="FFFFFF" w:themeFill="background1"/>
            <w:noWrap/>
          </w:tcPr>
          <w:p w14:paraId="704DEAB7"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783257F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Duomenų saugyklų virtualizacija</w:t>
            </w:r>
          </w:p>
        </w:tc>
        <w:tc>
          <w:tcPr>
            <w:tcW w:w="2247" w:type="pct"/>
            <w:tcBorders>
              <w:top w:val="nil"/>
              <w:left w:val="nil"/>
              <w:bottom w:val="single" w:sz="8" w:space="0" w:color="auto"/>
              <w:right w:val="single" w:sz="8" w:space="0" w:color="auto"/>
            </w:tcBorders>
            <w:shd w:val="clear" w:color="auto" w:fill="FFFFFF" w:themeFill="background1"/>
          </w:tcPr>
          <w:p w14:paraId="3E66086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palaikyti suderinamą duomenų saugyklų virtualizavimo galimybę, panaudojant duomenų valdymo nustatymus (policy), bei automatiškai išnaudoti duomenų saugyklų siūlomą funkcionalumą (pvz., momentinių kopijų valdymą, automatizuotą duomenų paskirstymo logiką, našumo/patikimumo profilius), kai tai palaiko duomenų saugyklos sprendimas.</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6B5E527A" w14:textId="77777777" w:rsidR="00322315" w:rsidRPr="003511A9" w:rsidRDefault="00322315" w:rsidP="006D50DF">
            <w:pPr>
              <w:spacing w:after="120" w:line="240" w:lineRule="auto"/>
              <w:rPr>
                <w:rFonts w:cs="Times New Roman"/>
                <w:sz w:val="22"/>
                <w:lang w:val="lt-LT"/>
              </w:rPr>
            </w:pPr>
          </w:p>
        </w:tc>
      </w:tr>
      <w:tr w:rsidR="00322315" w:rsidRPr="003511A9" w14:paraId="715F7AA1"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8" w:space="0" w:color="auto"/>
              <w:right w:val="single" w:sz="8" w:space="0" w:color="auto"/>
            </w:tcBorders>
            <w:shd w:val="clear" w:color="auto" w:fill="FFFFFF" w:themeFill="background1"/>
            <w:noWrap/>
          </w:tcPr>
          <w:p w14:paraId="375095CE"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298FD05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Duomenų saugyklų integravimo sąsajos</w:t>
            </w:r>
          </w:p>
        </w:tc>
        <w:tc>
          <w:tcPr>
            <w:tcW w:w="2247" w:type="pct"/>
            <w:tcBorders>
              <w:top w:val="nil"/>
              <w:left w:val="nil"/>
              <w:bottom w:val="single" w:sz="8" w:space="0" w:color="auto"/>
              <w:right w:val="single" w:sz="8" w:space="0" w:color="auto"/>
            </w:tcBorders>
            <w:shd w:val="clear" w:color="auto" w:fill="FFFFFF" w:themeFill="background1"/>
          </w:tcPr>
          <w:p w14:paraId="0D3743B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Pateikti sąrašą suderinamų duomenų saugyklų integracijų:</w:t>
            </w:r>
            <w:r w:rsidRPr="003511A9">
              <w:rPr>
                <w:rFonts w:cs="Times New Roman"/>
                <w:sz w:val="22"/>
                <w:lang w:val="lt-LT"/>
              </w:rPr>
              <w:br/>
              <w:t>A) Suteikianti galimybę pateikti suderinamos duomenų saugyklos parametrus virtualizavimo programinei įrangai (modelį, turimus gebėjimus, diskų tipus ir t. t.).</w:t>
            </w:r>
            <w:r w:rsidRPr="003511A9">
              <w:rPr>
                <w:rFonts w:cs="Times New Roman"/>
                <w:sz w:val="22"/>
                <w:lang w:val="lt-LT"/>
              </w:rPr>
              <w:br/>
              <w:t>B) Suteikianti galimybę perkelti duomenų valdymo funkcionalumą duomenų saugyklai (pvz., momentinių kopijų atlikimą).</w:t>
            </w:r>
            <w:r w:rsidRPr="003511A9">
              <w:rPr>
                <w:rFonts w:cs="Times New Roman"/>
                <w:sz w:val="22"/>
                <w:lang w:val="lt-LT"/>
              </w:rPr>
              <w:br/>
              <w:t>C) Suteikianti galimybę integruoti kelių kelių (multipathing) valdymą ir naudoti kelių kelių politiką pagal gamintojo rekomendacijas.</w:t>
            </w:r>
            <w:r w:rsidRPr="003511A9">
              <w:rPr>
                <w:rFonts w:cs="Times New Roman"/>
                <w:sz w:val="22"/>
                <w:lang w:val="lt-LT"/>
              </w:rPr>
              <w:br/>
              <w:t>Papildomai: privalo būti palaikomas SAN prijungimas per iSCSI prie hostų ir duomenų saugyklų naudojimas per bendro naudojimo datastores.</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1C2C7A60" w14:textId="77777777" w:rsidR="00322315" w:rsidRPr="003511A9" w:rsidRDefault="00322315" w:rsidP="006D50DF">
            <w:pPr>
              <w:spacing w:after="120" w:line="240" w:lineRule="auto"/>
              <w:rPr>
                <w:rFonts w:cs="Times New Roman"/>
                <w:sz w:val="22"/>
                <w:lang w:val="lt-LT"/>
              </w:rPr>
            </w:pPr>
          </w:p>
        </w:tc>
      </w:tr>
      <w:tr w:rsidR="00322315" w:rsidRPr="00D02428" w14:paraId="20D48EDF"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nil"/>
              <w:left w:val="single" w:sz="8" w:space="0" w:color="auto"/>
              <w:bottom w:val="single" w:sz="8" w:space="0" w:color="auto"/>
              <w:right w:val="single" w:sz="8" w:space="0" w:color="auto"/>
            </w:tcBorders>
            <w:shd w:val="clear" w:color="auto" w:fill="FFFFFF" w:themeFill="background1"/>
            <w:noWrap/>
          </w:tcPr>
          <w:p w14:paraId="76F076CF"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020ADB0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Centralizuota turinio biblioteka</w:t>
            </w:r>
          </w:p>
        </w:tc>
        <w:tc>
          <w:tcPr>
            <w:tcW w:w="2247" w:type="pct"/>
            <w:tcBorders>
              <w:top w:val="nil"/>
              <w:left w:val="nil"/>
              <w:bottom w:val="single" w:sz="8" w:space="0" w:color="auto"/>
              <w:right w:val="single" w:sz="8" w:space="0" w:color="auto"/>
            </w:tcBorders>
            <w:shd w:val="clear" w:color="auto" w:fill="FFFFFF" w:themeFill="background1"/>
          </w:tcPr>
          <w:p w14:paraId="7580C6A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Virtualizavimo programinė įranga privalo turėti centralizuotą turinio saugojimo/laikymo biblioteką, skirtą virtualių tarnybinių stočių šablonų/atvaizdų, operacinių sistemų diegimo atvaizdų ar kito valdymo/diegimo turinio saugojimui. Privalo būti galimybė šią biblioteką pasiekti iš kelių skirtingų duomenų centrų.</w:t>
            </w:r>
          </w:p>
        </w:tc>
        <w:tc>
          <w:tcPr>
            <w:tcW w:w="1449" w:type="pct"/>
            <w:tcBorders>
              <w:top w:val="nil"/>
              <w:left w:val="single" w:sz="8" w:space="0" w:color="auto"/>
              <w:bottom w:val="single" w:sz="8" w:space="0" w:color="auto"/>
              <w:right w:val="single" w:sz="8" w:space="0" w:color="auto"/>
            </w:tcBorders>
            <w:shd w:val="clear" w:color="auto" w:fill="FFFFFF" w:themeFill="background1"/>
          </w:tcPr>
          <w:p w14:paraId="6851AFDD" w14:textId="77777777" w:rsidR="00322315" w:rsidRPr="003511A9" w:rsidRDefault="00322315" w:rsidP="006D50DF">
            <w:pPr>
              <w:spacing w:after="120" w:line="240" w:lineRule="auto"/>
              <w:rPr>
                <w:rFonts w:cs="Times New Roman"/>
                <w:sz w:val="22"/>
                <w:lang w:val="lt-LT"/>
              </w:rPr>
            </w:pPr>
          </w:p>
        </w:tc>
      </w:tr>
      <w:tr w:rsidR="00322315" w:rsidRPr="00D02428" w14:paraId="6C9BB8E2"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8" w:space="0" w:color="auto"/>
              <w:left w:val="single" w:sz="8" w:space="0" w:color="auto"/>
              <w:bottom w:val="single" w:sz="4" w:space="0" w:color="auto"/>
              <w:right w:val="single" w:sz="8" w:space="0" w:color="auto"/>
            </w:tcBorders>
            <w:shd w:val="clear" w:color="auto" w:fill="FFFFFF" w:themeFill="background1"/>
            <w:noWrap/>
          </w:tcPr>
          <w:p w14:paraId="1579D5D5"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nil"/>
              <w:bottom w:val="single" w:sz="4" w:space="0" w:color="auto"/>
              <w:right w:val="single" w:sz="8" w:space="0" w:color="auto"/>
            </w:tcBorders>
            <w:shd w:val="clear" w:color="auto" w:fill="FFFFFF" w:themeFill="background1"/>
            <w:noWrap/>
          </w:tcPr>
          <w:p w14:paraId="7E0D178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Resursų valdymas</w:t>
            </w:r>
          </w:p>
        </w:tc>
        <w:tc>
          <w:tcPr>
            <w:tcW w:w="2247" w:type="pct"/>
            <w:tcBorders>
              <w:top w:val="single" w:sz="8" w:space="0" w:color="auto"/>
              <w:left w:val="nil"/>
              <w:bottom w:val="single" w:sz="4" w:space="0" w:color="auto"/>
              <w:right w:val="single" w:sz="8" w:space="0" w:color="auto"/>
            </w:tcBorders>
            <w:shd w:val="clear" w:color="auto" w:fill="FFFFFF" w:themeFill="background1"/>
          </w:tcPr>
          <w:p w14:paraId="574C9D5D" w14:textId="77777777" w:rsidR="00322315" w:rsidRPr="003511A9" w:rsidRDefault="00322315" w:rsidP="00322315">
            <w:pPr>
              <w:numPr>
                <w:ilvl w:val="0"/>
                <w:numId w:val="16"/>
              </w:numPr>
              <w:spacing w:after="0" w:line="240" w:lineRule="auto"/>
              <w:rPr>
                <w:rFonts w:cs="Times New Roman"/>
                <w:sz w:val="22"/>
                <w:lang w:val="lt-LT"/>
              </w:rPr>
            </w:pPr>
            <w:r w:rsidRPr="003511A9">
              <w:rPr>
                <w:rFonts w:cs="Times New Roman"/>
                <w:sz w:val="22"/>
                <w:lang w:val="lt-LT"/>
              </w:rPr>
              <w:t>Programinė įranga privalo įgalinti priskirti virtualioms tarnybinėms stotims procesorius ar branduolius (bendro naudojimo procesorių modelis).</w:t>
            </w:r>
          </w:p>
          <w:p w14:paraId="313DD46C" w14:textId="77777777" w:rsidR="00322315" w:rsidRPr="003511A9" w:rsidRDefault="00322315" w:rsidP="00322315">
            <w:pPr>
              <w:numPr>
                <w:ilvl w:val="0"/>
                <w:numId w:val="16"/>
              </w:numPr>
              <w:spacing w:after="0" w:line="240" w:lineRule="auto"/>
              <w:rPr>
                <w:rFonts w:cs="Times New Roman"/>
                <w:sz w:val="22"/>
                <w:lang w:val="lt-LT"/>
              </w:rPr>
            </w:pPr>
            <w:r w:rsidRPr="003511A9">
              <w:rPr>
                <w:rFonts w:cs="Times New Roman"/>
                <w:sz w:val="22"/>
                <w:lang w:val="lt-LT"/>
              </w:rPr>
              <w:t>Programinė įranga privalo įgalinti valdyti priskirtų virtualių tinklo adapterių pajėgumus.</w:t>
            </w:r>
          </w:p>
          <w:p w14:paraId="2C0B12B2" w14:textId="77777777" w:rsidR="00322315" w:rsidRPr="003511A9" w:rsidRDefault="00322315" w:rsidP="00322315">
            <w:pPr>
              <w:numPr>
                <w:ilvl w:val="0"/>
                <w:numId w:val="16"/>
              </w:numPr>
              <w:spacing w:after="0" w:line="240" w:lineRule="auto"/>
              <w:rPr>
                <w:rFonts w:cs="Times New Roman"/>
                <w:sz w:val="22"/>
                <w:lang w:val="lt-LT"/>
              </w:rPr>
            </w:pPr>
            <w:r w:rsidRPr="003511A9">
              <w:rPr>
                <w:rFonts w:cs="Times New Roman"/>
                <w:sz w:val="22"/>
                <w:lang w:val="lt-LT"/>
              </w:rPr>
              <w:lastRenderedPageBreak/>
              <w:t>Galimybė virtualioms tarnybinėms stotims skirti daugiau atminties nei yra fiziškai, užtikrinant saugų atminties viršrezervavimą.</w:t>
            </w:r>
          </w:p>
          <w:p w14:paraId="3FD8F9E0" w14:textId="77777777" w:rsidR="00322315" w:rsidRPr="003511A9" w:rsidRDefault="00322315" w:rsidP="00322315">
            <w:pPr>
              <w:numPr>
                <w:ilvl w:val="0"/>
                <w:numId w:val="16"/>
              </w:numPr>
              <w:spacing w:after="0" w:line="240" w:lineRule="auto"/>
              <w:rPr>
                <w:rFonts w:cs="Times New Roman"/>
                <w:sz w:val="22"/>
                <w:lang w:val="lt-LT"/>
              </w:rPr>
            </w:pPr>
            <w:r w:rsidRPr="003511A9">
              <w:rPr>
                <w:rFonts w:cs="Times New Roman"/>
                <w:sz w:val="22"/>
                <w:lang w:val="lt-LT"/>
              </w:rPr>
              <w:t>Galimybė sugrąžinti nepanaudotą atmintį iš virtualių tarnybinių stočių („unused memory reclamation“).</w:t>
            </w:r>
          </w:p>
          <w:p w14:paraId="01F6DD9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galimybė virtualioms tarnybinėms stotims pridėti papildomus resursus (CPU, atmintį, diską, tinklo adapterius), nestabdant jų veikimo, jei tokį funkcionalumą palaiko virtualios tarnybinės stoties operacinė sistema. Galimybė pašalinti tinklo adapterius, SCSI adapterius ir diskus nestabdant darbo.</w:t>
            </w:r>
            <w:r w:rsidRPr="003511A9">
              <w:rPr>
                <w:rFonts w:cs="Times New Roman"/>
                <w:sz w:val="22"/>
                <w:lang w:val="lt-LT"/>
              </w:rPr>
              <w:br/>
              <w:t>Papildomai: privalo būti palaikomas atminties sluoksniavimas (tiering), naudojant vietines NVMe laikmenas kaip papildomą atminties sluoksnį (RAM+NVMe), automatizuojant karštų/šaltų blokų perkėlimą ir mažinant DRAM poreikį.</w:t>
            </w:r>
          </w:p>
        </w:tc>
        <w:tc>
          <w:tcPr>
            <w:tcW w:w="1449" w:type="pct"/>
            <w:tcBorders>
              <w:top w:val="single" w:sz="8" w:space="0" w:color="auto"/>
              <w:left w:val="single" w:sz="8" w:space="0" w:color="auto"/>
              <w:bottom w:val="single" w:sz="4" w:space="0" w:color="auto"/>
              <w:right w:val="single" w:sz="8" w:space="0" w:color="auto"/>
            </w:tcBorders>
            <w:shd w:val="clear" w:color="auto" w:fill="FFFFFF" w:themeFill="background1"/>
          </w:tcPr>
          <w:p w14:paraId="769FD42D" w14:textId="77777777" w:rsidR="00322315" w:rsidRPr="003511A9" w:rsidRDefault="00322315" w:rsidP="006D50DF">
            <w:pPr>
              <w:spacing w:after="120" w:line="240" w:lineRule="auto"/>
              <w:rPr>
                <w:rFonts w:cs="Times New Roman"/>
                <w:sz w:val="22"/>
                <w:lang w:val="lt-LT"/>
              </w:rPr>
            </w:pPr>
          </w:p>
        </w:tc>
      </w:tr>
      <w:tr w:rsidR="00322315" w:rsidRPr="00D02428" w14:paraId="568C5476"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8" w:space="0" w:color="auto"/>
              <w:bottom w:val="single" w:sz="8" w:space="0" w:color="auto"/>
              <w:right w:val="single" w:sz="8" w:space="0" w:color="auto"/>
            </w:tcBorders>
            <w:shd w:val="clear" w:color="auto" w:fill="FFFFFF" w:themeFill="background1"/>
            <w:noWrap/>
          </w:tcPr>
          <w:p w14:paraId="2D10B4A8"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74EF62E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Virtualaus tinklo komutatorius</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1EB30C6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Siūloma programinė įranga privalo turėti galimybę kurti virtualius tinklo komutatorius.</w:t>
            </w:r>
            <w:r w:rsidRPr="003511A9">
              <w:rPr>
                <w:rFonts w:cs="Times New Roman"/>
                <w:sz w:val="22"/>
                <w:lang w:val="lt-LT"/>
              </w:rPr>
              <w:br/>
              <w:t>Programinė įranga privalo įgalinti priskirti virtualioms tarnybinėms stotims tinklo adapterius, virtualius tinklus ar jų kombinacijas. Privalo palaikyti VLAN.</w:t>
            </w:r>
            <w:r w:rsidRPr="003511A9">
              <w:rPr>
                <w:rFonts w:cs="Times New Roman"/>
                <w:sz w:val="22"/>
                <w:lang w:val="lt-LT"/>
              </w:rPr>
              <w:br/>
              <w:t>Siūloma programinė įranga privalo turėti centralizuotą sąsają, iš kurios galima konfigūruoti, prižiūrėti ir administruoti visoje infrastruktūroje esančius virtualius tinklo komutatorius (centralizuotas „distributed“ valdymas).</w:t>
            </w:r>
            <w:r w:rsidRPr="003511A9">
              <w:rPr>
                <w:rFonts w:cs="Times New Roman"/>
                <w:sz w:val="22"/>
                <w:lang w:val="lt-LT"/>
              </w:rPr>
              <w:br/>
              <w:t>Privalo būti galimybė atlikti tinklo srauto valdymo veiksmus: įeinančio/išeinančio tinklo pralaidos ribojimas, dalinimas tarp skirtingų virtualių mašinų.</w:t>
            </w:r>
          </w:p>
        </w:tc>
        <w:tc>
          <w:tcPr>
            <w:tcW w:w="1449" w:type="pct"/>
            <w:tcBorders>
              <w:top w:val="single" w:sz="4" w:space="0" w:color="auto"/>
              <w:left w:val="single" w:sz="4" w:space="0" w:color="auto"/>
              <w:bottom w:val="single" w:sz="4" w:space="0" w:color="auto"/>
              <w:right w:val="single" w:sz="4" w:space="0" w:color="auto"/>
            </w:tcBorders>
          </w:tcPr>
          <w:p w14:paraId="55EF408D" w14:textId="77777777" w:rsidR="00322315" w:rsidRPr="003511A9" w:rsidRDefault="00322315" w:rsidP="006D50DF">
            <w:pPr>
              <w:spacing w:after="120" w:line="240" w:lineRule="auto"/>
              <w:rPr>
                <w:rFonts w:cs="Times New Roman"/>
                <w:sz w:val="22"/>
                <w:lang w:val="lt-LT"/>
              </w:rPr>
            </w:pPr>
          </w:p>
        </w:tc>
      </w:tr>
      <w:tr w:rsidR="00322315" w:rsidRPr="00D02428" w14:paraId="0CD8FC1B"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0911AA4"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39B7F55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Dinaminis resursų paskirstymas</w:t>
            </w:r>
          </w:p>
        </w:tc>
        <w:tc>
          <w:tcPr>
            <w:tcW w:w="2247" w:type="pct"/>
            <w:tcBorders>
              <w:top w:val="nil"/>
              <w:left w:val="nil"/>
              <w:bottom w:val="single" w:sz="4" w:space="0" w:color="auto"/>
              <w:right w:val="single" w:sz="8" w:space="0" w:color="auto"/>
            </w:tcBorders>
            <w:shd w:val="clear" w:color="auto" w:fill="FFFFFF" w:themeFill="background1"/>
          </w:tcPr>
          <w:p w14:paraId="614D17A6"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Virtualizacijos programinė įranga privalo turėti galimybę kurti fizinių resursų telkinius (fizinių tarnybinių stočių telkinį ir fizinių duomenų saugyklų telkinį), bei pagal apkrovos valdymo ir paskirstymo taisykles automatiškai perbalansuoti darbo apkrovas telkinio ribose, užtikrinant optimaliausią fizinių resursų panaudojimą.</w:t>
            </w:r>
            <w:r w:rsidRPr="003511A9">
              <w:rPr>
                <w:rFonts w:cs="Times New Roman"/>
                <w:sz w:val="22"/>
                <w:lang w:val="lt-LT"/>
              </w:rPr>
              <w:br/>
              <w:t>Papildomai: privalo būti palaikoma energijos optimizacija, automatiškai konsoliduojant apkrovas ir sumažinant nenaudojamų resursų energijos sąnaudas (kai tai leidžia infrastruktūra).</w:t>
            </w:r>
          </w:p>
        </w:tc>
        <w:tc>
          <w:tcPr>
            <w:tcW w:w="1449" w:type="pct"/>
            <w:tcBorders>
              <w:top w:val="single" w:sz="4" w:space="0" w:color="auto"/>
              <w:left w:val="single" w:sz="4" w:space="0" w:color="auto"/>
              <w:bottom w:val="single" w:sz="4" w:space="0" w:color="auto"/>
              <w:right w:val="single" w:sz="4" w:space="0" w:color="auto"/>
            </w:tcBorders>
          </w:tcPr>
          <w:p w14:paraId="659128D9" w14:textId="77777777" w:rsidR="00322315" w:rsidRPr="003511A9" w:rsidRDefault="00322315" w:rsidP="006D50DF">
            <w:pPr>
              <w:spacing w:after="120" w:line="240" w:lineRule="auto"/>
              <w:rPr>
                <w:rFonts w:cs="Times New Roman"/>
                <w:sz w:val="22"/>
                <w:lang w:val="lt-LT"/>
              </w:rPr>
            </w:pPr>
          </w:p>
        </w:tc>
      </w:tr>
      <w:tr w:rsidR="00322315" w:rsidRPr="00D02428" w14:paraId="14444B6C"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B4C412A"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nil"/>
              <w:bottom w:val="single" w:sz="4" w:space="0" w:color="auto"/>
              <w:right w:val="single" w:sz="8" w:space="0" w:color="auto"/>
            </w:tcBorders>
            <w:shd w:val="clear" w:color="auto" w:fill="FFFFFF" w:themeFill="background1"/>
            <w:noWrap/>
          </w:tcPr>
          <w:p w14:paraId="376CF2A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Tarnybinių stočių automatizuotas diegimas</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69A5B706"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Virtualizavimo programinė įranga privalo turėti galimybę atlikti automatinį fizinių stočių (hostų) diegimą iš centralizuoto valdymo serverio. Taip pat privalo užtikrinti galimybę naudoti hostų profilių / konfigūracijų šablonus, kurie leistų paprastinti diegimo ir atnaujinimo procesą.</w:t>
            </w:r>
            <w:r w:rsidRPr="003511A9">
              <w:rPr>
                <w:rFonts w:cs="Times New Roman"/>
                <w:sz w:val="22"/>
                <w:lang w:val="lt-LT"/>
              </w:rPr>
              <w:br/>
              <w:t>Papildomai: privalo būti palaikomas centralizuotas hostų gyvavimo ciklo valdymas (image-based), įskaitant suderinamumo patikras prieš atnaujinimus, automatizuotą atnaujinimų vykdymą klasterio režimu ir grąžinimo (rollback) scenarijus.</w:t>
            </w:r>
          </w:p>
          <w:p w14:paraId="156B508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galimybė taikyti kritines hipervizoriaus pataisas be hosto perkrovimo ir be hosto įvedimo į techninės priežiūros režimą (live patching), kai tai leidžia pataisos tipas ir gamintojo metodika.</w:t>
            </w:r>
          </w:p>
        </w:tc>
        <w:tc>
          <w:tcPr>
            <w:tcW w:w="1449" w:type="pct"/>
            <w:tcBorders>
              <w:top w:val="single" w:sz="4" w:space="0" w:color="auto"/>
              <w:left w:val="single" w:sz="4" w:space="0" w:color="auto"/>
              <w:bottom w:val="single" w:sz="4" w:space="0" w:color="auto"/>
              <w:right w:val="single" w:sz="4" w:space="0" w:color="auto"/>
            </w:tcBorders>
          </w:tcPr>
          <w:p w14:paraId="50FCFB5F" w14:textId="77777777" w:rsidR="00322315" w:rsidRPr="003511A9" w:rsidRDefault="00322315" w:rsidP="006D50DF">
            <w:pPr>
              <w:spacing w:after="120" w:line="240" w:lineRule="auto"/>
              <w:rPr>
                <w:rFonts w:cs="Times New Roman"/>
                <w:sz w:val="22"/>
                <w:lang w:val="lt-LT"/>
              </w:rPr>
            </w:pPr>
          </w:p>
        </w:tc>
      </w:tr>
      <w:tr w:rsidR="00322315" w:rsidRPr="003511A9" w14:paraId="5029BA8C"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B0E34E5"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0B0FF3A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Skaitymo operacijų spartinimo užtikrinimas</w:t>
            </w:r>
          </w:p>
        </w:tc>
        <w:tc>
          <w:tcPr>
            <w:tcW w:w="2247" w:type="pct"/>
            <w:tcBorders>
              <w:top w:val="nil"/>
              <w:left w:val="nil"/>
              <w:bottom w:val="single" w:sz="8" w:space="0" w:color="auto"/>
              <w:right w:val="single" w:sz="8" w:space="0" w:color="auto"/>
            </w:tcBorders>
            <w:shd w:val="clear" w:color="auto" w:fill="FFFFFF" w:themeFill="background1"/>
          </w:tcPr>
          <w:p w14:paraId="7E0446C7"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Naudojant lokalias „flash“ tipo laikmenas hostuose, siūloma programinė įranga privalo suteikti skaitymo operacijų spartinimo galimybę, sumažinant skaitymo operacijų apkrovą duomenų masyve (read cache / read acceleration).</w:t>
            </w:r>
          </w:p>
          <w:p w14:paraId="051C481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palaikomos modernios „all-flash / all-NVMe“ saugyklų topologijos ir našumo optimizacijos pagal gamintojo rekomendacijas.</w:t>
            </w:r>
          </w:p>
        </w:tc>
        <w:tc>
          <w:tcPr>
            <w:tcW w:w="1449" w:type="pct"/>
            <w:tcBorders>
              <w:top w:val="single" w:sz="4" w:space="0" w:color="auto"/>
              <w:left w:val="single" w:sz="4" w:space="0" w:color="auto"/>
              <w:bottom w:val="single" w:sz="4" w:space="0" w:color="auto"/>
              <w:right w:val="single" w:sz="4" w:space="0" w:color="auto"/>
            </w:tcBorders>
          </w:tcPr>
          <w:p w14:paraId="29056CC0" w14:textId="77777777" w:rsidR="00322315" w:rsidRPr="003511A9" w:rsidRDefault="00322315" w:rsidP="006D50DF">
            <w:pPr>
              <w:spacing w:after="120" w:line="240" w:lineRule="auto"/>
              <w:rPr>
                <w:rFonts w:cs="Times New Roman"/>
                <w:sz w:val="22"/>
                <w:lang w:val="lt-LT"/>
              </w:rPr>
            </w:pPr>
          </w:p>
        </w:tc>
      </w:tr>
      <w:tr w:rsidR="00322315" w:rsidRPr="00D02428" w14:paraId="30DAC201"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BE65A8F"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7F2D07A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Virtualių grafinių procesorių palaikymas</w:t>
            </w:r>
          </w:p>
        </w:tc>
        <w:tc>
          <w:tcPr>
            <w:tcW w:w="2247" w:type="pct"/>
            <w:tcBorders>
              <w:top w:val="nil"/>
              <w:left w:val="nil"/>
              <w:bottom w:val="single" w:sz="8" w:space="0" w:color="auto"/>
              <w:right w:val="single" w:sz="8" w:space="0" w:color="auto"/>
            </w:tcBorders>
            <w:shd w:val="clear" w:color="auto" w:fill="FFFFFF" w:themeFill="background1"/>
          </w:tcPr>
          <w:p w14:paraId="7D8B542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Siūloma programinė įranga privalo palaikyti fizinių GPU priskyrimą virtualioms tarnybinėms stotims (passthrough) ir GPU resursų dalinimą (vGPU), pagal gamintojo sertifikavimą ir suderinamumo sąrašus.</w:t>
            </w:r>
          </w:p>
        </w:tc>
        <w:tc>
          <w:tcPr>
            <w:tcW w:w="1449" w:type="pct"/>
            <w:tcBorders>
              <w:top w:val="single" w:sz="4" w:space="0" w:color="auto"/>
              <w:left w:val="single" w:sz="4" w:space="0" w:color="auto"/>
              <w:bottom w:val="single" w:sz="4" w:space="0" w:color="auto"/>
              <w:right w:val="single" w:sz="4" w:space="0" w:color="auto"/>
            </w:tcBorders>
          </w:tcPr>
          <w:p w14:paraId="65275452" w14:textId="77777777" w:rsidR="00322315" w:rsidRPr="003511A9" w:rsidRDefault="00322315" w:rsidP="006D50DF">
            <w:pPr>
              <w:spacing w:after="120" w:line="240" w:lineRule="auto"/>
              <w:rPr>
                <w:rFonts w:cs="Times New Roman"/>
                <w:sz w:val="22"/>
                <w:lang w:val="lt-LT"/>
              </w:rPr>
            </w:pPr>
          </w:p>
        </w:tc>
      </w:tr>
      <w:tr w:rsidR="00322315" w:rsidRPr="00D02428" w14:paraId="07ED6020"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3516FA3"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7634A0CB"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Atsarginių kopijų atlikimas</w:t>
            </w:r>
          </w:p>
        </w:tc>
        <w:tc>
          <w:tcPr>
            <w:tcW w:w="2247" w:type="pct"/>
            <w:tcBorders>
              <w:top w:val="nil"/>
              <w:left w:val="nil"/>
              <w:bottom w:val="single" w:sz="8" w:space="0" w:color="auto"/>
              <w:right w:val="single" w:sz="8" w:space="0" w:color="auto"/>
            </w:tcBorders>
            <w:shd w:val="clear" w:color="auto" w:fill="FFFFFF" w:themeFill="background1"/>
          </w:tcPr>
          <w:p w14:paraId="5C09911E"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Siūloma programinė įranga privalo suteikti galimybę atlikti virtualių tarnybinių stočių atsargines kopijas naudojant integracines sąsajas (API) su trečiųjų šalių atsarginių kopijų sprendimais, suteikiant galimybę kopijuoti ir atstatyti virtualias tarnybines stotis, taip pat palaikyti momentinių kopijų mechanizmus ir atstatymo testavimą.</w:t>
            </w:r>
          </w:p>
        </w:tc>
        <w:tc>
          <w:tcPr>
            <w:tcW w:w="1449" w:type="pct"/>
            <w:tcBorders>
              <w:top w:val="single" w:sz="4" w:space="0" w:color="auto"/>
              <w:left w:val="single" w:sz="4" w:space="0" w:color="auto"/>
              <w:bottom w:val="single" w:sz="4" w:space="0" w:color="auto"/>
              <w:right w:val="single" w:sz="4" w:space="0" w:color="auto"/>
            </w:tcBorders>
          </w:tcPr>
          <w:p w14:paraId="76111206" w14:textId="77777777" w:rsidR="00322315" w:rsidRPr="003511A9" w:rsidRDefault="00322315" w:rsidP="006D50DF">
            <w:pPr>
              <w:spacing w:after="120" w:line="240" w:lineRule="auto"/>
              <w:rPr>
                <w:rFonts w:cs="Times New Roman"/>
                <w:sz w:val="22"/>
                <w:lang w:val="lt-LT"/>
              </w:rPr>
            </w:pPr>
          </w:p>
        </w:tc>
      </w:tr>
      <w:tr w:rsidR="00322315" w:rsidRPr="00D02428" w14:paraId="14724631"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88D6D7D"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24AE214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Šifravimo galimybės</w:t>
            </w:r>
          </w:p>
        </w:tc>
        <w:tc>
          <w:tcPr>
            <w:tcW w:w="2247" w:type="pct"/>
            <w:tcBorders>
              <w:top w:val="nil"/>
              <w:left w:val="nil"/>
              <w:bottom w:val="single" w:sz="8" w:space="0" w:color="auto"/>
              <w:right w:val="single" w:sz="8" w:space="0" w:color="auto"/>
            </w:tcBorders>
            <w:shd w:val="clear" w:color="auto" w:fill="FFFFFF" w:themeFill="background1"/>
          </w:tcPr>
          <w:p w14:paraId="473FD54C"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Siūloma programinė įranga privalo suteikti galimybę šifruoti virtualias tarnybines stotis ir jų duomenis (duomenų saugyklose), taip pat palaikyti raktų valdymą (KMS) per standartines sąsajas ir politikomis paremtą šifravimo taikymą.</w:t>
            </w:r>
          </w:p>
          <w:p w14:paraId="76E68E09"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palaikomos saugaus paleidimo, virtualaus patikimumo modulio (vTPM klasės) ir audituojamo raktų keitimo/rotacijos galimybės.</w:t>
            </w:r>
          </w:p>
        </w:tc>
        <w:tc>
          <w:tcPr>
            <w:tcW w:w="1449" w:type="pct"/>
            <w:tcBorders>
              <w:top w:val="single" w:sz="4" w:space="0" w:color="auto"/>
              <w:left w:val="single" w:sz="4" w:space="0" w:color="auto"/>
              <w:bottom w:val="single" w:sz="4" w:space="0" w:color="auto"/>
              <w:right w:val="single" w:sz="4" w:space="0" w:color="auto"/>
            </w:tcBorders>
          </w:tcPr>
          <w:p w14:paraId="05E3EFC7" w14:textId="77777777" w:rsidR="00322315" w:rsidRPr="003511A9" w:rsidRDefault="00322315" w:rsidP="006D50DF">
            <w:pPr>
              <w:spacing w:after="120" w:line="240" w:lineRule="auto"/>
              <w:rPr>
                <w:rFonts w:cs="Times New Roman"/>
                <w:sz w:val="22"/>
                <w:lang w:val="lt-LT"/>
              </w:rPr>
            </w:pPr>
          </w:p>
        </w:tc>
      </w:tr>
      <w:tr w:rsidR="00322315" w:rsidRPr="003511A9" w14:paraId="6A84687A"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EFB6F4F"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0EEA1BAB"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Sistemų sveikatingumo stebėsena</w:t>
            </w:r>
          </w:p>
        </w:tc>
        <w:tc>
          <w:tcPr>
            <w:tcW w:w="2247" w:type="pct"/>
            <w:tcBorders>
              <w:top w:val="nil"/>
              <w:left w:val="nil"/>
              <w:bottom w:val="single" w:sz="4" w:space="0" w:color="auto"/>
              <w:right w:val="single" w:sz="8" w:space="0" w:color="auto"/>
            </w:tcBorders>
            <w:shd w:val="clear" w:color="auto" w:fill="FFFFFF" w:themeFill="background1"/>
          </w:tcPr>
          <w:p w14:paraId="46342D3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Siūloma programinė įranga privalo turėti galimybę analizuoti virtualios infrastruktūros komponentus, dinamiškai įvertinti jų kitimą, bei panaudojant iš anksto paruoštus parametrus sugeneruoti pranešimus apie </w:t>
            </w:r>
            <w:r w:rsidRPr="003511A9">
              <w:rPr>
                <w:rFonts w:cs="Times New Roman"/>
                <w:sz w:val="22"/>
                <w:lang w:val="lt-LT"/>
              </w:rPr>
              <w:lastRenderedPageBreak/>
              <w:t>galimas grėsmes, sistemos sveikatingumą, bei efektyvų jos išnaudojimą. Privalo būti „day-2“ operacijų analitika su įspėjimų koreliacija, triukšmo mažinimu (alert dedup/correlation) ir priežasties-pasekmės (root-cause) įžvalgomis.</w:t>
            </w:r>
          </w:p>
        </w:tc>
        <w:tc>
          <w:tcPr>
            <w:tcW w:w="1449" w:type="pct"/>
            <w:tcBorders>
              <w:top w:val="single" w:sz="4" w:space="0" w:color="auto"/>
              <w:left w:val="single" w:sz="4" w:space="0" w:color="auto"/>
              <w:bottom w:val="single" w:sz="4" w:space="0" w:color="auto"/>
              <w:right w:val="single" w:sz="4" w:space="0" w:color="auto"/>
            </w:tcBorders>
          </w:tcPr>
          <w:p w14:paraId="5AB846E3" w14:textId="77777777" w:rsidR="00322315" w:rsidRPr="003511A9" w:rsidRDefault="00322315" w:rsidP="006D50DF">
            <w:pPr>
              <w:spacing w:after="120" w:line="240" w:lineRule="auto"/>
              <w:rPr>
                <w:rFonts w:cs="Times New Roman"/>
                <w:sz w:val="22"/>
                <w:lang w:val="lt-LT"/>
              </w:rPr>
            </w:pPr>
          </w:p>
        </w:tc>
      </w:tr>
      <w:tr w:rsidR="00322315" w:rsidRPr="00D02428" w14:paraId="115C8FEE"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4A8ED61"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nil"/>
              <w:bottom w:val="single" w:sz="4" w:space="0" w:color="auto"/>
              <w:right w:val="single" w:sz="8" w:space="0" w:color="auto"/>
            </w:tcBorders>
            <w:shd w:val="clear" w:color="auto" w:fill="FFFFFF" w:themeFill="background1"/>
            <w:noWrap/>
          </w:tcPr>
          <w:p w14:paraId="0FA79302"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Našumo stebėsena</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2ABF757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Programinė įranga, panaudojanti dinaminius algoritmus, privalo pateikti intuityvius našumo stebėjimo grafikus, bei sistemos optimizavimo ir tvarkymo rekomendacijas. Privalo būti galimybė sukurti perkančiosios organizacijos poreikius atitinkančius nustatymus, tolerancijos ribas, bei sprendimo veiksmus (automatinės reakcijos / automatizuotos užduotys).</w:t>
            </w:r>
          </w:p>
        </w:tc>
        <w:tc>
          <w:tcPr>
            <w:tcW w:w="1449" w:type="pct"/>
            <w:tcBorders>
              <w:top w:val="single" w:sz="4" w:space="0" w:color="auto"/>
              <w:left w:val="single" w:sz="4" w:space="0" w:color="auto"/>
              <w:bottom w:val="single" w:sz="4" w:space="0" w:color="auto"/>
              <w:right w:val="single" w:sz="4" w:space="0" w:color="auto"/>
            </w:tcBorders>
          </w:tcPr>
          <w:p w14:paraId="0E092EFE" w14:textId="77777777" w:rsidR="00322315" w:rsidRPr="003511A9" w:rsidRDefault="00322315" w:rsidP="006D50DF">
            <w:pPr>
              <w:spacing w:after="120" w:line="240" w:lineRule="auto"/>
              <w:rPr>
                <w:rFonts w:cs="Times New Roman"/>
                <w:sz w:val="22"/>
                <w:lang w:val="lt-LT"/>
              </w:rPr>
            </w:pPr>
          </w:p>
        </w:tc>
      </w:tr>
      <w:tr w:rsidR="00322315" w:rsidRPr="003511A9" w14:paraId="118519B8"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70A6625"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54FD5442"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Virtualios infrastruktūros valdymas ir optimizavimas</w:t>
            </w:r>
          </w:p>
        </w:tc>
        <w:tc>
          <w:tcPr>
            <w:tcW w:w="2247" w:type="pct"/>
            <w:tcBorders>
              <w:top w:val="nil"/>
              <w:left w:val="nil"/>
              <w:bottom w:val="single" w:sz="8" w:space="0" w:color="auto"/>
              <w:right w:val="single" w:sz="8" w:space="0" w:color="auto"/>
            </w:tcBorders>
            <w:shd w:val="clear" w:color="auto" w:fill="FFFFFF" w:themeFill="background1"/>
          </w:tcPr>
          <w:p w14:paraId="1596585F"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 xml:space="preserve">Programinė įranga privalo turėti galimybę, įvertinant realius virtualių tarnybinių stočių poreikius bei sukonfigūruotos infrastruktūros komponentus, pateikti įvertinimus dėl perteklinių resursų priskyrimo (procesorių, atminties, diskų vietos). Privalo būti galimybė numatyti ateities projektus bei jų poreikius ir šiuos duomenis įtraukti į efektyvaus panaudojimo vertinimą. </w:t>
            </w:r>
          </w:p>
          <w:p w14:paraId="43C8F9AC"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funkcionalumas talpos planavimui (capacity planning) su prognozėmis ir „what-if“ scenarijais.</w:t>
            </w:r>
          </w:p>
        </w:tc>
        <w:tc>
          <w:tcPr>
            <w:tcW w:w="1449" w:type="pct"/>
            <w:tcBorders>
              <w:top w:val="single" w:sz="4" w:space="0" w:color="auto"/>
              <w:left w:val="single" w:sz="4" w:space="0" w:color="auto"/>
              <w:bottom w:val="single" w:sz="4" w:space="0" w:color="auto"/>
              <w:right w:val="single" w:sz="4" w:space="0" w:color="auto"/>
            </w:tcBorders>
          </w:tcPr>
          <w:p w14:paraId="101F0810" w14:textId="77777777" w:rsidR="00322315" w:rsidRPr="003511A9" w:rsidRDefault="00322315" w:rsidP="006D50DF">
            <w:pPr>
              <w:spacing w:after="120" w:line="240" w:lineRule="auto"/>
              <w:rPr>
                <w:rFonts w:cs="Times New Roman"/>
                <w:sz w:val="22"/>
                <w:lang w:val="lt-LT"/>
              </w:rPr>
            </w:pPr>
          </w:p>
        </w:tc>
      </w:tr>
      <w:tr w:rsidR="00322315" w:rsidRPr="00D02428" w14:paraId="1EF5B204"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A385B65"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1F170A5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Suderinamumas su Perkančiosios organizacijos naudojama VMware virtualizacijos platforma</w:t>
            </w:r>
          </w:p>
        </w:tc>
        <w:tc>
          <w:tcPr>
            <w:tcW w:w="2247" w:type="pct"/>
            <w:tcBorders>
              <w:top w:val="nil"/>
              <w:left w:val="nil"/>
              <w:bottom w:val="single" w:sz="8" w:space="0" w:color="auto"/>
              <w:right w:val="single" w:sz="8" w:space="0" w:color="auto"/>
            </w:tcBorders>
            <w:shd w:val="clear" w:color="auto" w:fill="FFFFFF" w:themeFill="background1"/>
          </w:tcPr>
          <w:p w14:paraId="51F43426"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Siūloma programinė įranga privalo būti visiškai suderinama su perkančiosios organizacijos šiuo metu naudojama virtualizacijos platforma, jos valdymo architektūra ir integracijomis. Privalo būti užtikrintas sklandus perėjimas ir migracija, išlaikant veikimo logiką, valdymo objektus, teisių modelį, šablonus ir integracijas (pvz., atsarginių kopijų, stebėsenos, katalogų/šablonų saugyklos).</w:t>
            </w:r>
          </w:p>
        </w:tc>
        <w:tc>
          <w:tcPr>
            <w:tcW w:w="1449" w:type="pct"/>
            <w:tcBorders>
              <w:top w:val="single" w:sz="4" w:space="0" w:color="auto"/>
              <w:left w:val="single" w:sz="4" w:space="0" w:color="auto"/>
              <w:bottom w:val="single" w:sz="4" w:space="0" w:color="auto"/>
              <w:right w:val="single" w:sz="4" w:space="0" w:color="auto"/>
            </w:tcBorders>
          </w:tcPr>
          <w:p w14:paraId="20816468" w14:textId="77777777" w:rsidR="00322315" w:rsidRPr="003511A9" w:rsidRDefault="00322315" w:rsidP="006D50DF">
            <w:pPr>
              <w:spacing w:after="120" w:line="240" w:lineRule="auto"/>
              <w:rPr>
                <w:rFonts w:cs="Times New Roman"/>
                <w:sz w:val="22"/>
                <w:lang w:val="lt-LT"/>
              </w:rPr>
            </w:pPr>
          </w:p>
        </w:tc>
      </w:tr>
      <w:tr w:rsidR="00322315" w:rsidRPr="003511A9" w14:paraId="61BD6830"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2BAFAD3"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6A35536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Visos platformos gyvavimo ciklo valdymas (full-stack LCM)</w:t>
            </w:r>
          </w:p>
        </w:tc>
        <w:tc>
          <w:tcPr>
            <w:tcW w:w="2247" w:type="pct"/>
            <w:tcBorders>
              <w:top w:val="nil"/>
              <w:left w:val="nil"/>
              <w:bottom w:val="single" w:sz="8" w:space="0" w:color="auto"/>
              <w:right w:val="single" w:sz="8" w:space="0" w:color="auto"/>
            </w:tcBorders>
            <w:shd w:val="clear" w:color="auto" w:fill="FFFFFF" w:themeFill="background1"/>
          </w:tcPr>
          <w:p w14:paraId="1ACDA60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Sprendimas privalo suteikti vieningą diegimo, inventorizacijos, konfigūracijos, suderinamumo patikrų, atnaujinimų ir versijų naujinimų valdymą visiems platformos sluoksniams (skaičiavimo, tinklo, saugyklos integracijų, valdymo, stebėsenos, automatizacijos). Privalomi „pre-check“ patikrinimai, suderinamumo validacija ir centralizuotas atnaujinimų orkestravimas.</w:t>
            </w:r>
          </w:p>
        </w:tc>
        <w:tc>
          <w:tcPr>
            <w:tcW w:w="1449" w:type="pct"/>
            <w:tcBorders>
              <w:top w:val="single" w:sz="4" w:space="0" w:color="auto"/>
              <w:left w:val="single" w:sz="4" w:space="0" w:color="auto"/>
              <w:bottom w:val="single" w:sz="4" w:space="0" w:color="auto"/>
              <w:right w:val="single" w:sz="4" w:space="0" w:color="auto"/>
            </w:tcBorders>
          </w:tcPr>
          <w:p w14:paraId="5E6848CA" w14:textId="77777777" w:rsidR="00322315" w:rsidRPr="003511A9" w:rsidRDefault="00322315" w:rsidP="006D50DF">
            <w:pPr>
              <w:spacing w:after="120" w:line="240" w:lineRule="auto"/>
              <w:rPr>
                <w:rFonts w:cs="Times New Roman"/>
                <w:sz w:val="22"/>
                <w:lang w:val="lt-LT"/>
              </w:rPr>
            </w:pPr>
          </w:p>
        </w:tc>
      </w:tr>
      <w:tr w:rsidR="00322315" w:rsidRPr="003511A9" w14:paraId="2B65BF9C"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A52EE7A"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1A938D86"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Automatizacija ir savitarna</w:t>
            </w:r>
          </w:p>
        </w:tc>
        <w:tc>
          <w:tcPr>
            <w:tcW w:w="2247" w:type="pct"/>
            <w:tcBorders>
              <w:top w:val="nil"/>
              <w:left w:val="nil"/>
              <w:bottom w:val="single" w:sz="8" w:space="0" w:color="auto"/>
              <w:right w:val="single" w:sz="8" w:space="0" w:color="auto"/>
            </w:tcBorders>
            <w:shd w:val="clear" w:color="auto" w:fill="FFFFFF" w:themeFill="background1"/>
          </w:tcPr>
          <w:p w14:paraId="29A900E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savitarnos katalogas (service catalog) virtualių resursų užsakymui, šablonai (blueprints), automatizuotos darbo eigos (workflows), politikomis paremta valdysena (approval/policy) ir integracija per API. Privalo būti palaikomas „day-2“ automatizavimas (keitimai, mastelio didinimas/mažinimas, atitikties veiksmai).</w:t>
            </w:r>
          </w:p>
        </w:tc>
        <w:tc>
          <w:tcPr>
            <w:tcW w:w="1449" w:type="pct"/>
            <w:tcBorders>
              <w:top w:val="single" w:sz="4" w:space="0" w:color="auto"/>
              <w:left w:val="single" w:sz="4" w:space="0" w:color="auto"/>
              <w:bottom w:val="single" w:sz="4" w:space="0" w:color="auto"/>
              <w:right w:val="single" w:sz="4" w:space="0" w:color="auto"/>
            </w:tcBorders>
          </w:tcPr>
          <w:p w14:paraId="53958D97" w14:textId="77777777" w:rsidR="00322315" w:rsidRPr="003511A9" w:rsidRDefault="00322315" w:rsidP="006D50DF">
            <w:pPr>
              <w:spacing w:after="120" w:line="240" w:lineRule="auto"/>
              <w:rPr>
                <w:rFonts w:cs="Times New Roman"/>
                <w:sz w:val="22"/>
                <w:lang w:val="lt-LT"/>
              </w:rPr>
            </w:pPr>
          </w:p>
        </w:tc>
      </w:tr>
      <w:tr w:rsidR="00322315" w:rsidRPr="003511A9" w14:paraId="301F8D30"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97490C5"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07E2D240"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Centralizuotas žurnalų (log) surinkimas ir analizė</w:t>
            </w:r>
          </w:p>
          <w:p w14:paraId="23A89E52" w14:textId="77777777" w:rsidR="00322315" w:rsidRPr="003511A9" w:rsidRDefault="00322315" w:rsidP="006D50DF">
            <w:pPr>
              <w:spacing w:after="120" w:line="240" w:lineRule="auto"/>
              <w:rPr>
                <w:rFonts w:cs="Times New Roman"/>
                <w:sz w:val="22"/>
                <w:lang w:val="lt-LT"/>
              </w:rPr>
            </w:pPr>
          </w:p>
        </w:tc>
        <w:tc>
          <w:tcPr>
            <w:tcW w:w="2247" w:type="pct"/>
            <w:tcBorders>
              <w:top w:val="nil"/>
              <w:left w:val="nil"/>
              <w:bottom w:val="single" w:sz="4" w:space="0" w:color="auto"/>
              <w:right w:val="single" w:sz="8" w:space="0" w:color="auto"/>
            </w:tcBorders>
            <w:shd w:val="clear" w:color="auto" w:fill="FFFFFF" w:themeFill="background1"/>
          </w:tcPr>
          <w:p w14:paraId="16CE64B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centralizuotas infrastruktūros ir darbo apkrovų žurnalų surinkimas, paieška, filtravimas, koreliacija ir įspėjimai. Privalo būti numatytas log retention, archyvavimo galimybės ir prieigos kontrolė (RBAC).</w:t>
            </w:r>
          </w:p>
        </w:tc>
        <w:tc>
          <w:tcPr>
            <w:tcW w:w="1449" w:type="pct"/>
            <w:tcBorders>
              <w:top w:val="single" w:sz="4" w:space="0" w:color="auto"/>
              <w:left w:val="single" w:sz="4" w:space="0" w:color="auto"/>
              <w:bottom w:val="single" w:sz="4" w:space="0" w:color="auto"/>
              <w:right w:val="single" w:sz="4" w:space="0" w:color="auto"/>
            </w:tcBorders>
          </w:tcPr>
          <w:p w14:paraId="06F996EC" w14:textId="77777777" w:rsidR="00322315" w:rsidRPr="003511A9" w:rsidRDefault="00322315" w:rsidP="006D50DF">
            <w:pPr>
              <w:spacing w:after="120" w:line="240" w:lineRule="auto"/>
              <w:rPr>
                <w:rFonts w:cs="Times New Roman"/>
                <w:sz w:val="22"/>
                <w:lang w:val="lt-LT"/>
              </w:rPr>
            </w:pPr>
          </w:p>
        </w:tc>
      </w:tr>
      <w:tr w:rsidR="00322315" w:rsidRPr="00D02428" w14:paraId="01AA2387"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45783FC8"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nil"/>
              <w:bottom w:val="single" w:sz="4" w:space="0" w:color="auto"/>
              <w:right w:val="single" w:sz="8" w:space="0" w:color="auto"/>
            </w:tcBorders>
            <w:shd w:val="clear" w:color="auto" w:fill="FFFFFF" w:themeFill="background1"/>
            <w:noWrap/>
          </w:tcPr>
          <w:p w14:paraId="3133B13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Tinklo matomumas ir srautų analitika</w:t>
            </w:r>
          </w:p>
        </w:tc>
        <w:tc>
          <w:tcPr>
            <w:tcW w:w="2247" w:type="pct"/>
            <w:tcBorders>
              <w:top w:val="single" w:sz="4" w:space="0" w:color="auto"/>
              <w:left w:val="nil"/>
              <w:bottom w:val="single" w:sz="8" w:space="0" w:color="auto"/>
              <w:right w:val="single" w:sz="8" w:space="0" w:color="auto"/>
            </w:tcBorders>
            <w:shd w:val="clear" w:color="auto" w:fill="FFFFFF" w:themeFill="background1"/>
          </w:tcPr>
          <w:p w14:paraId="2722C22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suteiktas srautų (flow) matomumas tarp darbo apkrovų (east-west ir north-south), ryšio problemų diagnostika, našumo įžvalgos ir priklausomybių (dependency) analizė be agentų diegimo į darbo apkrovas.</w:t>
            </w:r>
          </w:p>
        </w:tc>
        <w:tc>
          <w:tcPr>
            <w:tcW w:w="1449" w:type="pct"/>
            <w:tcBorders>
              <w:top w:val="single" w:sz="4" w:space="0" w:color="auto"/>
              <w:left w:val="single" w:sz="4" w:space="0" w:color="auto"/>
              <w:bottom w:val="single" w:sz="4" w:space="0" w:color="auto"/>
              <w:right w:val="single" w:sz="4" w:space="0" w:color="auto"/>
            </w:tcBorders>
          </w:tcPr>
          <w:p w14:paraId="7B803CD1" w14:textId="77777777" w:rsidR="00322315" w:rsidRPr="003511A9" w:rsidRDefault="00322315" w:rsidP="006D50DF">
            <w:pPr>
              <w:spacing w:after="120" w:line="240" w:lineRule="auto"/>
              <w:rPr>
                <w:rFonts w:cs="Times New Roman"/>
                <w:sz w:val="22"/>
                <w:lang w:val="lt-LT"/>
              </w:rPr>
            </w:pPr>
          </w:p>
        </w:tc>
      </w:tr>
      <w:tr w:rsidR="00322315" w:rsidRPr="00D02428" w14:paraId="6B27715A"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721A06C"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nil"/>
              <w:bottom w:val="single" w:sz="8" w:space="0" w:color="auto"/>
              <w:right w:val="single" w:sz="8" w:space="0" w:color="auto"/>
            </w:tcBorders>
            <w:shd w:val="clear" w:color="auto" w:fill="FFFFFF" w:themeFill="background1"/>
            <w:noWrap/>
          </w:tcPr>
          <w:p w14:paraId="601439C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Integruota modernių aplikacijų vykdymo aplinka</w:t>
            </w:r>
          </w:p>
        </w:tc>
        <w:tc>
          <w:tcPr>
            <w:tcW w:w="2247" w:type="pct"/>
            <w:tcBorders>
              <w:top w:val="nil"/>
              <w:left w:val="nil"/>
              <w:bottom w:val="single" w:sz="8" w:space="0" w:color="auto"/>
              <w:right w:val="single" w:sz="8" w:space="0" w:color="auto"/>
            </w:tcBorders>
            <w:shd w:val="clear" w:color="auto" w:fill="FFFFFF" w:themeFill="background1"/>
          </w:tcPr>
          <w:p w14:paraId="02F99E47"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Sprendimas privalo suteikti integruotą konteinerizuotų aplikacijų vykdymo aplinką ant tos pačios platformos, leidžiančią valdyti tiek virtualias mašinas, tiek konteinerizuotas darbo apkrovas vieningai (vartotojų teisės, tinklo taisyklės, stebėsena, resursų politika).</w:t>
            </w:r>
          </w:p>
        </w:tc>
        <w:tc>
          <w:tcPr>
            <w:tcW w:w="1449" w:type="pct"/>
            <w:tcBorders>
              <w:top w:val="single" w:sz="4" w:space="0" w:color="auto"/>
              <w:left w:val="single" w:sz="4" w:space="0" w:color="auto"/>
              <w:bottom w:val="single" w:sz="4" w:space="0" w:color="auto"/>
              <w:right w:val="single" w:sz="4" w:space="0" w:color="auto"/>
            </w:tcBorders>
          </w:tcPr>
          <w:p w14:paraId="3D39BD7E" w14:textId="77777777" w:rsidR="00322315" w:rsidRPr="003511A9" w:rsidRDefault="00322315" w:rsidP="006D50DF">
            <w:pPr>
              <w:spacing w:after="120" w:line="240" w:lineRule="auto"/>
              <w:rPr>
                <w:rFonts w:cs="Times New Roman"/>
                <w:sz w:val="22"/>
                <w:lang w:val="lt-LT"/>
              </w:rPr>
            </w:pPr>
          </w:p>
        </w:tc>
      </w:tr>
      <w:tr w:rsidR="00322315" w:rsidRPr="00D02428" w14:paraId="488A2ABF"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3346DB9"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nil"/>
              <w:left w:val="nil"/>
              <w:bottom w:val="single" w:sz="8" w:space="0" w:color="auto"/>
              <w:right w:val="single" w:sz="8" w:space="0" w:color="auto"/>
            </w:tcBorders>
            <w:shd w:val="clear" w:color="auto" w:fill="FFFFFF" w:themeFill="background1"/>
            <w:noWrap/>
          </w:tcPr>
          <w:p w14:paraId="6D623EE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Dviejų duomenų centrų scenarijai su sinchronine SAN replikacija</w:t>
            </w:r>
          </w:p>
        </w:tc>
        <w:tc>
          <w:tcPr>
            <w:tcW w:w="2247" w:type="pct"/>
            <w:tcBorders>
              <w:top w:val="nil"/>
              <w:left w:val="nil"/>
              <w:bottom w:val="single" w:sz="8" w:space="0" w:color="auto"/>
              <w:right w:val="single" w:sz="8" w:space="0" w:color="auto"/>
            </w:tcBorders>
            <w:shd w:val="clear" w:color="auto" w:fill="FFFFFF" w:themeFill="background1"/>
          </w:tcPr>
          <w:p w14:paraId="6D14F97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Sprendimas privalo būti suderinamas su architektūra: 2 duomenų centrai, 2 klasteriai, 1 centralizuotas valdymas, iSCSI SAN saugyklos kiekviename DC, sinchroniškai replikuojant LUN’us tarp masyvų. Privalo būti palaikomas numatomas veikimas gedimų ir „failover“ scenarijuose, atsižvelgiant į gamintojo rekomendacijas dėl metro/stretched topologijų (įskaitant tinklo latencijos ir „split-brain“ prevencijos reikalavimus).</w:t>
            </w:r>
          </w:p>
        </w:tc>
        <w:tc>
          <w:tcPr>
            <w:tcW w:w="1449" w:type="pct"/>
            <w:tcBorders>
              <w:top w:val="single" w:sz="4" w:space="0" w:color="auto"/>
              <w:left w:val="single" w:sz="4" w:space="0" w:color="auto"/>
              <w:bottom w:val="single" w:sz="4" w:space="0" w:color="auto"/>
              <w:right w:val="single" w:sz="4" w:space="0" w:color="auto"/>
            </w:tcBorders>
          </w:tcPr>
          <w:p w14:paraId="58B23AE4" w14:textId="77777777" w:rsidR="00322315" w:rsidRPr="003511A9" w:rsidRDefault="00322315" w:rsidP="006D50DF">
            <w:pPr>
              <w:spacing w:after="120" w:line="240" w:lineRule="auto"/>
              <w:rPr>
                <w:rFonts w:cs="Times New Roman"/>
                <w:sz w:val="22"/>
                <w:lang w:val="lt-LT"/>
              </w:rPr>
            </w:pPr>
          </w:p>
        </w:tc>
      </w:tr>
      <w:tr w:rsidR="00322315" w:rsidRPr="003511A9" w14:paraId="5F756A88"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796CD21"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6F4872D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Centralizuotas virtualizavimo programinės įrangos valdymo serveris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496A3B5B"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Centralizuotas virtualizavimo programinės įrangos valdymo serveris privalo būti suderinamas su siūloma virtualizacijos programine įranga.</w:t>
            </w:r>
            <w:r w:rsidRPr="003511A9">
              <w:rPr>
                <w:rFonts w:cs="Times New Roman"/>
                <w:sz w:val="22"/>
                <w:lang w:val="lt-LT"/>
              </w:rPr>
              <w:br/>
              <w:t>Centralizuotas valdymo serveris privalo palaikyti visą siūlomos virtualizacijos programinės įrangos funkcionalumo valdymą, įskaitant:</w:t>
            </w:r>
          </w:p>
          <w:p w14:paraId="0B73F425" w14:textId="77777777" w:rsidR="00322315" w:rsidRPr="003511A9" w:rsidRDefault="00322315" w:rsidP="00322315">
            <w:pPr>
              <w:numPr>
                <w:ilvl w:val="0"/>
                <w:numId w:val="15"/>
              </w:numPr>
              <w:spacing w:after="0" w:line="240" w:lineRule="auto"/>
              <w:rPr>
                <w:rFonts w:cs="Times New Roman"/>
                <w:sz w:val="22"/>
                <w:lang w:val="lt-LT"/>
              </w:rPr>
            </w:pPr>
            <w:r w:rsidRPr="003511A9">
              <w:rPr>
                <w:rFonts w:cs="Times New Roman"/>
                <w:sz w:val="22"/>
                <w:lang w:val="lt-LT"/>
              </w:rPr>
              <w:t>virtualių tarnybinių stočių (VM) kūrimą, konfigūravimą, paleidimą, stabdymą, migravimą ir šalinimą;</w:t>
            </w:r>
          </w:p>
          <w:p w14:paraId="7A69D9FF" w14:textId="77777777" w:rsidR="00322315" w:rsidRPr="003511A9" w:rsidRDefault="00322315" w:rsidP="00322315">
            <w:pPr>
              <w:numPr>
                <w:ilvl w:val="0"/>
                <w:numId w:val="15"/>
              </w:numPr>
              <w:spacing w:after="0" w:line="240" w:lineRule="auto"/>
              <w:rPr>
                <w:rFonts w:cs="Times New Roman"/>
                <w:sz w:val="22"/>
                <w:lang w:val="lt-LT"/>
              </w:rPr>
            </w:pPr>
            <w:r w:rsidRPr="003511A9">
              <w:rPr>
                <w:rFonts w:cs="Times New Roman"/>
                <w:sz w:val="22"/>
                <w:lang w:val="lt-LT"/>
              </w:rPr>
              <w:t>fizinių host’ų ir klasterio konfigūravimą bei valdymą;</w:t>
            </w:r>
          </w:p>
          <w:p w14:paraId="49DD126F" w14:textId="77777777" w:rsidR="00322315" w:rsidRPr="003511A9" w:rsidRDefault="00322315" w:rsidP="00322315">
            <w:pPr>
              <w:numPr>
                <w:ilvl w:val="0"/>
                <w:numId w:val="15"/>
              </w:numPr>
              <w:spacing w:after="0" w:line="240" w:lineRule="auto"/>
              <w:rPr>
                <w:rFonts w:cs="Times New Roman"/>
                <w:sz w:val="22"/>
                <w:lang w:val="lt-LT"/>
              </w:rPr>
            </w:pPr>
            <w:r w:rsidRPr="003511A9">
              <w:rPr>
                <w:rFonts w:cs="Times New Roman"/>
                <w:sz w:val="22"/>
                <w:lang w:val="lt-LT"/>
              </w:rPr>
              <w:t>centralizuotą sąsają, iš kurios galima konfigūruoti, prižiūrėti ir administruoti visus virtualioje infrastruktūroje esančius virtualius komutatorius/tinklus;</w:t>
            </w:r>
          </w:p>
          <w:p w14:paraId="4118FD79"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prieigos teises ir vaidmenis (RBAC) virtualizacijos objektų lygiu.</w:t>
            </w:r>
          </w:p>
        </w:tc>
        <w:tc>
          <w:tcPr>
            <w:tcW w:w="1449" w:type="pct"/>
            <w:tcBorders>
              <w:top w:val="single" w:sz="4" w:space="0" w:color="auto"/>
              <w:left w:val="single" w:sz="4" w:space="0" w:color="auto"/>
              <w:bottom w:val="single" w:sz="4" w:space="0" w:color="auto"/>
              <w:right w:val="single" w:sz="4" w:space="0" w:color="auto"/>
            </w:tcBorders>
          </w:tcPr>
          <w:p w14:paraId="76C0D9EE" w14:textId="77777777" w:rsidR="00322315" w:rsidRPr="003511A9" w:rsidRDefault="00322315" w:rsidP="006D50DF">
            <w:pPr>
              <w:spacing w:after="120" w:line="240" w:lineRule="auto"/>
              <w:rPr>
                <w:rFonts w:cs="Times New Roman"/>
                <w:sz w:val="22"/>
                <w:lang w:val="lt-LT"/>
              </w:rPr>
            </w:pPr>
          </w:p>
        </w:tc>
      </w:tr>
      <w:tr w:rsidR="00322315" w:rsidRPr="00D02428" w14:paraId="285633F9"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3684D2FA"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209E860E"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Centralizuoto virtualizavimo programinės įrangos valdymo serverio aukšto patikimumo užtikrinimas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7C899AA1"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Centralizuotas valdymo serveris privalo palaikyti gamintojo aukšto patikimumo sprendimą, užtikrinantį automatinį valdymo serverio veiklos pratęsimą pagrindinio valdymo serverio praradimo atveju.</w:t>
            </w:r>
            <w:r w:rsidRPr="003511A9">
              <w:rPr>
                <w:rFonts w:cs="Times New Roman"/>
                <w:sz w:val="22"/>
                <w:lang w:val="lt-LT"/>
              </w:rPr>
              <w:br/>
              <w:t>Papildomai:</w:t>
            </w:r>
          </w:p>
          <w:p w14:paraId="45FE00A2" w14:textId="77777777" w:rsidR="00322315" w:rsidRPr="003511A9" w:rsidRDefault="00322315" w:rsidP="00322315">
            <w:pPr>
              <w:numPr>
                <w:ilvl w:val="0"/>
                <w:numId w:val="11"/>
              </w:numPr>
              <w:spacing w:after="0" w:line="240" w:lineRule="auto"/>
              <w:rPr>
                <w:rFonts w:cs="Times New Roman"/>
                <w:sz w:val="22"/>
                <w:lang w:val="lt-LT"/>
              </w:rPr>
            </w:pPr>
            <w:r w:rsidRPr="003511A9">
              <w:rPr>
                <w:rFonts w:cs="Times New Roman"/>
                <w:sz w:val="22"/>
                <w:lang w:val="lt-LT"/>
              </w:rPr>
              <w:lastRenderedPageBreak/>
              <w:t>privalo būti numatytas automatinis persijungimas (failover) be rankinio įsikišimo;</w:t>
            </w:r>
          </w:p>
          <w:p w14:paraId="3C6B214A" w14:textId="77777777" w:rsidR="00322315" w:rsidRPr="003511A9" w:rsidRDefault="00322315" w:rsidP="00322315">
            <w:pPr>
              <w:numPr>
                <w:ilvl w:val="0"/>
                <w:numId w:val="11"/>
              </w:numPr>
              <w:spacing w:after="0" w:line="240" w:lineRule="auto"/>
              <w:rPr>
                <w:rFonts w:cs="Times New Roman"/>
                <w:sz w:val="22"/>
                <w:lang w:val="lt-LT"/>
              </w:rPr>
            </w:pPr>
            <w:r w:rsidRPr="003511A9">
              <w:rPr>
                <w:rFonts w:cs="Times New Roman"/>
                <w:sz w:val="22"/>
                <w:lang w:val="lt-LT"/>
              </w:rPr>
              <w:t>privalo būti aiškiai aprašomi reikalavimai valdymo serverio mazgų topologijai ir duomenų nuoseklumui</w:t>
            </w:r>
          </w:p>
        </w:tc>
        <w:tc>
          <w:tcPr>
            <w:tcW w:w="1449" w:type="pct"/>
            <w:tcBorders>
              <w:top w:val="single" w:sz="4" w:space="0" w:color="auto"/>
              <w:left w:val="single" w:sz="4" w:space="0" w:color="auto"/>
              <w:bottom w:val="single" w:sz="4" w:space="0" w:color="auto"/>
              <w:right w:val="single" w:sz="4" w:space="0" w:color="auto"/>
            </w:tcBorders>
          </w:tcPr>
          <w:p w14:paraId="74E8F6EF" w14:textId="77777777" w:rsidR="00322315" w:rsidRPr="003511A9" w:rsidRDefault="00322315" w:rsidP="006D50DF">
            <w:pPr>
              <w:spacing w:after="120" w:line="240" w:lineRule="auto"/>
              <w:rPr>
                <w:rFonts w:cs="Times New Roman"/>
                <w:sz w:val="22"/>
                <w:lang w:val="lt-LT"/>
              </w:rPr>
            </w:pPr>
          </w:p>
        </w:tc>
      </w:tr>
      <w:tr w:rsidR="00322315" w:rsidRPr="003511A9" w14:paraId="4B18D77D"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E14A8C2"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499AD106"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Centralizuoto virtualizavimo programinės įrangos valdymo serverio atsarginio kopijavimo ir atstatymo užtikrinimas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5351B602"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Centralizuotas valdymo serveris privalo palaikyti rezervinių kopijų darymą ir atstatymą be papildomos trečiųjų šalių programinės įrangos, su galimybe konfigūruoti atsarginių kopijų dažnumą:</w:t>
            </w:r>
          </w:p>
          <w:p w14:paraId="00C05AF9" w14:textId="77777777" w:rsidR="00322315" w:rsidRPr="003511A9" w:rsidRDefault="00322315" w:rsidP="00322315">
            <w:pPr>
              <w:numPr>
                <w:ilvl w:val="0"/>
                <w:numId w:val="10"/>
              </w:numPr>
              <w:spacing w:after="0" w:line="240" w:lineRule="auto"/>
              <w:rPr>
                <w:rFonts w:cs="Times New Roman"/>
                <w:sz w:val="22"/>
                <w:lang w:val="lt-LT"/>
              </w:rPr>
            </w:pPr>
            <w:r w:rsidRPr="003511A9">
              <w:rPr>
                <w:rFonts w:cs="Times New Roman"/>
                <w:sz w:val="22"/>
                <w:lang w:val="lt-LT"/>
              </w:rPr>
              <w:t>atsarginės kopijos privalo būti daromos į nurodytą išorinę saugyklą (SMB/NFS/SFTP tipo arba kitas standartinis saugojimo būdas);</w:t>
            </w:r>
          </w:p>
          <w:p w14:paraId="6E6EB9AD" w14:textId="77777777" w:rsidR="00322315" w:rsidRPr="003511A9" w:rsidRDefault="00322315" w:rsidP="00322315">
            <w:pPr>
              <w:numPr>
                <w:ilvl w:val="0"/>
                <w:numId w:val="10"/>
              </w:numPr>
              <w:spacing w:after="0" w:line="240" w:lineRule="auto"/>
              <w:rPr>
                <w:rFonts w:cs="Times New Roman"/>
                <w:sz w:val="22"/>
                <w:lang w:val="lt-LT"/>
              </w:rPr>
            </w:pPr>
            <w:r w:rsidRPr="003511A9">
              <w:rPr>
                <w:rFonts w:cs="Times New Roman"/>
                <w:sz w:val="22"/>
                <w:lang w:val="lt-LT"/>
              </w:rPr>
              <w:t>privalo būti galimybė atlikti pilną atstatymą po gedimo ir atstatymo patikrinimą (restore validation);</w:t>
            </w:r>
          </w:p>
          <w:p w14:paraId="28D61D0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atsarginės kopijos privalo palaikyti šifravimą ir prieigos kontrolę </w:t>
            </w:r>
          </w:p>
        </w:tc>
        <w:tc>
          <w:tcPr>
            <w:tcW w:w="1449" w:type="pct"/>
            <w:tcBorders>
              <w:top w:val="single" w:sz="4" w:space="0" w:color="auto"/>
              <w:left w:val="single" w:sz="4" w:space="0" w:color="auto"/>
              <w:bottom w:val="single" w:sz="4" w:space="0" w:color="auto"/>
              <w:right w:val="single" w:sz="4" w:space="0" w:color="auto"/>
            </w:tcBorders>
          </w:tcPr>
          <w:p w14:paraId="39249299" w14:textId="77777777" w:rsidR="00322315" w:rsidRPr="003511A9" w:rsidRDefault="00322315" w:rsidP="006D50DF">
            <w:pPr>
              <w:spacing w:after="120" w:line="240" w:lineRule="auto"/>
              <w:rPr>
                <w:rFonts w:cs="Times New Roman"/>
                <w:sz w:val="22"/>
                <w:lang w:val="lt-LT"/>
              </w:rPr>
            </w:pPr>
          </w:p>
        </w:tc>
      </w:tr>
      <w:tr w:rsidR="00322315" w:rsidRPr="00D02428" w14:paraId="7A14084D"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30FC36F"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5EC937D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Virtualių darbo stočių integracija su trečių šalių antivirusine programine įranga </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686F1322" w14:textId="77777777" w:rsidR="00322315" w:rsidRPr="003511A9" w:rsidRDefault="00322315" w:rsidP="006D50DF">
            <w:pPr>
              <w:spacing w:after="0" w:line="240" w:lineRule="auto"/>
              <w:rPr>
                <w:rFonts w:cs="Times New Roman"/>
                <w:sz w:val="22"/>
                <w:lang w:val="lt-LT"/>
              </w:rPr>
            </w:pPr>
            <w:r w:rsidRPr="003511A9">
              <w:rPr>
                <w:rFonts w:cs="Times New Roman"/>
                <w:sz w:val="22"/>
                <w:lang w:val="lt-LT"/>
              </w:rPr>
              <w:t>Centralizuotas valdymo serveris privalo suteikti integracijos galimybes su trečiųjų šalių antivirusine (Anti-Virus/Anti-Malware) programine įranga ir užtikrinti virtualių tarnybinių stočių apsaugos/įvykių valdymo integraciją centralizuotai:</w:t>
            </w:r>
          </w:p>
          <w:p w14:paraId="083DE0C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agentless skanavimas (be agentų VM viduje) privalo būti įgyvendinamas per virtualizacijos platformos integracijos mechanizmus (hipervizoriaus/virtualizacijos sluoksnio lygmenyje), o valdymo serveris privalo suteikti centralizuotą konfigūravimą, politikų taikymą ir būsenų matomumą.</w:t>
            </w:r>
          </w:p>
        </w:tc>
        <w:tc>
          <w:tcPr>
            <w:tcW w:w="1449" w:type="pct"/>
            <w:tcBorders>
              <w:top w:val="single" w:sz="4" w:space="0" w:color="auto"/>
              <w:left w:val="single" w:sz="4" w:space="0" w:color="auto"/>
              <w:bottom w:val="single" w:sz="4" w:space="0" w:color="auto"/>
              <w:right w:val="single" w:sz="4" w:space="0" w:color="auto"/>
            </w:tcBorders>
          </w:tcPr>
          <w:p w14:paraId="48E45169" w14:textId="77777777" w:rsidR="00322315" w:rsidRPr="003511A9" w:rsidRDefault="00322315" w:rsidP="006D50DF">
            <w:pPr>
              <w:spacing w:after="120" w:line="240" w:lineRule="auto"/>
              <w:rPr>
                <w:rFonts w:cs="Times New Roman"/>
                <w:sz w:val="22"/>
                <w:lang w:val="lt-LT"/>
              </w:rPr>
            </w:pPr>
          </w:p>
        </w:tc>
      </w:tr>
      <w:tr w:rsidR="00322315" w:rsidRPr="00D02428" w14:paraId="1D4B10C1"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D8F6609"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314A4F0C"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Autentifikacija ir prieigos valdymas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0AC748DE"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Privalo palaikyti integraciją su organizacijos tapatybės valdymu (katalogų paslaugomis), daugiafaktorinę autentifikaciją (MFA), rolėmis paremtą prieigos kontrolę (RBAC) ir atskirų administravimo sričių delegavimą.</w:t>
            </w:r>
          </w:p>
        </w:tc>
        <w:tc>
          <w:tcPr>
            <w:tcW w:w="1449" w:type="pct"/>
            <w:tcBorders>
              <w:top w:val="single" w:sz="4" w:space="0" w:color="auto"/>
              <w:left w:val="single" w:sz="4" w:space="0" w:color="auto"/>
              <w:bottom w:val="single" w:sz="4" w:space="0" w:color="auto"/>
              <w:right w:val="single" w:sz="4" w:space="0" w:color="auto"/>
            </w:tcBorders>
          </w:tcPr>
          <w:p w14:paraId="1A432765" w14:textId="77777777" w:rsidR="00322315" w:rsidRPr="003511A9" w:rsidRDefault="00322315" w:rsidP="006D50DF">
            <w:pPr>
              <w:spacing w:after="120" w:line="240" w:lineRule="auto"/>
              <w:rPr>
                <w:rFonts w:cs="Times New Roman"/>
                <w:sz w:val="22"/>
                <w:lang w:val="lt-LT"/>
              </w:rPr>
            </w:pPr>
          </w:p>
        </w:tc>
      </w:tr>
      <w:tr w:rsidR="00322315" w:rsidRPr="003511A9" w14:paraId="19F7FA5B"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3CE8564"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04E03FE6"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Auditas ir veiksmų atsekamumas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2A00039E"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Privalo turėti audito žurnalus (kas, kada, ką pakeitė), galimybę eksportuoti auditą ir integruotis su centralizuota žurnalų sistema (SIEM/log management).</w:t>
            </w:r>
          </w:p>
        </w:tc>
        <w:tc>
          <w:tcPr>
            <w:tcW w:w="1449" w:type="pct"/>
            <w:tcBorders>
              <w:top w:val="single" w:sz="4" w:space="0" w:color="auto"/>
              <w:left w:val="single" w:sz="4" w:space="0" w:color="auto"/>
              <w:bottom w:val="single" w:sz="4" w:space="0" w:color="auto"/>
              <w:right w:val="single" w:sz="4" w:space="0" w:color="auto"/>
            </w:tcBorders>
          </w:tcPr>
          <w:p w14:paraId="5D978C8E" w14:textId="77777777" w:rsidR="00322315" w:rsidRPr="003511A9" w:rsidRDefault="00322315" w:rsidP="006D50DF">
            <w:pPr>
              <w:spacing w:after="120" w:line="240" w:lineRule="auto"/>
              <w:rPr>
                <w:rFonts w:cs="Times New Roman"/>
                <w:sz w:val="22"/>
                <w:lang w:val="lt-LT"/>
              </w:rPr>
            </w:pPr>
          </w:p>
        </w:tc>
      </w:tr>
      <w:tr w:rsidR="00322315" w:rsidRPr="003511A9" w14:paraId="5AC2E7C0"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94C3592"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5BB00AF0"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API (programavimo sąsaja) ir automatizavimas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0BA07E6B"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Privalo suteikti dokumentuotas API sąsajas administravimui ir automatizavimui (provisioning, konfigūracijų keitimai, inventorizacija, ataskaitos), taip pat palaikyti automatizuotas darbo eigas (workflows).</w:t>
            </w:r>
          </w:p>
        </w:tc>
        <w:tc>
          <w:tcPr>
            <w:tcW w:w="1449" w:type="pct"/>
            <w:tcBorders>
              <w:top w:val="single" w:sz="4" w:space="0" w:color="auto"/>
              <w:left w:val="single" w:sz="4" w:space="0" w:color="auto"/>
              <w:bottom w:val="single" w:sz="4" w:space="0" w:color="auto"/>
              <w:right w:val="single" w:sz="4" w:space="0" w:color="auto"/>
            </w:tcBorders>
          </w:tcPr>
          <w:p w14:paraId="271E918F" w14:textId="77777777" w:rsidR="00322315" w:rsidRPr="003511A9" w:rsidRDefault="00322315" w:rsidP="006D50DF">
            <w:pPr>
              <w:spacing w:after="120" w:line="240" w:lineRule="auto"/>
              <w:rPr>
                <w:rFonts w:cs="Times New Roman"/>
                <w:sz w:val="22"/>
                <w:lang w:val="lt-LT"/>
              </w:rPr>
            </w:pPr>
          </w:p>
        </w:tc>
      </w:tr>
      <w:tr w:rsidR="00322315" w:rsidRPr="00D02428" w14:paraId="2B097188"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2419190"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2879E880"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Sertifikatų ir šifravimo valdymas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67D95044" w14:textId="77777777" w:rsidR="00322315" w:rsidRPr="003511A9" w:rsidRDefault="00322315" w:rsidP="006D50DF">
            <w:pPr>
              <w:spacing w:after="0" w:line="240" w:lineRule="auto"/>
              <w:rPr>
                <w:rFonts w:asciiTheme="majorBidi" w:hAnsiTheme="majorBidi" w:cstheme="majorBidi"/>
                <w:kern w:val="2"/>
                <w:sz w:val="22"/>
                <w:bdr w:val="none" w:sz="0" w:space="0" w:color="auto" w:frame="1"/>
                <w:lang w:val="lt-LT" w:eastAsia="lt-LT"/>
                <w14:ligatures w14:val="standardContextual"/>
              </w:rPr>
            </w:pPr>
            <w:r w:rsidRPr="003511A9">
              <w:rPr>
                <w:rFonts w:asciiTheme="majorBidi" w:hAnsiTheme="majorBidi" w:cstheme="majorBidi"/>
                <w:kern w:val="2"/>
                <w:sz w:val="22"/>
                <w:bdr w:val="none" w:sz="0" w:space="0" w:color="auto" w:frame="1"/>
                <w:lang w:val="lt-LT" w:eastAsia="lt-LT"/>
                <w14:ligatures w14:val="standardContextual"/>
              </w:rPr>
              <w:t>Privalo palaikyti sertifikatų valdymą (įskaitant keitimą/rotaciją), saugius šifravimo protokolus ryšiui su klientais ir komponentais, bei galimybę įgyvendinti saugumo konfigūracijas pagal organizacijos politiką.</w:t>
            </w:r>
          </w:p>
          <w:p w14:paraId="16E9226A" w14:textId="77777777" w:rsidR="00322315" w:rsidRPr="003511A9" w:rsidRDefault="00322315" w:rsidP="006D50DF">
            <w:pPr>
              <w:spacing w:after="120" w:line="240" w:lineRule="auto"/>
              <w:rPr>
                <w:rFonts w:cs="Times New Roman"/>
                <w:sz w:val="22"/>
                <w:lang w:val="lt-LT"/>
              </w:rPr>
            </w:pPr>
          </w:p>
        </w:tc>
        <w:tc>
          <w:tcPr>
            <w:tcW w:w="1449" w:type="pct"/>
            <w:tcBorders>
              <w:top w:val="single" w:sz="4" w:space="0" w:color="auto"/>
              <w:left w:val="single" w:sz="4" w:space="0" w:color="auto"/>
              <w:bottom w:val="single" w:sz="4" w:space="0" w:color="auto"/>
              <w:right w:val="single" w:sz="4" w:space="0" w:color="auto"/>
            </w:tcBorders>
          </w:tcPr>
          <w:p w14:paraId="08D9EA98" w14:textId="77777777" w:rsidR="00322315" w:rsidRPr="003511A9" w:rsidRDefault="00322315" w:rsidP="006D50DF">
            <w:pPr>
              <w:spacing w:after="120" w:line="240" w:lineRule="auto"/>
              <w:rPr>
                <w:rFonts w:cs="Times New Roman"/>
                <w:sz w:val="22"/>
                <w:lang w:val="lt-LT"/>
              </w:rPr>
            </w:pPr>
          </w:p>
        </w:tc>
      </w:tr>
      <w:tr w:rsidR="00322315" w:rsidRPr="00D02428" w14:paraId="7C310C9A"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4553D9C"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75293CEB"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Konfigūracijų atsparumas ir atstatymas po incidentų</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4A130CDD"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Privalo būti galimybė atkurti valdymo serverį po kritinio gedimo ar kibernetinio incidento iš atsarginės kopijos, išlaikant inventorizaciją, teises, politikų konfigūraciją ir istorinius įvykius (kiek tai techniškai pagrįsta).</w:t>
            </w:r>
          </w:p>
        </w:tc>
        <w:tc>
          <w:tcPr>
            <w:tcW w:w="1449" w:type="pct"/>
            <w:tcBorders>
              <w:top w:val="single" w:sz="4" w:space="0" w:color="auto"/>
              <w:left w:val="single" w:sz="4" w:space="0" w:color="auto"/>
              <w:bottom w:val="single" w:sz="4" w:space="0" w:color="auto"/>
              <w:right w:val="single" w:sz="4" w:space="0" w:color="auto"/>
            </w:tcBorders>
          </w:tcPr>
          <w:p w14:paraId="57E1601D" w14:textId="77777777" w:rsidR="00322315" w:rsidRPr="003511A9" w:rsidRDefault="00322315" w:rsidP="006D50DF">
            <w:pPr>
              <w:spacing w:after="120" w:line="240" w:lineRule="auto"/>
              <w:rPr>
                <w:rFonts w:cs="Times New Roman"/>
                <w:sz w:val="22"/>
                <w:lang w:val="lt-LT"/>
              </w:rPr>
            </w:pPr>
          </w:p>
        </w:tc>
      </w:tr>
      <w:tr w:rsidR="00322315" w:rsidRPr="00D02428" w14:paraId="7BCD545E"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0BD6882"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7D5F00BD"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Vientisas gyvavimo ciklo valdymas (valdymo komponentams)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40AC57BC"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Privalo būti palaikomos suderinamumo patikros prieš atnaujinimus, automatizuotas atnaujinimų taikymas valdymo komponentams ir galimybė sumažinti planuojamų atnaujinimų prastovas (downtime), įskaitant kritinių pataisų taikymą minimaliai trikdant paslaugą.</w:t>
            </w:r>
          </w:p>
        </w:tc>
        <w:tc>
          <w:tcPr>
            <w:tcW w:w="1449" w:type="pct"/>
            <w:tcBorders>
              <w:top w:val="single" w:sz="4" w:space="0" w:color="auto"/>
              <w:left w:val="single" w:sz="4" w:space="0" w:color="auto"/>
              <w:bottom w:val="single" w:sz="4" w:space="0" w:color="auto"/>
              <w:right w:val="single" w:sz="4" w:space="0" w:color="auto"/>
            </w:tcBorders>
          </w:tcPr>
          <w:p w14:paraId="2EAE9D17" w14:textId="77777777" w:rsidR="00322315" w:rsidRPr="003511A9" w:rsidRDefault="00322315" w:rsidP="006D50DF">
            <w:pPr>
              <w:spacing w:after="120" w:line="240" w:lineRule="auto"/>
              <w:rPr>
                <w:rFonts w:cs="Times New Roman"/>
                <w:sz w:val="22"/>
                <w:lang w:val="lt-LT"/>
              </w:rPr>
            </w:pPr>
          </w:p>
        </w:tc>
      </w:tr>
      <w:tr w:rsidR="00322315" w:rsidRPr="00D02428" w14:paraId="3EBB4562"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F2A9243"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8" w:space="0" w:color="auto"/>
              <w:left w:val="single" w:sz="8" w:space="0" w:color="auto"/>
              <w:bottom w:val="single" w:sz="8" w:space="0" w:color="auto"/>
              <w:right w:val="single" w:sz="8" w:space="0" w:color="auto"/>
            </w:tcBorders>
            <w:shd w:val="clear" w:color="auto" w:fill="FFFFFF" w:themeFill="background1"/>
            <w:noWrap/>
          </w:tcPr>
          <w:p w14:paraId="6F39CE68" w14:textId="77777777" w:rsidR="00322315" w:rsidRPr="003511A9" w:rsidRDefault="00322315" w:rsidP="006D50DF">
            <w:pPr>
              <w:spacing w:after="120" w:line="240" w:lineRule="auto"/>
              <w:rPr>
                <w:rFonts w:cs="Times New Roman"/>
                <w:sz w:val="22"/>
                <w:lang w:val="lt-LT"/>
              </w:rPr>
            </w:pPr>
            <w:r w:rsidRPr="003511A9">
              <w:rPr>
                <w:rFonts w:asciiTheme="majorBidi" w:hAnsiTheme="majorBidi" w:cstheme="majorBidi"/>
                <w:kern w:val="2"/>
                <w:sz w:val="22"/>
                <w:bdr w:val="none" w:sz="0" w:space="0" w:color="auto" w:frame="1"/>
                <w:lang w:val="lt-LT" w:eastAsia="lt-LT"/>
                <w14:ligatures w14:val="standardContextual"/>
              </w:rPr>
              <w:t>Stebėsenos ir licencijų valdymas</w:t>
            </w:r>
          </w:p>
        </w:tc>
        <w:tc>
          <w:tcPr>
            <w:tcW w:w="2247" w:type="pct"/>
            <w:tcBorders>
              <w:top w:val="single" w:sz="8" w:space="0" w:color="auto"/>
              <w:left w:val="single" w:sz="8" w:space="0" w:color="auto"/>
              <w:bottom w:val="single" w:sz="8" w:space="0" w:color="auto"/>
              <w:right w:val="single" w:sz="8" w:space="0" w:color="auto"/>
            </w:tcBorders>
            <w:shd w:val="clear" w:color="auto" w:fill="FFFFFF" w:themeFill="background1"/>
          </w:tcPr>
          <w:p w14:paraId="17B06338" w14:textId="77777777" w:rsidR="00322315" w:rsidRPr="003511A9" w:rsidRDefault="00322315" w:rsidP="006D50DF">
            <w:pPr>
              <w:spacing w:after="0" w:line="240" w:lineRule="auto"/>
              <w:rPr>
                <w:rFonts w:asciiTheme="majorBidi" w:hAnsiTheme="majorBidi" w:cstheme="majorBidi"/>
                <w:kern w:val="2"/>
                <w:sz w:val="22"/>
                <w:bdr w:val="none" w:sz="0" w:space="0" w:color="auto" w:frame="1"/>
                <w:lang w:val="lt-LT" w:eastAsia="lt-LT"/>
                <w14:ligatures w14:val="standardContextual"/>
              </w:rPr>
            </w:pPr>
            <w:r w:rsidRPr="003511A9">
              <w:rPr>
                <w:rFonts w:asciiTheme="majorBidi" w:hAnsiTheme="majorBidi" w:cstheme="majorBidi"/>
                <w:kern w:val="2"/>
                <w:sz w:val="22"/>
                <w:bdr w:val="none" w:sz="0" w:space="0" w:color="auto" w:frame="1"/>
                <w:lang w:val="lt-LT" w:eastAsia="lt-LT"/>
                <w14:ligatures w14:val="standardContextual"/>
              </w:rPr>
              <w:t>Privalo būti centralizuotas infrastruktūros stebėsenos sprendimas, skirtas Host serverių, virtualių mašinų, klasterio ir duomenų saugyklų būklės bei našumo stebėsenai:</w:t>
            </w:r>
          </w:p>
          <w:p w14:paraId="64DB237F" w14:textId="77777777" w:rsidR="00322315" w:rsidRPr="003511A9" w:rsidRDefault="00322315" w:rsidP="00322315">
            <w:pPr>
              <w:numPr>
                <w:ilvl w:val="0"/>
                <w:numId w:val="10"/>
              </w:numPr>
              <w:spacing w:after="0" w:line="240" w:lineRule="auto"/>
              <w:rPr>
                <w:rFonts w:asciiTheme="majorBidi" w:eastAsiaTheme="minorEastAsia" w:hAnsiTheme="majorBidi" w:cstheme="majorBidi"/>
                <w:kern w:val="2"/>
                <w:sz w:val="22"/>
                <w:bdr w:val="none" w:sz="0" w:space="0" w:color="auto" w:frame="1"/>
                <w:lang w:val="lt-LT" w:eastAsia="lt-LT"/>
                <w14:ligatures w14:val="standardContextual"/>
              </w:rPr>
            </w:pPr>
            <w:r w:rsidRPr="003511A9">
              <w:rPr>
                <w:rFonts w:asciiTheme="majorBidi" w:hAnsiTheme="majorBidi" w:cstheme="majorBidi"/>
                <w:kern w:val="2"/>
                <w:sz w:val="22"/>
                <w:bdr w:val="none" w:sz="0" w:space="0" w:color="auto" w:frame="1"/>
                <w:lang w:val="lt-LT" w:eastAsia="lt-LT"/>
                <w14:ligatures w14:val="standardContextual"/>
              </w:rPr>
              <w:t xml:space="preserve">Privalo palaikyti realaus laiko ir istorinės informacijos rinkimą apie procesorių, operatyviosios atminties, diskų ir tinklo resursų panaudojimą. </w:t>
            </w:r>
          </w:p>
          <w:p w14:paraId="45EDBC44" w14:textId="77777777" w:rsidR="00322315" w:rsidRPr="003511A9" w:rsidRDefault="00322315" w:rsidP="00322315">
            <w:pPr>
              <w:numPr>
                <w:ilvl w:val="0"/>
                <w:numId w:val="10"/>
              </w:numPr>
              <w:spacing w:after="0" w:line="240" w:lineRule="auto"/>
              <w:rPr>
                <w:rFonts w:asciiTheme="majorBidi" w:hAnsiTheme="majorBidi" w:cstheme="majorBidi"/>
                <w:kern w:val="2"/>
                <w:sz w:val="22"/>
                <w:bdr w:val="none" w:sz="0" w:space="0" w:color="auto" w:frame="1"/>
                <w:lang w:val="lt-LT" w:eastAsia="lt-LT"/>
                <w14:ligatures w14:val="standardContextual"/>
              </w:rPr>
            </w:pPr>
            <w:r w:rsidRPr="003511A9">
              <w:rPr>
                <w:rFonts w:asciiTheme="majorBidi" w:hAnsiTheme="majorBidi" w:cstheme="majorBidi"/>
                <w:kern w:val="2"/>
                <w:sz w:val="22"/>
                <w:bdr w:val="none" w:sz="0" w:space="0" w:color="auto" w:frame="1"/>
                <w:lang w:val="lt-LT" w:eastAsia="lt-LT"/>
                <w14:ligatures w14:val="standardContextual"/>
              </w:rPr>
              <w:t>Privalo suteikti infrastruktūros našumo, rizikų ir talpos planavimo analizę bei prognozes.</w:t>
            </w:r>
          </w:p>
          <w:p w14:paraId="4C5C6394" w14:textId="77777777" w:rsidR="00322315" w:rsidRPr="003511A9" w:rsidRDefault="00322315" w:rsidP="00322315">
            <w:pPr>
              <w:numPr>
                <w:ilvl w:val="0"/>
                <w:numId w:val="10"/>
              </w:numPr>
              <w:spacing w:after="0" w:line="240" w:lineRule="auto"/>
              <w:rPr>
                <w:rFonts w:asciiTheme="majorBidi" w:hAnsiTheme="majorBidi" w:cstheme="majorBidi"/>
                <w:kern w:val="2"/>
                <w:sz w:val="22"/>
                <w:bdr w:val="none" w:sz="0" w:space="0" w:color="auto" w:frame="1"/>
                <w:lang w:val="lt-LT" w:eastAsia="lt-LT"/>
                <w14:ligatures w14:val="standardContextual"/>
              </w:rPr>
            </w:pPr>
            <w:r w:rsidRPr="003511A9">
              <w:rPr>
                <w:rFonts w:asciiTheme="majorBidi" w:hAnsiTheme="majorBidi" w:cstheme="majorBidi"/>
                <w:kern w:val="2"/>
                <w:sz w:val="22"/>
                <w:bdr w:val="none" w:sz="0" w:space="0" w:color="auto" w:frame="1"/>
                <w:lang w:val="lt-LT" w:eastAsia="lt-LT"/>
                <w14:ligatures w14:val="standardContextual"/>
              </w:rPr>
              <w:t>Privalo turėti licencijų naudojimo stebėsenos funkcionalumą, leidžiantį matyti licencijų vartojimą ir galimas neatitiktis.</w:t>
            </w:r>
          </w:p>
          <w:p w14:paraId="0F650DAB" w14:textId="77777777" w:rsidR="00322315" w:rsidRPr="003511A9" w:rsidRDefault="00322315" w:rsidP="00322315">
            <w:pPr>
              <w:numPr>
                <w:ilvl w:val="0"/>
                <w:numId w:val="10"/>
              </w:numPr>
              <w:spacing w:after="0" w:line="240" w:lineRule="auto"/>
              <w:rPr>
                <w:rFonts w:asciiTheme="majorBidi" w:hAnsiTheme="majorBidi" w:cstheme="majorBidi"/>
                <w:kern w:val="2"/>
                <w:sz w:val="22"/>
                <w:bdr w:val="none" w:sz="0" w:space="0" w:color="auto" w:frame="1"/>
                <w:lang w:val="lt-LT" w:eastAsia="lt-LT"/>
                <w14:ligatures w14:val="standardContextual"/>
              </w:rPr>
            </w:pPr>
            <w:r w:rsidRPr="003511A9">
              <w:rPr>
                <w:rFonts w:asciiTheme="majorBidi" w:hAnsiTheme="majorBidi" w:cstheme="majorBidi"/>
                <w:kern w:val="2"/>
                <w:sz w:val="22"/>
                <w:bdr w:val="none" w:sz="0" w:space="0" w:color="auto" w:frame="1"/>
                <w:lang w:val="lt-LT" w:eastAsia="lt-LT"/>
                <w14:ligatures w14:val="standardContextual"/>
              </w:rPr>
              <w:t>Privalo palaikyti integraciją su valdymo serveriu ir naudoti oficialias API.</w:t>
            </w:r>
          </w:p>
          <w:p w14:paraId="32CA17FD" w14:textId="77777777" w:rsidR="00322315" w:rsidRPr="003511A9" w:rsidRDefault="00322315" w:rsidP="00322315">
            <w:pPr>
              <w:numPr>
                <w:ilvl w:val="0"/>
                <w:numId w:val="10"/>
              </w:numPr>
              <w:spacing w:after="0" w:line="240" w:lineRule="auto"/>
              <w:rPr>
                <w:rFonts w:asciiTheme="majorBidi" w:hAnsiTheme="majorBidi" w:cstheme="majorBidi"/>
                <w:kern w:val="2"/>
                <w:sz w:val="22"/>
                <w:bdr w:val="none" w:sz="0" w:space="0" w:color="auto" w:frame="1"/>
                <w:lang w:val="lt-LT" w:eastAsia="lt-LT"/>
                <w14:ligatures w14:val="standardContextual"/>
              </w:rPr>
            </w:pPr>
            <w:r w:rsidRPr="003511A9">
              <w:rPr>
                <w:rFonts w:asciiTheme="majorBidi" w:hAnsiTheme="majorBidi" w:cstheme="majorBidi"/>
                <w:kern w:val="2"/>
                <w:sz w:val="22"/>
                <w:bdr w:val="none" w:sz="0" w:space="0" w:color="auto" w:frame="1"/>
                <w:lang w:val="lt-LT" w:eastAsia="lt-LT"/>
                <w14:ligatures w14:val="standardContextual"/>
              </w:rPr>
              <w:t>Privalo suteikti įspėjimų (alerts) ir ataskaitų generavimo funkcionalumą infrastruktūros būklės ir licencijų naudojimo stebėsenai.</w:t>
            </w:r>
          </w:p>
        </w:tc>
        <w:tc>
          <w:tcPr>
            <w:tcW w:w="1449" w:type="pct"/>
            <w:tcBorders>
              <w:top w:val="single" w:sz="4" w:space="0" w:color="auto"/>
              <w:left w:val="single" w:sz="4" w:space="0" w:color="auto"/>
              <w:bottom w:val="single" w:sz="4" w:space="0" w:color="auto"/>
              <w:right w:val="single" w:sz="4" w:space="0" w:color="auto"/>
            </w:tcBorders>
          </w:tcPr>
          <w:p w14:paraId="0E07079A" w14:textId="77777777" w:rsidR="00322315" w:rsidRPr="003511A9" w:rsidRDefault="00322315" w:rsidP="006D50DF">
            <w:pPr>
              <w:spacing w:after="120" w:line="240" w:lineRule="auto"/>
              <w:rPr>
                <w:rFonts w:cs="Times New Roman"/>
                <w:sz w:val="22"/>
                <w:lang w:val="lt-LT"/>
              </w:rPr>
            </w:pPr>
          </w:p>
        </w:tc>
      </w:tr>
      <w:tr w:rsidR="00322315" w:rsidRPr="003511A9" w14:paraId="10C4B8B1" w14:textId="77777777" w:rsidTr="003511A9">
        <w:trPr>
          <w:trHeight w:val="3750"/>
        </w:trPr>
        <w:tc>
          <w:tcPr>
            <w:tcW w:w="362" w:type="pct"/>
            <w:tcBorders>
              <w:top w:val="single" w:sz="4" w:space="0" w:color="auto"/>
              <w:left w:val="single" w:sz="4" w:space="0" w:color="auto"/>
              <w:bottom w:val="single" w:sz="4" w:space="0" w:color="auto"/>
              <w:right w:val="single" w:sz="4" w:space="0" w:color="auto"/>
            </w:tcBorders>
            <w:noWrap/>
          </w:tcPr>
          <w:p w14:paraId="3161A169"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097A06B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Virtualus tinklas ir operacijos</w:t>
            </w:r>
          </w:p>
        </w:tc>
        <w:tc>
          <w:tcPr>
            <w:tcW w:w="2247" w:type="pct"/>
            <w:tcBorders>
              <w:top w:val="single" w:sz="4" w:space="0" w:color="auto"/>
              <w:left w:val="single" w:sz="4" w:space="0" w:color="auto"/>
              <w:bottom w:val="single" w:sz="4" w:space="0" w:color="auto"/>
              <w:right w:val="single" w:sz="4" w:space="0" w:color="auto"/>
            </w:tcBorders>
          </w:tcPr>
          <w:p w14:paraId="295FB46E"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palaikomos šios savybės (įsigijus papildomas licencijas):</w:t>
            </w:r>
          </w:p>
          <w:p w14:paraId="5799AAAA" w14:textId="77777777" w:rsidR="00322315" w:rsidRPr="003511A9" w:rsidRDefault="00322315" w:rsidP="00322315">
            <w:pPr>
              <w:numPr>
                <w:ilvl w:val="0"/>
                <w:numId w:val="1"/>
              </w:numPr>
              <w:spacing w:after="120" w:line="240" w:lineRule="auto"/>
              <w:rPr>
                <w:rFonts w:cs="Times New Roman"/>
                <w:sz w:val="22"/>
                <w:lang w:val="lt-LT"/>
              </w:rPr>
            </w:pPr>
            <w:r w:rsidRPr="003511A9">
              <w:rPr>
                <w:rFonts w:cs="Times New Roman"/>
                <w:b/>
                <w:bCs/>
                <w:sz w:val="22"/>
                <w:lang w:val="lt-LT"/>
              </w:rPr>
              <w:t>Segment (L2)</w:t>
            </w:r>
            <w:r w:rsidRPr="003511A9">
              <w:rPr>
                <w:rFonts w:cs="Times New Roman"/>
                <w:sz w:val="22"/>
                <w:lang w:val="lt-LT"/>
              </w:rPr>
              <w:t> – loginis L2 tinklas VM ir Pod’ams; privalo jungtis prie vartų (angl. Gateway, Tier-0 arba Tier-1).</w:t>
            </w:r>
          </w:p>
          <w:p w14:paraId="3D351945" w14:textId="77777777" w:rsidR="00322315" w:rsidRPr="003511A9" w:rsidRDefault="00322315" w:rsidP="00322315">
            <w:pPr>
              <w:numPr>
                <w:ilvl w:val="0"/>
                <w:numId w:val="1"/>
              </w:numPr>
              <w:spacing w:after="120" w:line="240" w:lineRule="auto"/>
              <w:rPr>
                <w:rFonts w:cs="Times New Roman"/>
                <w:sz w:val="22"/>
                <w:lang w:val="lt-LT"/>
              </w:rPr>
            </w:pPr>
            <w:r w:rsidRPr="003511A9">
              <w:rPr>
                <w:rFonts w:cs="Times New Roman"/>
                <w:b/>
                <w:bCs/>
                <w:sz w:val="22"/>
                <w:lang w:val="lt-LT"/>
              </w:rPr>
              <w:t>Tier-0 Gateway (T0)</w:t>
            </w:r>
            <w:r w:rsidRPr="003511A9">
              <w:rPr>
                <w:rFonts w:cs="Times New Roman"/>
                <w:sz w:val="22"/>
                <w:lang w:val="lt-LT"/>
              </w:rPr>
              <w:t> – „šakniniai“ vartai, jungiantys virtualų tinklą su fiziniu tinklu; užtikrina north-south egress/ingress ryšį, palaiko BGP.</w:t>
            </w:r>
          </w:p>
          <w:p w14:paraId="391739EB" w14:textId="77777777" w:rsidR="00322315" w:rsidRPr="003511A9" w:rsidRDefault="00322315" w:rsidP="00322315">
            <w:pPr>
              <w:numPr>
                <w:ilvl w:val="0"/>
                <w:numId w:val="1"/>
              </w:numPr>
              <w:spacing w:after="120" w:line="240" w:lineRule="auto"/>
              <w:rPr>
                <w:rFonts w:cs="Times New Roman"/>
                <w:sz w:val="22"/>
                <w:lang w:val="lt-LT"/>
              </w:rPr>
            </w:pPr>
            <w:r w:rsidRPr="003511A9">
              <w:rPr>
                <w:rFonts w:cs="Times New Roman"/>
                <w:b/>
                <w:bCs/>
                <w:sz w:val="22"/>
                <w:lang w:val="lt-LT"/>
              </w:rPr>
              <w:t>Tier-1 Gateway (T1)</w:t>
            </w:r>
            <w:r w:rsidRPr="003511A9">
              <w:rPr>
                <w:rFonts w:cs="Times New Roman"/>
                <w:sz w:val="22"/>
                <w:lang w:val="lt-LT"/>
              </w:rPr>
              <w:t> – tenant arba aplikacijų lygmens maršrutizavimas; jungiasi prie T0; naudojamas kaip aplikacijų segmentų numatyti vartai (default gateway).</w:t>
            </w:r>
          </w:p>
          <w:p w14:paraId="4B15BBA5" w14:textId="77777777" w:rsidR="00322315" w:rsidRPr="003511A9" w:rsidRDefault="00322315" w:rsidP="00322315">
            <w:pPr>
              <w:numPr>
                <w:ilvl w:val="0"/>
                <w:numId w:val="1"/>
              </w:numPr>
              <w:spacing w:after="120" w:line="240" w:lineRule="auto"/>
              <w:rPr>
                <w:rFonts w:cs="Times New Roman"/>
                <w:sz w:val="22"/>
                <w:lang w:val="lt-LT"/>
              </w:rPr>
            </w:pPr>
            <w:r w:rsidRPr="003511A9">
              <w:rPr>
                <w:rFonts w:cs="Times New Roman"/>
                <w:b/>
                <w:bCs/>
                <w:sz w:val="22"/>
                <w:lang w:val="lt-LT"/>
              </w:rPr>
              <w:t xml:space="preserve">Daugiasluoksnė (multitier) topologija – </w:t>
            </w:r>
            <w:r w:rsidRPr="003511A9">
              <w:rPr>
                <w:rFonts w:cs="Times New Roman"/>
                <w:sz w:val="22"/>
                <w:lang w:val="lt-LT"/>
              </w:rPr>
              <w:t>T0 + T1, segmentai prijungti prie T1 (tipinis dizainas).</w:t>
            </w:r>
          </w:p>
        </w:tc>
        <w:tc>
          <w:tcPr>
            <w:tcW w:w="1449" w:type="pct"/>
            <w:tcBorders>
              <w:top w:val="single" w:sz="4" w:space="0" w:color="auto"/>
              <w:left w:val="single" w:sz="4" w:space="0" w:color="auto"/>
              <w:bottom w:val="single" w:sz="4" w:space="0" w:color="auto"/>
              <w:right w:val="single" w:sz="4" w:space="0" w:color="auto"/>
            </w:tcBorders>
          </w:tcPr>
          <w:p w14:paraId="1BCC8987" w14:textId="77777777" w:rsidR="00322315" w:rsidRPr="003511A9" w:rsidRDefault="00322315" w:rsidP="006D50DF">
            <w:pPr>
              <w:spacing w:after="120" w:line="240" w:lineRule="auto"/>
              <w:rPr>
                <w:rFonts w:cs="Times New Roman"/>
                <w:sz w:val="22"/>
                <w:lang w:val="lt-LT"/>
              </w:rPr>
            </w:pPr>
          </w:p>
        </w:tc>
      </w:tr>
      <w:tr w:rsidR="00322315" w:rsidRPr="003511A9" w14:paraId="48481688"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5EE1E10"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B043BC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Tinklo funkcijos</w:t>
            </w:r>
          </w:p>
        </w:tc>
        <w:tc>
          <w:tcPr>
            <w:tcW w:w="2247" w:type="pct"/>
            <w:tcBorders>
              <w:top w:val="single" w:sz="4" w:space="0" w:color="auto"/>
              <w:left w:val="single" w:sz="4" w:space="0" w:color="auto"/>
              <w:bottom w:val="single" w:sz="4" w:space="0" w:color="auto"/>
              <w:right w:val="single" w:sz="4" w:space="0" w:color="auto"/>
            </w:tcBorders>
          </w:tcPr>
          <w:p w14:paraId="6C75433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palaikyti šias tinklo funkcijas (įsigijus papildomas licencijas):</w:t>
            </w:r>
          </w:p>
          <w:p w14:paraId="699F6DD0" w14:textId="77777777" w:rsidR="00322315" w:rsidRPr="003511A9" w:rsidRDefault="00322315" w:rsidP="00322315">
            <w:pPr>
              <w:numPr>
                <w:ilvl w:val="0"/>
                <w:numId w:val="13"/>
              </w:numPr>
              <w:spacing w:after="120" w:line="240" w:lineRule="auto"/>
              <w:rPr>
                <w:rFonts w:cs="Times New Roman"/>
                <w:b/>
                <w:bCs/>
                <w:sz w:val="22"/>
                <w:lang w:val="lt-LT"/>
              </w:rPr>
            </w:pPr>
            <w:r w:rsidRPr="003511A9">
              <w:rPr>
                <w:rFonts w:cs="Times New Roman"/>
                <w:b/>
                <w:bCs/>
                <w:sz w:val="22"/>
                <w:lang w:val="lt-LT"/>
              </w:rPr>
              <w:t xml:space="preserve">Logical Switching (overlay) – </w:t>
            </w:r>
            <w:r w:rsidRPr="003511A9">
              <w:rPr>
                <w:rFonts w:cs="Times New Roman"/>
                <w:sz w:val="22"/>
                <w:lang w:val="lt-LT"/>
              </w:rPr>
              <w:t>L2 overlay virš L3 fabric (leidžia išplėsti L2 per maršrutizuotą fizinį tinklą).</w:t>
            </w:r>
          </w:p>
          <w:p w14:paraId="2444BBA0" w14:textId="77777777" w:rsidR="00322315" w:rsidRPr="003511A9" w:rsidRDefault="00322315" w:rsidP="00322315">
            <w:pPr>
              <w:numPr>
                <w:ilvl w:val="0"/>
                <w:numId w:val="13"/>
              </w:numPr>
              <w:spacing w:after="120" w:line="240" w:lineRule="auto"/>
              <w:rPr>
                <w:rFonts w:cs="Times New Roman"/>
                <w:sz w:val="22"/>
                <w:lang w:val="lt-LT"/>
              </w:rPr>
            </w:pPr>
            <w:r w:rsidRPr="003511A9">
              <w:rPr>
                <w:rFonts w:cs="Times New Roman"/>
                <w:b/>
                <w:bCs/>
                <w:sz w:val="22"/>
                <w:lang w:val="lt-LT"/>
              </w:rPr>
              <w:t xml:space="preserve">Routing (distributed + scale-out) – </w:t>
            </w:r>
            <w:r w:rsidRPr="003511A9">
              <w:rPr>
                <w:rFonts w:cs="Times New Roman"/>
                <w:sz w:val="22"/>
                <w:lang w:val="lt-LT"/>
              </w:rPr>
              <w:t>paskirstytas maršrutizavimas hypervizoriuje + scale-out maršrutizavimas su active-active perjungimu į fizinius maršrutizatorius; palaiko statinius ir dinaminius maršrutizavimo protokolus bei IPv6.</w:t>
            </w:r>
          </w:p>
          <w:p w14:paraId="7BDEB4A6" w14:textId="77777777" w:rsidR="00322315" w:rsidRPr="003511A9" w:rsidRDefault="00322315" w:rsidP="00322315">
            <w:pPr>
              <w:numPr>
                <w:ilvl w:val="0"/>
                <w:numId w:val="13"/>
              </w:numPr>
              <w:spacing w:after="120" w:line="240" w:lineRule="auto"/>
              <w:rPr>
                <w:rFonts w:cs="Times New Roman"/>
                <w:sz w:val="22"/>
                <w:lang w:val="lt-LT"/>
              </w:rPr>
            </w:pPr>
            <w:r w:rsidRPr="003511A9">
              <w:rPr>
                <w:rFonts w:cs="Times New Roman"/>
                <w:b/>
                <w:bCs/>
                <w:sz w:val="22"/>
                <w:lang w:val="lt-LT"/>
              </w:rPr>
              <w:t xml:space="preserve">NSX Gateway (L2 bridging + L3 gateway) – </w:t>
            </w:r>
            <w:r w:rsidRPr="003511A9">
              <w:rPr>
                <w:rFonts w:cs="Times New Roman"/>
                <w:sz w:val="22"/>
                <w:lang w:val="lt-LT"/>
              </w:rPr>
              <w:t>L2 tiltas tarp fizinio VLAN ir virtualių tinklų bei L3 vartai su dinaminiu maršrutizavimu.</w:t>
            </w:r>
          </w:p>
          <w:p w14:paraId="29C5481B" w14:textId="68F11C90" w:rsidR="00322315" w:rsidRPr="003511A9" w:rsidRDefault="00322315" w:rsidP="00322315">
            <w:pPr>
              <w:numPr>
                <w:ilvl w:val="0"/>
                <w:numId w:val="13"/>
              </w:numPr>
              <w:spacing w:after="120" w:line="240" w:lineRule="auto"/>
              <w:rPr>
                <w:rFonts w:cs="Times New Roman"/>
                <w:sz w:val="22"/>
                <w:lang w:val="lt-LT"/>
              </w:rPr>
            </w:pPr>
            <w:r w:rsidRPr="003511A9">
              <w:rPr>
                <w:rFonts w:cs="Times New Roman"/>
                <w:b/>
                <w:bCs/>
                <w:sz w:val="22"/>
                <w:lang w:val="lt-LT"/>
              </w:rPr>
              <w:t xml:space="preserve">VRF – </w:t>
            </w:r>
            <w:r w:rsidRPr="003511A9">
              <w:rPr>
                <w:rFonts w:cs="Times New Roman"/>
                <w:sz w:val="22"/>
                <w:lang w:val="lt-LT"/>
              </w:rPr>
              <w:t>tenant duomenų izoliacija (atskiros maršrutizavimo lentelės, NAT, ).</w:t>
            </w:r>
          </w:p>
          <w:p w14:paraId="106BFAC5" w14:textId="77777777" w:rsidR="00322315" w:rsidRPr="003511A9" w:rsidRDefault="00322315" w:rsidP="00322315">
            <w:pPr>
              <w:numPr>
                <w:ilvl w:val="0"/>
                <w:numId w:val="13"/>
              </w:numPr>
              <w:spacing w:after="120" w:line="240" w:lineRule="auto"/>
              <w:rPr>
                <w:rFonts w:cs="Times New Roman"/>
                <w:b/>
                <w:bCs/>
                <w:sz w:val="22"/>
                <w:lang w:val="lt-LT"/>
              </w:rPr>
            </w:pPr>
            <w:r w:rsidRPr="003511A9">
              <w:rPr>
                <w:rFonts w:cs="Times New Roman"/>
                <w:b/>
                <w:bCs/>
                <w:sz w:val="22"/>
                <w:lang w:val="lt-LT"/>
              </w:rPr>
              <w:t xml:space="preserve">VPC (Virtual Private Cloud) – </w:t>
            </w:r>
            <w:r w:rsidRPr="003511A9">
              <w:rPr>
                <w:rFonts w:cs="Times New Roman"/>
                <w:sz w:val="22"/>
                <w:lang w:val="lt-LT"/>
              </w:rPr>
              <w:t>izoliuotas „virtualios privačios debesijos“ modelis su RBAC, kvotomis ir savitarnos resursais.</w:t>
            </w:r>
          </w:p>
          <w:p w14:paraId="19800B92" w14:textId="77777777" w:rsidR="00322315" w:rsidRPr="003511A9" w:rsidRDefault="00322315" w:rsidP="00322315">
            <w:pPr>
              <w:numPr>
                <w:ilvl w:val="0"/>
                <w:numId w:val="13"/>
              </w:numPr>
              <w:spacing w:after="120" w:line="240" w:lineRule="auto"/>
              <w:rPr>
                <w:rFonts w:cs="Times New Roman"/>
                <w:b/>
                <w:bCs/>
                <w:sz w:val="22"/>
                <w:lang w:val="lt-LT"/>
              </w:rPr>
            </w:pPr>
            <w:r w:rsidRPr="003511A9">
              <w:rPr>
                <w:rFonts w:cs="Times New Roman"/>
                <w:b/>
                <w:bCs/>
                <w:sz w:val="22"/>
                <w:lang w:val="lt-LT"/>
              </w:rPr>
              <w:t xml:space="preserve">Transit Gateway (TGW) – </w:t>
            </w:r>
            <w:r w:rsidRPr="003511A9">
              <w:rPr>
                <w:rFonts w:cs="Times New Roman"/>
                <w:sz w:val="22"/>
                <w:lang w:val="lt-LT"/>
              </w:rPr>
              <w:t>mazgas virtualios privačios debesijos (VPC) tarpusavio ir išorinei komunikacijai (paskirstytas arba centralizuotas režimas).</w:t>
            </w:r>
          </w:p>
          <w:p w14:paraId="604895C3" w14:textId="77777777" w:rsidR="00322315" w:rsidRPr="003511A9" w:rsidRDefault="00322315" w:rsidP="00322315">
            <w:pPr>
              <w:numPr>
                <w:ilvl w:val="0"/>
                <w:numId w:val="13"/>
              </w:numPr>
              <w:spacing w:after="120" w:line="240" w:lineRule="auto"/>
              <w:rPr>
                <w:rFonts w:cs="Times New Roman"/>
                <w:b/>
                <w:bCs/>
                <w:sz w:val="22"/>
                <w:lang w:val="lt-LT"/>
              </w:rPr>
            </w:pPr>
            <w:r w:rsidRPr="003511A9">
              <w:rPr>
                <w:rFonts w:cs="Times New Roman"/>
                <w:b/>
                <w:bCs/>
                <w:sz w:val="22"/>
                <w:lang w:val="lt-LT"/>
              </w:rPr>
              <w:t xml:space="preserve">VPN – </w:t>
            </w:r>
            <w:r w:rsidRPr="003511A9">
              <w:rPr>
                <w:rFonts w:cs="Times New Roman"/>
                <w:sz w:val="22"/>
                <w:lang w:val="lt-LT"/>
              </w:rPr>
              <w:t>ryšiai tarp lokacijų ir nevaldomų VPN debesijos šliuzų paslaugų.</w:t>
            </w:r>
          </w:p>
          <w:p w14:paraId="5BA63CBE" w14:textId="77777777" w:rsidR="00322315" w:rsidRPr="003511A9" w:rsidRDefault="00322315" w:rsidP="00322315">
            <w:pPr>
              <w:numPr>
                <w:ilvl w:val="0"/>
                <w:numId w:val="13"/>
              </w:numPr>
              <w:spacing w:after="120" w:line="240" w:lineRule="auto"/>
              <w:rPr>
                <w:rFonts w:cs="Times New Roman"/>
                <w:b/>
                <w:bCs/>
                <w:sz w:val="22"/>
                <w:lang w:val="lt-LT"/>
              </w:rPr>
            </w:pPr>
            <w:r w:rsidRPr="003511A9">
              <w:rPr>
                <w:rFonts w:cs="Times New Roman"/>
                <w:b/>
                <w:bCs/>
                <w:sz w:val="22"/>
                <w:lang w:val="lt-LT"/>
              </w:rPr>
              <w:lastRenderedPageBreak/>
              <w:t xml:space="preserve">Enhanced Data Path (EDP) – </w:t>
            </w:r>
            <w:r w:rsidRPr="003511A9">
              <w:rPr>
                <w:rFonts w:cs="Times New Roman"/>
                <w:sz w:val="22"/>
                <w:lang w:val="lt-LT"/>
              </w:rPr>
              <w:t>spartus (fast-path) srautų apdorojimas (pagerintas pralaidumas, pps, vėlinimas ir CPU efektyvumas).</w:t>
            </w:r>
          </w:p>
          <w:p w14:paraId="13753C3D" w14:textId="77777777" w:rsidR="00322315" w:rsidRPr="003511A9" w:rsidRDefault="00322315" w:rsidP="00322315">
            <w:pPr>
              <w:numPr>
                <w:ilvl w:val="0"/>
                <w:numId w:val="13"/>
              </w:numPr>
              <w:spacing w:after="120" w:line="240" w:lineRule="auto"/>
              <w:rPr>
                <w:rFonts w:cs="Times New Roman"/>
                <w:sz w:val="22"/>
                <w:lang w:val="lt-LT"/>
              </w:rPr>
            </w:pPr>
            <w:r w:rsidRPr="003511A9">
              <w:rPr>
                <w:rFonts w:cs="Times New Roman"/>
                <w:b/>
                <w:bCs/>
                <w:sz w:val="22"/>
                <w:lang w:val="lt-LT"/>
              </w:rPr>
              <w:t xml:space="preserve">DPU-based acceleration – </w:t>
            </w:r>
            <w:r w:rsidRPr="003511A9">
              <w:rPr>
                <w:rFonts w:cs="Times New Roman"/>
                <w:sz w:val="22"/>
                <w:lang w:val="lt-LT"/>
              </w:rPr>
              <w:t>virtualaus tinklo paslaugų nukėlimas į DPU (Data Processing Unit).</w:t>
            </w:r>
          </w:p>
        </w:tc>
        <w:tc>
          <w:tcPr>
            <w:tcW w:w="1449" w:type="pct"/>
            <w:tcBorders>
              <w:top w:val="single" w:sz="4" w:space="0" w:color="auto"/>
              <w:left w:val="single" w:sz="4" w:space="0" w:color="auto"/>
              <w:bottom w:val="single" w:sz="4" w:space="0" w:color="auto"/>
              <w:right w:val="single" w:sz="4" w:space="0" w:color="auto"/>
            </w:tcBorders>
          </w:tcPr>
          <w:p w14:paraId="1394A344" w14:textId="77777777" w:rsidR="00322315" w:rsidRPr="003511A9" w:rsidRDefault="00322315" w:rsidP="006D50DF">
            <w:pPr>
              <w:spacing w:after="120" w:line="240" w:lineRule="auto"/>
              <w:rPr>
                <w:rFonts w:cs="Times New Roman"/>
                <w:sz w:val="22"/>
                <w:lang w:val="lt-LT"/>
              </w:rPr>
            </w:pPr>
          </w:p>
        </w:tc>
      </w:tr>
      <w:tr w:rsidR="00322315" w:rsidRPr="003511A9" w14:paraId="7D46FF62"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D11576E"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D540EB1" w14:textId="6C2ACCD9"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 </w:t>
            </w:r>
            <w:r w:rsidR="586B2B5A" w:rsidRPr="003511A9">
              <w:rPr>
                <w:rFonts w:cs="Times New Roman"/>
                <w:sz w:val="22"/>
                <w:lang w:val="lt-LT"/>
              </w:rPr>
              <w:t>Konteinerių tinklo integracija</w:t>
            </w:r>
            <w:r w:rsidRPr="003511A9">
              <w:rPr>
                <w:rFonts w:cs="Times New Roman"/>
                <w:sz w:val="22"/>
                <w:lang w:val="lt-LT"/>
              </w:rPr>
              <w:t xml:space="preserve"> (Kubernetes)</w:t>
            </w:r>
          </w:p>
        </w:tc>
        <w:tc>
          <w:tcPr>
            <w:tcW w:w="2247" w:type="pct"/>
            <w:tcBorders>
              <w:top w:val="single" w:sz="4" w:space="0" w:color="auto"/>
              <w:left w:val="single" w:sz="4" w:space="0" w:color="auto"/>
              <w:bottom w:val="single" w:sz="4" w:space="0" w:color="auto"/>
              <w:right w:val="single" w:sz="4" w:space="0" w:color="auto"/>
            </w:tcBorders>
          </w:tcPr>
          <w:p w14:paraId="1CC4A68C"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palaikyti (įsigijus papildomas licencijas):</w:t>
            </w:r>
          </w:p>
          <w:p w14:paraId="3F360148" w14:textId="77777777" w:rsidR="00322315" w:rsidRPr="003511A9" w:rsidRDefault="00322315" w:rsidP="00322315">
            <w:pPr>
              <w:numPr>
                <w:ilvl w:val="0"/>
                <w:numId w:val="12"/>
              </w:numPr>
              <w:spacing w:after="120" w:line="240" w:lineRule="auto"/>
              <w:rPr>
                <w:rFonts w:cs="Times New Roman"/>
                <w:sz w:val="22"/>
                <w:lang w:val="lt-LT"/>
              </w:rPr>
            </w:pPr>
            <w:r w:rsidRPr="003511A9">
              <w:rPr>
                <w:rFonts w:cs="Times New Roman"/>
                <w:b/>
                <w:bCs/>
                <w:sz w:val="22"/>
                <w:lang w:val="lt-LT"/>
              </w:rPr>
              <w:t>NSX Container Plugin (NCP) VKS/TKGs</w:t>
            </w:r>
            <w:r w:rsidRPr="003511A9">
              <w:rPr>
                <w:rFonts w:cs="Times New Roman"/>
                <w:sz w:val="22"/>
                <w:lang w:val="lt-LT"/>
              </w:rPr>
              <w:t> – K8s tinklo integracija su VCF.</w:t>
            </w:r>
          </w:p>
          <w:p w14:paraId="15DBF862" w14:textId="77777777" w:rsidR="00322315" w:rsidRPr="003511A9" w:rsidRDefault="00322315" w:rsidP="00322315">
            <w:pPr>
              <w:numPr>
                <w:ilvl w:val="0"/>
                <w:numId w:val="12"/>
              </w:numPr>
              <w:spacing w:after="120" w:line="240" w:lineRule="auto"/>
              <w:rPr>
                <w:rFonts w:cs="Times New Roman"/>
                <w:sz w:val="22"/>
                <w:lang w:val="lt-LT"/>
              </w:rPr>
            </w:pPr>
            <w:r w:rsidRPr="003511A9">
              <w:rPr>
                <w:rFonts w:cs="Times New Roman"/>
                <w:b/>
                <w:bCs/>
                <w:sz w:val="22"/>
                <w:lang w:val="lt-LT"/>
              </w:rPr>
              <w:t>Container Networking with Antrea (CNI + NetworkPolicy)</w:t>
            </w:r>
            <w:r w:rsidRPr="003511A9">
              <w:rPr>
                <w:rFonts w:cs="Times New Roman"/>
                <w:sz w:val="22"/>
                <w:lang w:val="lt-LT"/>
              </w:rPr>
              <w:t> – Antrea įgyvendina CNI ir Kubernetes tinklo politikas, POD izoliacija.</w:t>
            </w:r>
          </w:p>
          <w:p w14:paraId="32D4772F" w14:textId="77777777" w:rsidR="00322315" w:rsidRPr="003511A9" w:rsidRDefault="00322315" w:rsidP="00322315">
            <w:pPr>
              <w:numPr>
                <w:ilvl w:val="0"/>
                <w:numId w:val="12"/>
              </w:numPr>
              <w:spacing w:after="120" w:line="240" w:lineRule="auto"/>
              <w:rPr>
                <w:rFonts w:cs="Times New Roman"/>
                <w:sz w:val="22"/>
                <w:lang w:val="lt-LT"/>
              </w:rPr>
            </w:pPr>
            <w:r w:rsidRPr="003511A9">
              <w:rPr>
                <w:rFonts w:cs="Times New Roman"/>
                <w:b/>
                <w:bCs/>
                <w:sz w:val="22"/>
                <w:lang w:val="lt-LT"/>
              </w:rPr>
              <w:t>Pod-to-pod traffic encryption</w:t>
            </w:r>
            <w:r w:rsidRPr="003511A9">
              <w:rPr>
                <w:rFonts w:cs="Times New Roman"/>
                <w:sz w:val="22"/>
                <w:lang w:val="lt-LT"/>
              </w:rPr>
              <w:t> – šifravimas tarp POD.</w:t>
            </w:r>
          </w:p>
          <w:p w14:paraId="1BED06AA" w14:textId="77777777" w:rsidR="00322315" w:rsidRPr="003511A9" w:rsidRDefault="00322315" w:rsidP="00322315">
            <w:pPr>
              <w:numPr>
                <w:ilvl w:val="0"/>
                <w:numId w:val="12"/>
              </w:numPr>
              <w:spacing w:after="120" w:line="240" w:lineRule="auto"/>
              <w:rPr>
                <w:rFonts w:cs="Times New Roman"/>
                <w:sz w:val="22"/>
                <w:lang w:val="lt-LT"/>
              </w:rPr>
            </w:pPr>
            <w:r w:rsidRPr="003511A9">
              <w:rPr>
                <w:rFonts w:cs="Times New Roman"/>
                <w:b/>
                <w:bCs/>
                <w:sz w:val="22"/>
                <w:lang w:val="lt-LT"/>
              </w:rPr>
              <w:t>Traceflow diagnostika</w:t>
            </w:r>
            <w:r w:rsidRPr="003511A9">
              <w:rPr>
                <w:rFonts w:cs="Times New Roman"/>
                <w:sz w:val="22"/>
                <w:lang w:val="lt-LT"/>
              </w:rPr>
              <w:t> – įrankis, kuris padeda matyti sujungimus ir priklausomybes (“paketo“ pagalba parodo kelią).</w:t>
            </w:r>
          </w:p>
          <w:p w14:paraId="0A76F873" w14:textId="68A66C8F" w:rsidR="00322315" w:rsidRPr="003511A9" w:rsidRDefault="00322315" w:rsidP="003511A9">
            <w:pPr>
              <w:numPr>
                <w:ilvl w:val="0"/>
                <w:numId w:val="12"/>
              </w:numPr>
              <w:spacing w:after="120" w:line="240" w:lineRule="auto"/>
              <w:rPr>
                <w:rFonts w:cs="Times New Roman"/>
                <w:sz w:val="22"/>
                <w:lang w:val="lt-LT"/>
              </w:rPr>
            </w:pPr>
            <w:r w:rsidRPr="003511A9">
              <w:rPr>
                <w:rFonts w:cs="Times New Roman"/>
                <w:b/>
                <w:bCs/>
                <w:sz w:val="22"/>
                <w:lang w:val="lt-LT"/>
              </w:rPr>
              <w:t>NSX + Antrea integracija</w:t>
            </w:r>
            <w:r w:rsidRPr="003511A9">
              <w:rPr>
                <w:rFonts w:cs="Times New Roman"/>
                <w:sz w:val="22"/>
                <w:lang w:val="lt-LT"/>
              </w:rPr>
              <w:t> – daugiaklasterinė politikų valdymas ir centralizuotas sujungimų trikčių šalinimas per NSX valdymo platformą (Traceflow).</w:t>
            </w:r>
          </w:p>
        </w:tc>
        <w:tc>
          <w:tcPr>
            <w:tcW w:w="1449" w:type="pct"/>
            <w:tcBorders>
              <w:top w:val="single" w:sz="4" w:space="0" w:color="auto"/>
              <w:left w:val="single" w:sz="4" w:space="0" w:color="auto"/>
              <w:bottom w:val="single" w:sz="4" w:space="0" w:color="auto"/>
              <w:right w:val="single" w:sz="4" w:space="0" w:color="auto"/>
            </w:tcBorders>
          </w:tcPr>
          <w:p w14:paraId="112616D7" w14:textId="77777777" w:rsidR="00322315" w:rsidRPr="003511A9" w:rsidRDefault="00322315" w:rsidP="006D50DF">
            <w:pPr>
              <w:spacing w:after="120" w:line="240" w:lineRule="auto"/>
              <w:rPr>
                <w:rFonts w:cs="Times New Roman"/>
                <w:sz w:val="22"/>
                <w:lang w:val="lt-LT"/>
              </w:rPr>
            </w:pPr>
          </w:p>
        </w:tc>
      </w:tr>
      <w:tr w:rsidR="00322315" w:rsidRPr="003511A9" w14:paraId="320ADD84"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7C0452B"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162A521F"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Valdymas ir automatizacija</w:t>
            </w:r>
          </w:p>
        </w:tc>
        <w:tc>
          <w:tcPr>
            <w:tcW w:w="2247" w:type="pct"/>
            <w:tcBorders>
              <w:top w:val="single" w:sz="4" w:space="0" w:color="auto"/>
              <w:left w:val="single" w:sz="4" w:space="0" w:color="auto"/>
              <w:bottom w:val="single" w:sz="4" w:space="0" w:color="auto"/>
              <w:right w:val="single" w:sz="4" w:space="0" w:color="auto"/>
            </w:tcBorders>
          </w:tcPr>
          <w:p w14:paraId="709D3E62"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palaikyti (įsigijus papildomas licencijas):</w:t>
            </w:r>
          </w:p>
          <w:p w14:paraId="5B6F2E9C" w14:textId="77777777" w:rsidR="00322315" w:rsidRPr="003511A9" w:rsidRDefault="00322315" w:rsidP="00322315">
            <w:pPr>
              <w:numPr>
                <w:ilvl w:val="0"/>
                <w:numId w:val="9"/>
              </w:numPr>
              <w:spacing w:after="120" w:line="240" w:lineRule="auto"/>
              <w:rPr>
                <w:rFonts w:cs="Times New Roman"/>
                <w:sz w:val="22"/>
                <w:lang w:val="lt-LT"/>
              </w:rPr>
            </w:pPr>
            <w:r w:rsidRPr="003511A9">
              <w:rPr>
                <w:rFonts w:cs="Times New Roman"/>
                <w:b/>
                <w:bCs/>
                <w:sz w:val="22"/>
                <w:lang w:val="lt-LT"/>
              </w:rPr>
              <w:t>Federation</w:t>
            </w:r>
            <w:r w:rsidRPr="003511A9">
              <w:rPr>
                <w:rFonts w:cs="Times New Roman"/>
                <w:sz w:val="22"/>
                <w:lang w:val="lt-LT"/>
              </w:rPr>
              <w:t xml:space="preserve"> – centralizuota politika ir vykdymo užtikrinimas per kelias lokacijas („single pane of glass“).</w:t>
            </w:r>
          </w:p>
          <w:p w14:paraId="535BFDFF" w14:textId="77777777" w:rsidR="00322315" w:rsidRPr="003511A9" w:rsidRDefault="00322315" w:rsidP="00322315">
            <w:pPr>
              <w:numPr>
                <w:ilvl w:val="0"/>
                <w:numId w:val="9"/>
              </w:numPr>
              <w:spacing w:after="120" w:line="240" w:lineRule="auto"/>
              <w:rPr>
                <w:rFonts w:cs="Times New Roman"/>
                <w:sz w:val="22"/>
                <w:lang w:val="lt-LT"/>
              </w:rPr>
            </w:pPr>
            <w:r w:rsidRPr="003511A9">
              <w:rPr>
                <w:rFonts w:cs="Times New Roman"/>
                <w:b/>
                <w:bCs/>
                <w:sz w:val="22"/>
                <w:lang w:val="lt-LT"/>
              </w:rPr>
              <w:t>Multi-tenancy / Projects</w:t>
            </w:r>
            <w:r w:rsidRPr="003511A9">
              <w:rPr>
                <w:rFonts w:cs="Times New Roman"/>
                <w:sz w:val="22"/>
                <w:lang w:val="lt-LT"/>
              </w:rPr>
              <w:t> – galimybė pasluagų tiekėjams kurti projektus, priskirti vartotojus/grupes, kvotas (galimybė vartotojams apriboti konfigūracijas).</w:t>
            </w:r>
          </w:p>
          <w:p w14:paraId="0B2C0BFD" w14:textId="77777777" w:rsidR="00322315" w:rsidRPr="003511A9" w:rsidRDefault="00322315" w:rsidP="00322315">
            <w:pPr>
              <w:numPr>
                <w:ilvl w:val="0"/>
                <w:numId w:val="9"/>
              </w:numPr>
              <w:spacing w:after="120" w:line="240" w:lineRule="auto"/>
              <w:rPr>
                <w:rFonts w:cs="Times New Roman"/>
                <w:sz w:val="22"/>
                <w:lang w:val="lt-LT"/>
              </w:rPr>
            </w:pPr>
            <w:r w:rsidRPr="003511A9">
              <w:rPr>
                <w:rFonts w:cs="Times New Roman"/>
                <w:b/>
                <w:bCs/>
                <w:sz w:val="22"/>
                <w:lang w:val="lt-LT"/>
              </w:rPr>
              <w:t>Modern REST API</w:t>
            </w:r>
            <w:r w:rsidRPr="003511A9">
              <w:rPr>
                <w:rFonts w:cs="Times New Roman"/>
                <w:sz w:val="22"/>
                <w:lang w:val="lt-LT"/>
              </w:rPr>
              <w:t> – REST/JSON integracijoms ir automatizacijai.</w:t>
            </w:r>
          </w:p>
          <w:p w14:paraId="33D48F0D" w14:textId="77777777" w:rsidR="00322315" w:rsidRPr="003511A9" w:rsidRDefault="00322315" w:rsidP="00322315">
            <w:pPr>
              <w:numPr>
                <w:ilvl w:val="0"/>
                <w:numId w:val="9"/>
              </w:numPr>
              <w:spacing w:after="120" w:line="240" w:lineRule="auto"/>
              <w:rPr>
                <w:rFonts w:cs="Times New Roman"/>
                <w:sz w:val="22"/>
                <w:lang w:val="lt-LT"/>
              </w:rPr>
            </w:pPr>
            <w:r w:rsidRPr="003511A9">
              <w:rPr>
                <w:rFonts w:cs="Times New Roman"/>
                <w:b/>
                <w:bCs/>
                <w:sz w:val="22"/>
                <w:lang w:val="lt-LT"/>
              </w:rPr>
              <w:t>Automation integracijos</w:t>
            </w:r>
            <w:r w:rsidRPr="003511A9">
              <w:rPr>
                <w:rFonts w:cs="Times New Roman"/>
                <w:sz w:val="22"/>
                <w:lang w:val="lt-LT"/>
              </w:rPr>
              <w:t> – privačios debesijos automatizacija, bei Terraform provider ir PowerShell palaikymas.</w:t>
            </w:r>
          </w:p>
          <w:p w14:paraId="7C80AAA7" w14:textId="77777777" w:rsidR="00322315" w:rsidRPr="003511A9" w:rsidRDefault="00322315" w:rsidP="00322315">
            <w:pPr>
              <w:numPr>
                <w:ilvl w:val="0"/>
                <w:numId w:val="9"/>
              </w:numPr>
              <w:spacing w:after="120" w:line="240" w:lineRule="auto"/>
              <w:rPr>
                <w:rFonts w:cs="Times New Roman"/>
                <w:sz w:val="22"/>
                <w:lang w:val="lt-LT"/>
              </w:rPr>
            </w:pPr>
            <w:r w:rsidRPr="003511A9">
              <w:rPr>
                <w:rFonts w:cs="Times New Roman"/>
                <w:b/>
                <w:bCs/>
                <w:sz w:val="22"/>
                <w:lang w:val="lt-LT"/>
              </w:rPr>
              <w:t>Network Ops įrankiai</w:t>
            </w:r>
            <w:r w:rsidRPr="003511A9">
              <w:rPr>
                <w:rFonts w:cs="Times New Roman"/>
                <w:sz w:val="22"/>
                <w:lang w:val="lt-LT"/>
              </w:rPr>
              <w:t> – centrinė komandinė eilutė (angl. CLI), Traceflow, overlay logical SPAN, IPFIX, System Health (manager/transport/edge).</w:t>
            </w:r>
          </w:p>
        </w:tc>
        <w:tc>
          <w:tcPr>
            <w:tcW w:w="1449" w:type="pct"/>
            <w:tcBorders>
              <w:top w:val="single" w:sz="4" w:space="0" w:color="auto"/>
              <w:left w:val="single" w:sz="4" w:space="0" w:color="auto"/>
              <w:bottom w:val="single" w:sz="4" w:space="0" w:color="auto"/>
              <w:right w:val="single" w:sz="4" w:space="0" w:color="auto"/>
            </w:tcBorders>
          </w:tcPr>
          <w:p w14:paraId="6F1FCD10" w14:textId="77777777" w:rsidR="00322315" w:rsidRPr="003511A9" w:rsidRDefault="00322315" w:rsidP="006D50DF">
            <w:pPr>
              <w:spacing w:after="120" w:line="240" w:lineRule="auto"/>
              <w:rPr>
                <w:rFonts w:cs="Times New Roman"/>
                <w:sz w:val="22"/>
                <w:lang w:val="lt-LT"/>
              </w:rPr>
            </w:pPr>
          </w:p>
        </w:tc>
      </w:tr>
      <w:tr w:rsidR="00322315" w:rsidRPr="00D02428" w14:paraId="1AFF6302"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65E0F0C9"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0182351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Centralizuota telkinio valdymo sistema</w:t>
            </w:r>
          </w:p>
        </w:tc>
        <w:tc>
          <w:tcPr>
            <w:tcW w:w="2247" w:type="pct"/>
            <w:tcBorders>
              <w:top w:val="single" w:sz="4" w:space="0" w:color="auto"/>
              <w:left w:val="single" w:sz="4" w:space="0" w:color="auto"/>
              <w:bottom w:val="single" w:sz="4" w:space="0" w:color="auto"/>
              <w:right w:val="single" w:sz="4" w:space="0" w:color="auto"/>
            </w:tcBorders>
          </w:tcPr>
          <w:p w14:paraId="7B3ADC8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pateikta centralizuoto telkinio valdymo programinės įrangos sistema. Iš vienos konsolės privalo atlikti tokias funkcijas:</w:t>
            </w:r>
          </w:p>
          <w:p w14:paraId="1C2A79CA"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Automatizuoti telkinio paruošimą darbui, vedlių pagalba atliekant pradinius konfigūravimo darbus;</w:t>
            </w:r>
          </w:p>
          <w:p w14:paraId="248F047D"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Stebėti atskirų aparatinės įrangos komponentų, atskirų mazgų bei bendrą telkinio būseną, greitaveiką ir informuoti apie sutrikimus;</w:t>
            </w:r>
          </w:p>
          <w:p w14:paraId="1DABFB8A"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Valdyti ir automatizuoti papildomų mazgų įtraukimą į telkinį;</w:t>
            </w:r>
          </w:p>
          <w:p w14:paraId="69DDA596"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Kreiptis į įrangos gamintojo techninės pagalbos tarnybą užregistruojant gedimą, registruoti gedimą;</w:t>
            </w:r>
          </w:p>
          <w:p w14:paraId="77265E21"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Telkinio atnaujinimas privalo būti atliekamas kaip viena operacija, apimanti visos telkinio aparatinės (BIOS, diskų valdiklių, tinklo adapterių ir kt. komponentų mikrokodų bei tvarkyklių) ir visos programinės įrangos (vCenter Server, hipervizoriaus, virtualios duomenų saugyklos programinės įrangos (SDS), telkinio valdymo posistemės ir kt.) automatizuotą atnaujinimą kartu (angl. „full stack upgrade“);</w:t>
            </w:r>
          </w:p>
          <w:p w14:paraId="15F614BF"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Telkinio atnaujinimas privalo būti vykdomas nestabdant telkinio darbo ir atliekamas tiesiogiai iš VMware vCenter Server;</w:t>
            </w:r>
          </w:p>
          <w:p w14:paraId="1C86A780"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Prieš atnaujinant telkinį, privalo būti vykdomas automatinis visos aparatinės (BIOS, diskų valdiklių, tinklo adapterių ir kt. komponentų mikrokodų bei tvarkyklių) ir visos programinės (VMware vCenter Server, hipervizoriaus, virtualios duomenų saugyklos programinės įrangos, telkinio valdymo posistemės ir kt.) įrangos tarpusavio suderinamumo tikrinimas, kuris vykdomas tiesiogiai iš VMware vCenter Server.</w:t>
            </w:r>
          </w:p>
          <w:p w14:paraId="74D4913E"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Valdymo sistema privalo būti įdiegta gamykloje (virtualios mašinos formoje) ir paruošta naudoti įjungus telkinio mazgus, pasiekiama interneto naršyklės pagalba.</w:t>
            </w:r>
          </w:p>
        </w:tc>
        <w:tc>
          <w:tcPr>
            <w:tcW w:w="1449" w:type="pct"/>
            <w:tcBorders>
              <w:top w:val="single" w:sz="4" w:space="0" w:color="auto"/>
              <w:left w:val="single" w:sz="4" w:space="0" w:color="auto"/>
              <w:bottom w:val="single" w:sz="4" w:space="0" w:color="auto"/>
              <w:right w:val="single" w:sz="4" w:space="0" w:color="auto"/>
            </w:tcBorders>
          </w:tcPr>
          <w:p w14:paraId="19D4FD20" w14:textId="77777777" w:rsidR="00322315" w:rsidRPr="003511A9" w:rsidRDefault="00322315" w:rsidP="006D50DF">
            <w:pPr>
              <w:spacing w:after="120" w:line="240" w:lineRule="auto"/>
              <w:rPr>
                <w:rFonts w:cs="Times New Roman"/>
                <w:sz w:val="22"/>
                <w:lang w:val="lt-LT"/>
              </w:rPr>
            </w:pPr>
          </w:p>
        </w:tc>
      </w:tr>
      <w:tr w:rsidR="00322315" w:rsidRPr="00D02428" w14:paraId="77D69388"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28607E9"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7AEA5AB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Telkinio būklės stebėjimas ir analitika</w:t>
            </w:r>
          </w:p>
        </w:tc>
        <w:tc>
          <w:tcPr>
            <w:tcW w:w="2247" w:type="pct"/>
            <w:tcBorders>
              <w:top w:val="single" w:sz="4" w:space="0" w:color="auto"/>
              <w:left w:val="single" w:sz="4" w:space="0" w:color="auto"/>
              <w:bottom w:val="single" w:sz="4" w:space="0" w:color="auto"/>
              <w:right w:val="single" w:sz="4" w:space="0" w:color="auto"/>
            </w:tcBorders>
          </w:tcPr>
          <w:p w14:paraId="0BA7465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pateikta ir įdiegta vieninga  programinė įranga arba debesijos paslauga, skirta centralizuotam telkinio fizinės ir virtualios infrastruktūros veikimo bei greitaveikos stebėjimui ir sutrikimų identifikavimui, užtikrinanti:</w:t>
            </w:r>
          </w:p>
          <w:p w14:paraId="2B418CD6"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lastRenderedPageBreak/>
              <w:t>Esamos ir praeities būklės įvertinimą (angl. „Health Checks“) bei gedimų šalinimo rekomendacijas, kartu pateikiant problemų priežastis ir nuorodas į galimų sprendimų žinių bazę, vertinimą atliekant viso sprendimo (t.y. visų sprendimą sudarančių telkinių lygmenyje), vieno telkinio ar vieno mazgo lygmenyse pasirinktinai;</w:t>
            </w:r>
          </w:p>
          <w:p w14:paraId="0CC4A771"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Techninės įrangos (CPU, RAM, tinklo jungčių, duomenų saugyklos talpos) panaudojimo, apkrovų analizę bei anomalijų aptikimą;</w:t>
            </w:r>
          </w:p>
          <w:p w14:paraId="6F584847"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Virtualizacijos telkinio ir atskirų jo komponentų  (įskaitant VM) stebėseną, pagrindinių parametrų atvaizdavimą, problemų įvardijimą ir kilmės šaltinių identifikavimą;</w:t>
            </w:r>
          </w:p>
          <w:p w14:paraId="28D9CEC5"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Atnaujinimo proceso supaprastinimą, analizuojant viso telkinio (arba telkinių)  būseną, pateikiant iš anksto gamintojo patikrintus individualius, gamintojo suderinamumą užtikrinančius atnaujinimus, jų diegimo eiliškumą bei sąlygas;</w:t>
            </w:r>
          </w:p>
          <w:p w14:paraId="46DE2286"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Dirbtiniu intelektu paremtą techninės įrangos resursų (pvz. duomenų saugyklos talpos užpildymo) panaudojimo prognozę ateičiai.</w:t>
            </w:r>
          </w:p>
          <w:p w14:paraId="52DF490B" w14:textId="77777777" w:rsidR="00322315" w:rsidRPr="003511A9" w:rsidRDefault="00322315" w:rsidP="00322315">
            <w:pPr>
              <w:numPr>
                <w:ilvl w:val="0"/>
                <w:numId w:val="2"/>
              </w:numPr>
              <w:spacing w:after="120" w:line="240" w:lineRule="auto"/>
              <w:rPr>
                <w:rFonts w:cs="Times New Roman"/>
                <w:sz w:val="22"/>
                <w:lang w:val="lt-LT"/>
              </w:rPr>
            </w:pPr>
            <w:r w:rsidRPr="003511A9">
              <w:rPr>
                <w:rFonts w:cs="Times New Roman"/>
                <w:sz w:val="22"/>
                <w:lang w:val="lt-LT"/>
              </w:rPr>
              <w:t>Duomenys privalo būti pateikiami grafiškai, įvairiais pjūviais (pagal laiko periodą, saugyklos elementus). Privalo būti pateikta pilnaverčiam ir maksimaliai detaliam ilgalaikiam (ne trumpesniam kaip 2 metai) statistinių duomenų saugojimui ir vizualizavimui reikalinga talpa.</w:t>
            </w:r>
          </w:p>
        </w:tc>
        <w:tc>
          <w:tcPr>
            <w:tcW w:w="1449" w:type="pct"/>
            <w:tcBorders>
              <w:top w:val="single" w:sz="4" w:space="0" w:color="auto"/>
              <w:left w:val="single" w:sz="4" w:space="0" w:color="auto"/>
              <w:bottom w:val="single" w:sz="4" w:space="0" w:color="auto"/>
              <w:right w:val="single" w:sz="4" w:space="0" w:color="auto"/>
            </w:tcBorders>
          </w:tcPr>
          <w:p w14:paraId="5B020715" w14:textId="77777777" w:rsidR="00322315" w:rsidRPr="003511A9" w:rsidRDefault="00322315" w:rsidP="006D50DF">
            <w:pPr>
              <w:spacing w:after="120" w:line="240" w:lineRule="auto"/>
              <w:rPr>
                <w:rFonts w:cs="Times New Roman"/>
                <w:sz w:val="22"/>
                <w:lang w:val="lt-LT"/>
              </w:rPr>
            </w:pPr>
          </w:p>
        </w:tc>
      </w:tr>
      <w:tr w:rsidR="00322315" w:rsidRPr="00D02428" w14:paraId="014A0C6A"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DE6BF9D"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1851E9F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Telkinio mazgų sisteminis valdymas</w:t>
            </w:r>
          </w:p>
        </w:tc>
        <w:tc>
          <w:tcPr>
            <w:tcW w:w="2247" w:type="pct"/>
            <w:tcBorders>
              <w:top w:val="single" w:sz="4" w:space="0" w:color="auto"/>
              <w:left w:val="single" w:sz="4" w:space="0" w:color="auto"/>
              <w:bottom w:val="single" w:sz="4" w:space="0" w:color="auto"/>
              <w:right w:val="single" w:sz="4" w:space="0" w:color="auto"/>
            </w:tcBorders>
          </w:tcPr>
          <w:p w14:paraId="1988786D" w14:textId="77777777" w:rsidR="00322315" w:rsidRPr="003511A9" w:rsidRDefault="00322315" w:rsidP="006D50DF">
            <w:pPr>
              <w:rPr>
                <w:rFonts w:cs="Times New Roman"/>
                <w:sz w:val="22"/>
                <w:lang w:val="lt-LT"/>
              </w:rPr>
            </w:pPr>
            <w:r w:rsidRPr="003511A9">
              <w:rPr>
                <w:rFonts w:cs="Times New Roman"/>
                <w:sz w:val="22"/>
                <w:lang w:val="lt-LT"/>
              </w:rPr>
              <w:t>Privalo būti dedikuotas, nepriklausantis nuo operacinės sistemos valdymo kontroleris, turintis dedikuotą valdymo tinklo jungtį 100/1000BaseT Ethernet RJ-45 prievadą.</w:t>
            </w:r>
          </w:p>
          <w:p w14:paraId="2380B81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Privalo būti palaikomos savybės: RedFish, DCMI, virtuali, nepriklausanti nuo operacijų sistemos, nutolusi tekstinė ir grafinė konsolė HTL5 pagrindu, nuotolinis serverio maitinimo įjungimas/išjungimas,  SSL saugumas, mazgo valdymas per interneto naršyklę. </w:t>
            </w:r>
          </w:p>
          <w:p w14:paraId="1C229FE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Privalo būti aparatinės dalies būklės stebėjimas be operacinės sistemos. Stebimi parametrai ir komponentai: temperatūra, CPU, operatyvinė atmintis, vidiniai diskai, ventiliatoriai, tinklo kontroleriai. Privalo integruotis į VMware vCenter Server - perduodama informacija apie </w:t>
            </w:r>
            <w:r w:rsidRPr="003511A9">
              <w:rPr>
                <w:rFonts w:cs="Times New Roman"/>
                <w:sz w:val="22"/>
                <w:lang w:val="lt-LT"/>
              </w:rPr>
              <w:lastRenderedPageBreak/>
              <w:t>temperatūrą, CPU, operatyvinę atmintį, vidinius diskus, ventiliatorius, tinklo kontrolerius.</w:t>
            </w:r>
          </w:p>
          <w:p w14:paraId="775C0839"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nepriklausomas nuo operacinės sistemos pranešimų siuntimas elektroniniu paštu.</w:t>
            </w:r>
          </w:p>
          <w:p w14:paraId="20B46739"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būti galimybė prisijungi ne mažiau kaip 2 nutolusiems vartotojams vienu metu ir dalintis konsolės seansu.</w:t>
            </w:r>
          </w:p>
          <w:p w14:paraId="43E8BA91"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Privalo palaikyti: virtualų CD/DVD (galimybė naudoti nutolusio kompiuterio CD/DVD, CD/DVD atvaizdą ir USB duomenų laikmeną kaip serverio), virtualią KVM, vartotojų autentifikavimą per LDAP tarnybą /MS Active Directory.</w:t>
            </w:r>
          </w:p>
        </w:tc>
        <w:tc>
          <w:tcPr>
            <w:tcW w:w="1449" w:type="pct"/>
            <w:tcBorders>
              <w:top w:val="single" w:sz="4" w:space="0" w:color="auto"/>
              <w:left w:val="single" w:sz="4" w:space="0" w:color="auto"/>
              <w:bottom w:val="single" w:sz="4" w:space="0" w:color="auto"/>
              <w:right w:val="single" w:sz="4" w:space="0" w:color="auto"/>
            </w:tcBorders>
          </w:tcPr>
          <w:p w14:paraId="524A23BE" w14:textId="77777777" w:rsidR="00322315" w:rsidRPr="003511A9" w:rsidRDefault="00322315" w:rsidP="006D50DF">
            <w:pPr>
              <w:spacing w:after="120" w:line="240" w:lineRule="auto"/>
              <w:rPr>
                <w:rFonts w:cs="Times New Roman"/>
                <w:sz w:val="22"/>
                <w:lang w:val="lt-LT"/>
              </w:rPr>
            </w:pPr>
          </w:p>
        </w:tc>
      </w:tr>
      <w:tr w:rsidR="00322315" w:rsidRPr="003511A9" w14:paraId="7C2753B3"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10CAF090"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547B84A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Maitinimas</w:t>
            </w:r>
          </w:p>
        </w:tc>
        <w:tc>
          <w:tcPr>
            <w:tcW w:w="2247" w:type="pct"/>
            <w:tcBorders>
              <w:top w:val="single" w:sz="4" w:space="0" w:color="auto"/>
              <w:left w:val="single" w:sz="4" w:space="0" w:color="auto"/>
              <w:bottom w:val="single" w:sz="4" w:space="0" w:color="auto"/>
              <w:right w:val="single" w:sz="4" w:space="0" w:color="auto"/>
            </w:tcBorders>
          </w:tcPr>
          <w:p w14:paraId="219DC75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Pritaikytas maitinimui iš ne mažiau kaip  230V 50Hz vienfazio kintamosios srovės elektros tinklo. Karšto keitimo (angl. „Hot-plug“) dubliuoti maitinimo šaltiniai (2 vnt.). Galingumas privalo būti pakankamas užtikrinti tarnybinės stoties darbingumą net ir sutrikus vieno iš šaltinių veiklai net ir tuo atveju, jei atminties ir diskų įrenginių vietos būtų visos užpildytos. Sutrikus vieno iš maitinimo šaltinių veiklai, tarnybinės stoties greitaveika neturi sumažėti.</w:t>
            </w:r>
          </w:p>
        </w:tc>
        <w:tc>
          <w:tcPr>
            <w:tcW w:w="1449" w:type="pct"/>
            <w:tcBorders>
              <w:top w:val="single" w:sz="4" w:space="0" w:color="auto"/>
              <w:left w:val="single" w:sz="4" w:space="0" w:color="auto"/>
              <w:bottom w:val="single" w:sz="4" w:space="0" w:color="auto"/>
              <w:right w:val="single" w:sz="4" w:space="0" w:color="auto"/>
            </w:tcBorders>
          </w:tcPr>
          <w:p w14:paraId="3CF41DC8" w14:textId="77777777" w:rsidR="00322315" w:rsidRPr="003511A9" w:rsidRDefault="00322315" w:rsidP="006D50DF">
            <w:pPr>
              <w:spacing w:after="120" w:line="240" w:lineRule="auto"/>
              <w:rPr>
                <w:rFonts w:cs="Times New Roman"/>
                <w:sz w:val="22"/>
                <w:lang w:val="lt-LT"/>
              </w:rPr>
            </w:pPr>
          </w:p>
        </w:tc>
      </w:tr>
      <w:tr w:rsidR="00322315" w:rsidRPr="003511A9" w14:paraId="575525A2"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0BC2F643"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516E221C"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Telkinio mazgo korpusas </w:t>
            </w:r>
          </w:p>
        </w:tc>
        <w:tc>
          <w:tcPr>
            <w:tcW w:w="2247" w:type="pct"/>
            <w:tcBorders>
              <w:top w:val="single" w:sz="4" w:space="0" w:color="auto"/>
              <w:left w:val="single" w:sz="4" w:space="0" w:color="auto"/>
              <w:bottom w:val="single" w:sz="4" w:space="0" w:color="auto"/>
              <w:right w:val="single" w:sz="4" w:space="0" w:color="auto"/>
            </w:tcBorders>
          </w:tcPr>
          <w:p w14:paraId="091F67B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Aukštis ne didesnis nei 2U.</w:t>
            </w:r>
          </w:p>
          <w:p w14:paraId="14DB6FCA" w14:textId="77777777" w:rsidR="00322315" w:rsidRPr="003511A9" w:rsidRDefault="00322315" w:rsidP="006D50DF">
            <w:pPr>
              <w:spacing w:after="120" w:line="240" w:lineRule="auto"/>
              <w:rPr>
                <w:rFonts w:cs="Times New Roman"/>
                <w:color w:val="000000"/>
                <w:sz w:val="22"/>
                <w:lang w:val="lt-LT" w:eastAsia="lt-LT"/>
              </w:rPr>
            </w:pPr>
            <w:r w:rsidRPr="003511A9">
              <w:rPr>
                <w:rFonts w:cs="Times New Roman"/>
                <w:sz w:val="22"/>
                <w:lang w:val="lt-LT"/>
              </w:rPr>
              <w:t>Tinkamas montavimui į standartinę 19“ colių montažinę spintą su slankiais, pilnai ištraukiamais laikikliais ir visais montavimui reikalingais priedais (bėgiai, tvirtinimo elementai).</w:t>
            </w:r>
          </w:p>
          <w:p w14:paraId="415C5FB7" w14:textId="77777777" w:rsidR="00322315" w:rsidRPr="003511A9" w:rsidRDefault="00322315" w:rsidP="006D50DF">
            <w:pPr>
              <w:spacing w:after="120" w:line="240" w:lineRule="auto"/>
              <w:rPr>
                <w:rFonts w:cs="Times New Roman"/>
                <w:color w:val="000000"/>
                <w:sz w:val="22"/>
                <w:lang w:val="lt-LT" w:eastAsia="lt-LT"/>
              </w:rPr>
            </w:pPr>
            <w:r w:rsidRPr="003511A9">
              <w:rPr>
                <w:rFonts w:cs="Times New Roman"/>
                <w:sz w:val="22"/>
                <w:lang w:val="lt-LT"/>
              </w:rPr>
              <w:t>Privalo būti LCD arba LED gedimų indikacijos ir lokalizacijos sistema korpuso išorėje (priekinėje serverio panelėje).</w:t>
            </w:r>
          </w:p>
        </w:tc>
        <w:tc>
          <w:tcPr>
            <w:tcW w:w="1449" w:type="pct"/>
            <w:tcBorders>
              <w:top w:val="single" w:sz="4" w:space="0" w:color="auto"/>
              <w:left w:val="single" w:sz="4" w:space="0" w:color="auto"/>
              <w:bottom w:val="single" w:sz="4" w:space="0" w:color="auto"/>
              <w:right w:val="single" w:sz="4" w:space="0" w:color="auto"/>
            </w:tcBorders>
          </w:tcPr>
          <w:p w14:paraId="0FD0C653" w14:textId="77777777" w:rsidR="00322315" w:rsidRPr="003511A9" w:rsidRDefault="00322315" w:rsidP="006D50DF">
            <w:pPr>
              <w:spacing w:after="120" w:line="240" w:lineRule="auto"/>
              <w:rPr>
                <w:rFonts w:cs="Times New Roman"/>
                <w:sz w:val="22"/>
                <w:lang w:val="lt-LT"/>
              </w:rPr>
            </w:pPr>
          </w:p>
        </w:tc>
      </w:tr>
      <w:tr w:rsidR="00322315" w:rsidRPr="003511A9" w14:paraId="0F254B14"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78919CA1"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0532B21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Tinklo komutatoriai</w:t>
            </w:r>
          </w:p>
        </w:tc>
        <w:tc>
          <w:tcPr>
            <w:tcW w:w="2247" w:type="pct"/>
            <w:tcBorders>
              <w:top w:val="single" w:sz="4" w:space="0" w:color="auto"/>
              <w:left w:val="single" w:sz="4" w:space="0" w:color="auto"/>
              <w:bottom w:val="single" w:sz="4" w:space="0" w:color="auto"/>
              <w:right w:val="single" w:sz="4" w:space="0" w:color="auto"/>
            </w:tcBorders>
          </w:tcPr>
          <w:p w14:paraId="04E701E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Ne mažiau kaip 2 vnt, montuojami į standartinę 19“ pločio montažinę spintą, ne daugiau kaip 1U aukščio, su visais priedais montuoti spintoje (bėgiai, tvirtinimo elementai ir pan.). Kiekvienas komutatorius privalo turėti ne mažiau kaip 24x 25Gbe SFP28 prievadų bei būtinus komutatorių apjungimo prievadus. Kiekvienas komutatorius privalo turėti du maitinimo šaltinius, užtikrinančius nepertraukiamą komutatoriaus darbą, vienam iš maitinimo šaltinių sugędus. Komutatoriai privalo būti apjungti ir dirbti aukšto patikimumo režimu. Pateikiami su visais reikalingais moduliais, kabeliais bei kitais komponentais, būtinais visai įrangai apjungti ir prašomam funkcionalumui užtikrinti. Komutatoriai privalo </w:t>
            </w:r>
            <w:r w:rsidRPr="003511A9">
              <w:rPr>
                <w:rFonts w:cs="Times New Roman"/>
                <w:sz w:val="22"/>
                <w:lang w:val="lt-LT"/>
              </w:rPr>
              <w:lastRenderedPageBreak/>
              <w:t>būti to paties gamintojo kaip ir Hiperkonverguotos infarstruktūros telkinio sprendimas.</w:t>
            </w:r>
          </w:p>
        </w:tc>
        <w:tc>
          <w:tcPr>
            <w:tcW w:w="1449" w:type="pct"/>
            <w:tcBorders>
              <w:top w:val="single" w:sz="4" w:space="0" w:color="auto"/>
              <w:left w:val="single" w:sz="4" w:space="0" w:color="auto"/>
              <w:bottom w:val="single" w:sz="4" w:space="0" w:color="auto"/>
              <w:right w:val="single" w:sz="4" w:space="0" w:color="auto"/>
            </w:tcBorders>
          </w:tcPr>
          <w:p w14:paraId="2D4019AA" w14:textId="77777777" w:rsidR="00322315" w:rsidRPr="003511A9" w:rsidRDefault="00322315" w:rsidP="006D50DF">
            <w:pPr>
              <w:spacing w:after="120" w:line="240" w:lineRule="auto"/>
              <w:rPr>
                <w:rFonts w:cs="Times New Roman"/>
                <w:sz w:val="22"/>
                <w:lang w:val="lt-LT"/>
              </w:rPr>
            </w:pPr>
          </w:p>
        </w:tc>
      </w:tr>
      <w:tr w:rsidR="00322315" w:rsidRPr="00D02428" w14:paraId="2EC50B44"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24BDFA36"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2734A91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Sprendimo garantija ir techninis palaikymas</w:t>
            </w:r>
          </w:p>
        </w:tc>
        <w:tc>
          <w:tcPr>
            <w:tcW w:w="2247" w:type="pct"/>
            <w:tcBorders>
              <w:top w:val="single" w:sz="4" w:space="0" w:color="auto"/>
              <w:left w:val="single" w:sz="4" w:space="0" w:color="auto"/>
              <w:bottom w:val="single" w:sz="4" w:space="0" w:color="auto"/>
              <w:right w:val="single" w:sz="4" w:space="0" w:color="auto"/>
            </w:tcBorders>
          </w:tcPr>
          <w:p w14:paraId="2A475EB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Siūlomam sprendimui ir visai pateikiamai aparatinei ir programinei įrangai privalo būti suteikiamos įrangos gamintojo užtikrintos garantinės ir techninės pagalbos paslaugos penkiems (5) metams nuo įrangos pristatymo Perkančiajai organizacijai. </w:t>
            </w:r>
          </w:p>
          <w:p w14:paraId="0F08CB3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Garantinė pagalba vykdoma 7 dienas per savaitę, 24 valandas per parą, įskaitant ir šventines dienas, reakcijos laikas 4 valandos on-site. Jei problemos nepavyksta išspręsti nuotoliniu būdu, gamintojo serviso centro specialistas ir keitimui reikalingi komponentai kritiniams sutrikimams šalinti privalo atvykti į įrangos buvimo vietą ne vėliau kaip kitą darbo dieną.</w:t>
            </w:r>
          </w:p>
          <w:p w14:paraId="5F692D8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Gamintojo garantuojamas nemokamas dalių tiekimas ir nemokami remonto darbai procesorių, atminties, diskų, maitinimo šaltinių, aušinimo modulių pakeitimas, jei įvyko išankstinis įspėjimas apie galimą jų gedimą (angl. „prefailure warranty“).</w:t>
            </w:r>
          </w:p>
          <w:p w14:paraId="6103D254"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Telkinio diskai privalo turėti gamintojo garantiją, kuri apima ir savaiminį diskų/modulių susidėvėjimą (pagal garantiją diskai keičiami susidėvėjus ar sugedus) visam garantiniam laikotarpiui. Sugedę arba nusidėvėję diskai negrąžinami.</w:t>
            </w:r>
          </w:p>
          <w:p w14:paraId="6AA8D540"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Visų įsigyjamų komponentų garantinei ir techninei priežiūrai, visiems sprendimo komponentams (aparatinei ir programinei įrangai pateikiamai su šiuo sprendimu) sutrikimai ir gedimai registruojami tiesiogiai vieningoje telkinio gamintojo pagalbos tarnyboje (telefonu, elektroniniu paštu, internetinėje sistemoje, telkinio valdymo posistemės lange). Įrangos gamintojas privalo dedikuoti šiam pirkimui gamintojo serviso centro specialistą, kuris padės Pirkėjui spręsti incidentus per visą garantijos laikotarpį.</w:t>
            </w:r>
          </w:p>
          <w:p w14:paraId="6A09F84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Visai sprendime naudojamos programinės ir techninės įrangos priežiūrai privalo būti taikomas „vieno langelio principas“  –  visiems sprendimo komponentams (aparatinei ir programinei įrangai šiame pasiūlyme), sutrikimai ir gedimai registruojami tiesiogiai įrangos gamintojo pagalbos tarnyboje, sprendžiami  gamintojo inžinierių.</w:t>
            </w:r>
          </w:p>
          <w:p w14:paraId="1B878C13"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lastRenderedPageBreak/>
              <w:t xml:space="preserve">Gamintojo pagalbos tarnyba privalo turėti paslaugą (be papildomo apmokėjimo) – rinkti (gauti) įrangos veiklos ataskaitas tiesiogiai automatiškai saugiu šifruotu dvipusiu interneto kanalu, įskaitant greitaveikos, veiklos duomenis (analizuoti, stebėti, kaupti veiklos duomenis), bei jungtis prie stebimos sistemos problemos sprendimui. Nesant tokios paslaugos galimybei – visa įranga privalo būti pasiūlyta su paslaugos lygiu, užtikrinančiu sugedusių mazgų pakeitimą per </w:t>
            </w:r>
            <w:r w:rsidRPr="003511A9">
              <w:rPr>
                <w:rFonts w:cs="Times New Roman"/>
                <w:sz w:val="22"/>
                <w:shd w:val="clear" w:color="auto" w:fill="FFFFFF" w:themeFill="background1"/>
                <w:lang w:val="lt-LT"/>
              </w:rPr>
              <w:t>2 valandas</w:t>
            </w:r>
            <w:r w:rsidRPr="003511A9">
              <w:rPr>
                <w:rFonts w:cs="Times New Roman"/>
                <w:sz w:val="22"/>
                <w:lang w:val="lt-LT"/>
              </w:rPr>
              <w:t xml:space="preserve"> bet kurią metų dieną (24/7). </w:t>
            </w:r>
          </w:p>
          <w:p w14:paraId="3A15702C"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Programinei įrangai, kuri yra sudedamoji  sprendimo dalis, esant galiojančiai techninės pagalbos ir programinės įrangos versijų naujumo (angl. </w:t>
            </w:r>
            <w:r w:rsidRPr="003511A9">
              <w:rPr>
                <w:rFonts w:cs="Times New Roman"/>
                <w:i/>
                <w:iCs/>
                <w:sz w:val="22"/>
                <w:lang w:val="lt-LT"/>
              </w:rPr>
              <w:t>„software maintenance</w:t>
            </w:r>
            <w:r w:rsidRPr="003511A9">
              <w:rPr>
                <w:rFonts w:cs="Times New Roman"/>
                <w:sz w:val="22"/>
                <w:lang w:val="lt-LT"/>
              </w:rPr>
              <w:t xml:space="preserve">“)_ sutarčiai - privalo būti galimybė naudoti naujausias versijas be papildomo pirkimo. </w:t>
            </w:r>
          </w:p>
          <w:p w14:paraId="637D1575"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 xml:space="preserve">Visi aukščiau išvardinti reikalavimai privalo būti garantuojami HCI telkinio gamintojo ir kartu su pasiūlymu pateiktas, tai patvirtinantis gamintojo raštas. </w:t>
            </w:r>
          </w:p>
          <w:p w14:paraId="50AD22AA"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Būtina pateikti nuorodą į gamintojo internetinę svetainę, kuri įgalina registruotus vartotojus serijinio numerio pagalba patikrinti suteiktą gamintojo garantiją.</w:t>
            </w:r>
          </w:p>
        </w:tc>
        <w:tc>
          <w:tcPr>
            <w:tcW w:w="1449" w:type="pct"/>
            <w:tcBorders>
              <w:top w:val="single" w:sz="4" w:space="0" w:color="auto"/>
              <w:left w:val="single" w:sz="4" w:space="0" w:color="auto"/>
              <w:bottom w:val="single" w:sz="4" w:space="0" w:color="auto"/>
              <w:right w:val="single" w:sz="4" w:space="0" w:color="auto"/>
            </w:tcBorders>
          </w:tcPr>
          <w:p w14:paraId="1D17A296" w14:textId="77777777" w:rsidR="00322315" w:rsidRPr="003511A9" w:rsidRDefault="00322315" w:rsidP="006D50DF">
            <w:pPr>
              <w:spacing w:after="120" w:line="240" w:lineRule="auto"/>
              <w:rPr>
                <w:rFonts w:cs="Times New Roman"/>
                <w:sz w:val="22"/>
                <w:lang w:val="lt-LT"/>
              </w:rPr>
            </w:pPr>
          </w:p>
        </w:tc>
      </w:tr>
      <w:tr w:rsidR="00322315" w:rsidRPr="00D02428" w14:paraId="2FC1F58F" w14:textId="77777777" w:rsidTr="006D5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62" w:type="pct"/>
            <w:tcBorders>
              <w:top w:val="single" w:sz="4" w:space="0" w:color="auto"/>
              <w:left w:val="single" w:sz="4" w:space="0" w:color="auto"/>
              <w:bottom w:val="single" w:sz="4" w:space="0" w:color="auto"/>
              <w:right w:val="single" w:sz="4" w:space="0" w:color="auto"/>
            </w:tcBorders>
            <w:noWrap/>
          </w:tcPr>
          <w:p w14:paraId="584E0113" w14:textId="77777777" w:rsidR="00322315" w:rsidRPr="003511A9" w:rsidRDefault="00322315" w:rsidP="00322315">
            <w:pPr>
              <w:numPr>
                <w:ilvl w:val="0"/>
                <w:numId w:val="5"/>
              </w:numPr>
              <w:spacing w:after="120" w:line="240" w:lineRule="auto"/>
              <w:rPr>
                <w:rFonts w:cs="Times New Roman"/>
                <w:sz w:val="22"/>
                <w:lang w:val="lt-LT"/>
              </w:rPr>
            </w:pPr>
          </w:p>
        </w:tc>
        <w:tc>
          <w:tcPr>
            <w:tcW w:w="942" w:type="pct"/>
            <w:tcBorders>
              <w:top w:val="single" w:sz="4" w:space="0" w:color="auto"/>
              <w:left w:val="single" w:sz="4" w:space="0" w:color="auto"/>
              <w:bottom w:val="single" w:sz="4" w:space="0" w:color="auto"/>
              <w:right w:val="single" w:sz="4" w:space="0" w:color="auto"/>
            </w:tcBorders>
            <w:noWrap/>
          </w:tcPr>
          <w:p w14:paraId="438C19C8"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Surinkimo reikalavimai</w:t>
            </w:r>
          </w:p>
        </w:tc>
        <w:tc>
          <w:tcPr>
            <w:tcW w:w="2247" w:type="pct"/>
            <w:tcBorders>
              <w:top w:val="single" w:sz="4" w:space="0" w:color="auto"/>
              <w:left w:val="single" w:sz="4" w:space="0" w:color="auto"/>
              <w:bottom w:val="single" w:sz="4" w:space="0" w:color="auto"/>
              <w:right w:val="single" w:sz="4" w:space="0" w:color="auto"/>
            </w:tcBorders>
          </w:tcPr>
          <w:p w14:paraId="70C5EC5D" w14:textId="77777777" w:rsidR="00322315" w:rsidRPr="003511A9" w:rsidRDefault="00322315" w:rsidP="006D50DF">
            <w:pPr>
              <w:spacing w:after="120" w:line="240" w:lineRule="auto"/>
              <w:rPr>
                <w:rFonts w:cs="Times New Roman"/>
                <w:sz w:val="22"/>
                <w:lang w:val="lt-LT"/>
              </w:rPr>
            </w:pPr>
            <w:r w:rsidRPr="003511A9">
              <w:rPr>
                <w:rFonts w:cs="Times New Roman"/>
                <w:sz w:val="22"/>
                <w:lang w:val="lt-LT"/>
              </w:rPr>
              <w:t>Visos komplektuojamos įrenginio dalys privalo būti naujos ir pristatytos tiesiai iš gamyklos (atnaujintos, angl. refurbished, įrangos siūlyti negalima) bei komplektuojamos įrenginio gamintojo ir pažymėtos gamintojo gamykliniais kodais.</w:t>
            </w:r>
          </w:p>
        </w:tc>
        <w:tc>
          <w:tcPr>
            <w:tcW w:w="1449" w:type="pct"/>
            <w:tcBorders>
              <w:top w:val="single" w:sz="4" w:space="0" w:color="auto"/>
              <w:left w:val="single" w:sz="4" w:space="0" w:color="auto"/>
              <w:bottom w:val="single" w:sz="4" w:space="0" w:color="auto"/>
              <w:right w:val="single" w:sz="4" w:space="0" w:color="auto"/>
            </w:tcBorders>
          </w:tcPr>
          <w:p w14:paraId="74099C66" w14:textId="77777777" w:rsidR="00322315" w:rsidRPr="003511A9" w:rsidRDefault="00322315" w:rsidP="006D50DF">
            <w:pPr>
              <w:spacing w:after="120" w:line="240" w:lineRule="auto"/>
              <w:rPr>
                <w:rFonts w:cs="Times New Roman"/>
                <w:sz w:val="22"/>
                <w:lang w:val="lt-LT"/>
              </w:rPr>
            </w:pPr>
          </w:p>
        </w:tc>
      </w:tr>
    </w:tbl>
    <w:p w14:paraId="3EF63635" w14:textId="77777777" w:rsidR="00322315" w:rsidRPr="003511A9" w:rsidRDefault="00322315" w:rsidP="00322315">
      <w:pPr>
        <w:spacing w:after="0"/>
        <w:rPr>
          <w:rFonts w:cs="Times New Roman"/>
          <w:b/>
          <w:bCs/>
          <w:lang w:val="lt-LT"/>
        </w:rPr>
      </w:pPr>
    </w:p>
    <w:p w14:paraId="068A5F22" w14:textId="77777777" w:rsidR="00322315" w:rsidRPr="003511A9" w:rsidRDefault="00322315" w:rsidP="00322315">
      <w:pPr>
        <w:spacing w:after="0"/>
        <w:rPr>
          <w:rFonts w:cs="Times New Roman"/>
          <w:b/>
          <w:bCs/>
          <w:lang w:val="lt-LT"/>
        </w:rPr>
      </w:pPr>
    </w:p>
    <w:p w14:paraId="05704098" w14:textId="77777777" w:rsidR="00322315" w:rsidRPr="003511A9" w:rsidRDefault="00322315" w:rsidP="00322315">
      <w:pPr>
        <w:jc w:val="center"/>
        <w:rPr>
          <w:rFonts w:cs="Times New Roman"/>
          <w:szCs w:val="24"/>
          <w:lang w:val="lt-LT"/>
        </w:rPr>
      </w:pPr>
      <w:r w:rsidRPr="003511A9">
        <w:rPr>
          <w:rFonts w:cs="Times New Roman"/>
          <w:szCs w:val="24"/>
          <w:lang w:val="lt-LT"/>
        </w:rPr>
        <w:t>________________________</w:t>
      </w:r>
    </w:p>
    <w:p w14:paraId="038CBC70" w14:textId="77777777" w:rsidR="00322315" w:rsidRPr="003511A9" w:rsidRDefault="00322315">
      <w:pPr>
        <w:rPr>
          <w:lang w:val="lt-LT"/>
        </w:rPr>
      </w:pPr>
    </w:p>
    <w:sectPr w:rsidR="00322315" w:rsidRPr="003511A9" w:rsidSect="00322315">
      <w:pgSz w:w="16838" w:h="11906" w:orient="landscape" w:code="9"/>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51BE"/>
    <w:multiLevelType w:val="hybridMultilevel"/>
    <w:tmpl w:val="D6A8AA12"/>
    <w:lvl w:ilvl="0" w:tplc="08A4F7D8">
      <w:start w:val="1"/>
      <w:numFmt w:val="decimal"/>
      <w:lvlText w:val="%1."/>
      <w:lvlJc w:val="left"/>
      <w:pPr>
        <w:ind w:left="1400" w:hanging="5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367263"/>
    <w:multiLevelType w:val="multilevel"/>
    <w:tmpl w:val="304C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340A9"/>
    <w:multiLevelType w:val="hybridMultilevel"/>
    <w:tmpl w:val="BF42B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60D5B"/>
    <w:multiLevelType w:val="multilevel"/>
    <w:tmpl w:val="2F346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02D3A"/>
    <w:multiLevelType w:val="hybridMultilevel"/>
    <w:tmpl w:val="9336EC7C"/>
    <w:lvl w:ilvl="0" w:tplc="41164D8E">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D29B0"/>
    <w:multiLevelType w:val="multilevel"/>
    <w:tmpl w:val="08F0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C4051"/>
    <w:multiLevelType w:val="multilevel"/>
    <w:tmpl w:val="411AF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B5BAE"/>
    <w:multiLevelType w:val="multilevel"/>
    <w:tmpl w:val="B5586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C41AA1"/>
    <w:multiLevelType w:val="multilevel"/>
    <w:tmpl w:val="8766D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BE4205"/>
    <w:multiLevelType w:val="multilevel"/>
    <w:tmpl w:val="FD5AF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B604D"/>
    <w:multiLevelType w:val="multilevel"/>
    <w:tmpl w:val="52E8F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F26DB"/>
    <w:multiLevelType w:val="multilevel"/>
    <w:tmpl w:val="D0AE3B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D5129"/>
    <w:multiLevelType w:val="hybridMultilevel"/>
    <w:tmpl w:val="79EE2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9882777"/>
    <w:multiLevelType w:val="multilevel"/>
    <w:tmpl w:val="78188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03028B"/>
    <w:multiLevelType w:val="multilevel"/>
    <w:tmpl w:val="616CD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515EB"/>
    <w:multiLevelType w:val="hybridMultilevel"/>
    <w:tmpl w:val="1718711C"/>
    <w:lvl w:ilvl="0" w:tplc="73840598">
      <w:start w:val="20"/>
      <w:numFmt w:val="bullet"/>
      <w:lvlText w:val="-"/>
      <w:lvlJc w:val="left"/>
      <w:pPr>
        <w:ind w:left="360" w:hanging="360"/>
      </w:pPr>
      <w:rPr>
        <w:rFonts w:ascii="Calibri" w:eastAsia="Calibri" w:hAnsi="Calibri"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33388714">
    <w:abstractNumId w:val="7"/>
  </w:num>
  <w:num w:numId="2" w16cid:durableId="1678538467">
    <w:abstractNumId w:val="15"/>
  </w:num>
  <w:num w:numId="3" w16cid:durableId="1708869374">
    <w:abstractNumId w:val="9"/>
  </w:num>
  <w:num w:numId="4" w16cid:durableId="171377003">
    <w:abstractNumId w:val="3"/>
  </w:num>
  <w:num w:numId="5" w16cid:durableId="1774813122">
    <w:abstractNumId w:val="2"/>
  </w:num>
  <w:num w:numId="6" w16cid:durableId="189027483">
    <w:abstractNumId w:val="4"/>
  </w:num>
  <w:num w:numId="7" w16cid:durableId="1946423065">
    <w:abstractNumId w:val="0"/>
  </w:num>
  <w:num w:numId="8" w16cid:durableId="1992636228">
    <w:abstractNumId w:val="13"/>
  </w:num>
  <w:num w:numId="9" w16cid:durableId="268197462">
    <w:abstractNumId w:val="14"/>
  </w:num>
  <w:num w:numId="10" w16cid:durableId="268775895">
    <w:abstractNumId w:val="5"/>
  </w:num>
  <w:num w:numId="11" w16cid:durableId="281964372">
    <w:abstractNumId w:val="1"/>
  </w:num>
  <w:num w:numId="12" w16cid:durableId="365449938">
    <w:abstractNumId w:val="6"/>
  </w:num>
  <w:num w:numId="13" w16cid:durableId="606545870">
    <w:abstractNumId w:val="10"/>
  </w:num>
  <w:num w:numId="14" w16cid:durableId="684331211">
    <w:abstractNumId w:val="8"/>
  </w:num>
  <w:num w:numId="15" w16cid:durableId="712922503">
    <w:abstractNumId w:val="11"/>
  </w:num>
  <w:num w:numId="16" w16cid:durableId="793866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15"/>
    <w:rsid w:val="000350C5"/>
    <w:rsid w:val="000969B7"/>
    <w:rsid w:val="00112367"/>
    <w:rsid w:val="00165E47"/>
    <w:rsid w:val="00182D22"/>
    <w:rsid w:val="002028BB"/>
    <w:rsid w:val="00322315"/>
    <w:rsid w:val="003511A9"/>
    <w:rsid w:val="003A0933"/>
    <w:rsid w:val="004056B9"/>
    <w:rsid w:val="00485AD0"/>
    <w:rsid w:val="004B542B"/>
    <w:rsid w:val="004F4C8E"/>
    <w:rsid w:val="005218CA"/>
    <w:rsid w:val="00561564"/>
    <w:rsid w:val="0068105D"/>
    <w:rsid w:val="006D50DF"/>
    <w:rsid w:val="00794BE8"/>
    <w:rsid w:val="007A2AB4"/>
    <w:rsid w:val="007C1E7C"/>
    <w:rsid w:val="00816E0D"/>
    <w:rsid w:val="009D6A89"/>
    <w:rsid w:val="00A43279"/>
    <w:rsid w:val="00AA6DA4"/>
    <w:rsid w:val="00B34C35"/>
    <w:rsid w:val="00B6675C"/>
    <w:rsid w:val="00C44A8A"/>
    <w:rsid w:val="00C93F87"/>
    <w:rsid w:val="00CF0165"/>
    <w:rsid w:val="00D02428"/>
    <w:rsid w:val="00D653C7"/>
    <w:rsid w:val="00D83F5C"/>
    <w:rsid w:val="00D90BAB"/>
    <w:rsid w:val="00E033DD"/>
    <w:rsid w:val="00E422FB"/>
    <w:rsid w:val="00E5557F"/>
    <w:rsid w:val="00FE3193"/>
    <w:rsid w:val="02705EAE"/>
    <w:rsid w:val="0DBFBAC1"/>
    <w:rsid w:val="1534C409"/>
    <w:rsid w:val="1A36FE44"/>
    <w:rsid w:val="287A7923"/>
    <w:rsid w:val="331594AF"/>
    <w:rsid w:val="3F7750B0"/>
    <w:rsid w:val="437786A0"/>
    <w:rsid w:val="451B44E6"/>
    <w:rsid w:val="586B2B5A"/>
    <w:rsid w:val="59CB14BF"/>
    <w:rsid w:val="60742DE9"/>
    <w:rsid w:val="71A16870"/>
    <w:rsid w:val="738CB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DB4C"/>
  <w15:chartTrackingRefBased/>
  <w15:docId w15:val="{709C0757-FF47-499E-B223-7E20B0AF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315"/>
    <w:pPr>
      <w:spacing w:after="200" w:line="276" w:lineRule="auto"/>
      <w:jc w:val="both"/>
    </w:pPr>
    <w:rPr>
      <w:rFonts w:ascii="Times New Roman" w:eastAsia="Times New Roman" w:hAnsi="Times New Roman" w:cs="DokChampa"/>
      <w:kern w:val="0"/>
      <w:szCs w:val="22"/>
      <w:lang w:val="en-US" w:bidi="en-US"/>
      <w14:ligatures w14:val="none"/>
    </w:rPr>
  </w:style>
  <w:style w:type="paragraph" w:styleId="Heading1">
    <w:name w:val="heading 1"/>
    <w:basedOn w:val="Normal"/>
    <w:next w:val="Normal"/>
    <w:uiPriority w:val="9"/>
    <w:qFormat/>
    <w:rsid w:val="003223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003223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semiHidden/>
    <w:unhideWhenUsed/>
    <w:qFormat/>
    <w:rsid w:val="003223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uiPriority w:val="9"/>
    <w:semiHidden/>
    <w:unhideWhenUsed/>
    <w:qFormat/>
    <w:rsid w:val="003223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uiPriority w:val="9"/>
    <w:semiHidden/>
    <w:unhideWhenUsed/>
    <w:qFormat/>
    <w:rsid w:val="003223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uiPriority w:val="9"/>
    <w:semiHidden/>
    <w:unhideWhenUsed/>
    <w:qFormat/>
    <w:rsid w:val="00322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322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322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322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322315"/>
    <w:rPr>
      <w:i/>
      <w:iCs/>
      <w:color w:val="2F5496" w:themeColor="accent1" w:themeShade="BF"/>
    </w:rPr>
  </w:style>
  <w:style w:type="character" w:styleId="IntenseReference">
    <w:name w:val="Intense Reference"/>
    <w:basedOn w:val="DefaultParagraphFont"/>
    <w:uiPriority w:val="32"/>
    <w:qFormat/>
    <w:rsid w:val="00322315"/>
    <w:rPr>
      <w:b/>
      <w:bCs/>
      <w:smallCaps/>
      <w:color w:val="2F5496" w:themeColor="accent1" w:themeShade="BF"/>
      <w:spacing w:val="5"/>
    </w:rPr>
  </w:style>
  <w:style w:type="character" w:styleId="CommentReference">
    <w:name w:val="annotation reference"/>
    <w:basedOn w:val="DefaultParagraphFont"/>
    <w:uiPriority w:val="99"/>
    <w:semiHidden/>
    <w:unhideWhenUsed/>
    <w:rsid w:val="00322315"/>
    <w:rPr>
      <w:sz w:val="16"/>
      <w:szCs w:val="16"/>
    </w:rPr>
  </w:style>
  <w:style w:type="paragraph" w:styleId="NormalWeb">
    <w:name w:val="Normal (Web)"/>
    <w:basedOn w:val="Normal"/>
    <w:uiPriority w:val="99"/>
    <w:unhideWhenUsed/>
    <w:rsid w:val="00322315"/>
    <w:pPr>
      <w:spacing w:before="100" w:beforeAutospacing="1" w:after="100" w:afterAutospacing="1" w:line="240" w:lineRule="auto"/>
    </w:pPr>
    <w:rPr>
      <w:rFonts w:cs="Times New Roman"/>
      <w:szCs w:val="24"/>
      <w:lang w:val="lt-LT" w:eastAsia="lt-LT" w:bidi="ar-SA"/>
    </w:rPr>
  </w:style>
  <w:style w:type="paragraph" w:styleId="Revision">
    <w:name w:val="Revision"/>
    <w:hidden/>
    <w:uiPriority w:val="99"/>
    <w:semiHidden/>
    <w:rsid w:val="00322315"/>
    <w:pPr>
      <w:spacing w:after="0" w:line="240" w:lineRule="auto"/>
    </w:pPr>
    <w:rPr>
      <w:rFonts w:ascii="Cambria" w:eastAsia="Times New Roman" w:hAnsi="Cambria" w:cs="DokChampa"/>
      <w:kern w:val="0"/>
      <w:sz w:val="22"/>
      <w:szCs w:val="22"/>
      <w:lang w:val="en-US" w:bidi="en-US"/>
      <w14:ligatures w14:val="none"/>
    </w:rPr>
  </w:style>
  <w:style w:type="character" w:styleId="Hyperlink">
    <w:name w:val="Hyperlink"/>
    <w:aliases w:val="Alna"/>
    <w:rsid w:val="00322315"/>
    <w:rPr>
      <w:color w:val="0000FF"/>
      <w:u w:val="single"/>
    </w:rPr>
  </w:style>
  <w:style w:type="character" w:styleId="FootnoteReference">
    <w:name w:val="footnote reference"/>
    <w:basedOn w:val="DefaultParagraphFont"/>
    <w:uiPriority w:val="99"/>
    <w:semiHidden/>
    <w:unhideWhenUsed/>
    <w:rsid w:val="00322315"/>
    <w:rPr>
      <w:vertAlign w:val="superscript"/>
    </w:rPr>
  </w:style>
  <w:style w:type="table" w:styleId="TableGrid">
    <w:name w:val="Table Grid"/>
    <w:basedOn w:val="TableNormal"/>
    <w:uiPriority w:val="59"/>
    <w:rsid w:val="0032231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22315"/>
    <w:rPr>
      <w:color w:val="605E5C"/>
      <w:shd w:val="clear" w:color="auto" w:fill="E1DFDD"/>
    </w:rPr>
  </w:style>
  <w:style w:type="character" w:customStyle="1" w:styleId="normaltextrun">
    <w:name w:val="normaltextrun"/>
    <w:basedOn w:val="DefaultParagraphFont"/>
    <w:rsid w:val="00322315"/>
  </w:style>
  <w:style w:type="character" w:styleId="FollowedHyperlink">
    <w:name w:val="FollowedHyperlink"/>
    <w:basedOn w:val="DefaultParagraphFont"/>
    <w:uiPriority w:val="99"/>
    <w:semiHidden/>
    <w:unhideWhenUsed/>
    <w:rsid w:val="00322315"/>
    <w:rPr>
      <w:color w:val="954F72" w:themeColor="followedHyperlink"/>
      <w:u w:val="single"/>
    </w:rPr>
  </w:style>
  <w:style w:type="paragraph" w:customStyle="1" w:styleId="Default">
    <w:name w:val="Default"/>
    <w:rsid w:val="00322315"/>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Isvadakonsoliduotaiversijai6">
    <w:name w:val="Isvada_konsoliduotai_versijai6"/>
    <w:basedOn w:val="Normal"/>
    <w:qFormat/>
    <w:rsid w:val="00322315"/>
    <w:pPr>
      <w:keepNext/>
      <w:spacing w:after="0" w:line="240" w:lineRule="auto"/>
      <w:jc w:val="left"/>
      <w:outlineLvl w:val="5"/>
    </w:pPr>
    <w:rPr>
      <w:rFonts w:cs="Times New Roman"/>
      <w:b/>
      <w:bCs/>
      <w:szCs w:val="20"/>
      <w:lang w:val="lt-LT" w:eastAsia="lt-LT" w:bidi="ar-SA"/>
    </w:rPr>
  </w:style>
  <w:style w:type="paragraph" w:customStyle="1" w:styleId="paragraph">
    <w:name w:val="paragraph"/>
    <w:basedOn w:val="Normal"/>
    <w:rsid w:val="00322315"/>
    <w:pPr>
      <w:spacing w:before="100" w:beforeAutospacing="1" w:after="100" w:afterAutospacing="1" w:line="240" w:lineRule="auto"/>
      <w:jc w:val="left"/>
    </w:pPr>
    <w:rPr>
      <w:rFonts w:cs="Times New Roman"/>
      <w:szCs w:val="24"/>
      <w:lang w:val="lt-LT" w:eastAsia="lt-LT" w:bidi="ar-SA"/>
    </w:rPr>
  </w:style>
  <w:style w:type="character" w:customStyle="1" w:styleId="eop">
    <w:name w:val="eop"/>
    <w:basedOn w:val="DefaultParagraphFont"/>
    <w:rsid w:val="00322315"/>
  </w:style>
  <w:style w:type="character" w:styleId="UnresolvedMention">
    <w:name w:val="Unresolved Mention"/>
    <w:basedOn w:val="DefaultParagraphFont"/>
    <w:uiPriority w:val="99"/>
    <w:semiHidden/>
    <w:unhideWhenUsed/>
    <w:rsid w:val="00322315"/>
    <w:rPr>
      <w:color w:val="605E5C"/>
      <w:shd w:val="clear" w:color="auto" w:fill="E1DFDD"/>
    </w:rPr>
  </w:style>
  <w:style w:type="character" w:customStyle="1" w:styleId="Antrat1Diagrama">
    <w:name w:val="Antraštė 1 Diagrama"/>
    <w:basedOn w:val="DefaultParagraphFont"/>
    <w:uiPriority w:val="9"/>
    <w:rsid w:val="00D90BA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DefaultParagraphFont"/>
    <w:uiPriority w:val="9"/>
    <w:rsid w:val="00D90B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DefaultParagraphFont"/>
    <w:uiPriority w:val="9"/>
    <w:semiHidden/>
    <w:rsid w:val="00D90BAB"/>
    <w:rPr>
      <w:rFonts w:eastAsiaTheme="majorEastAsia" w:cstheme="majorBidi"/>
      <w:color w:val="2F5496" w:themeColor="accent1" w:themeShade="BF"/>
      <w:sz w:val="28"/>
      <w:szCs w:val="28"/>
    </w:rPr>
  </w:style>
  <w:style w:type="character" w:customStyle="1" w:styleId="Antrat4Diagrama">
    <w:name w:val="Antraštė 4 Diagrama"/>
    <w:basedOn w:val="DefaultParagraphFont"/>
    <w:uiPriority w:val="9"/>
    <w:semiHidden/>
    <w:rsid w:val="00D90BAB"/>
    <w:rPr>
      <w:rFonts w:eastAsiaTheme="majorEastAsia" w:cstheme="majorBidi"/>
      <w:i/>
      <w:iCs/>
      <w:color w:val="2F5496" w:themeColor="accent1" w:themeShade="BF"/>
    </w:rPr>
  </w:style>
  <w:style w:type="character" w:customStyle="1" w:styleId="Antrat5Diagrama">
    <w:name w:val="Antraštė 5 Diagrama"/>
    <w:basedOn w:val="DefaultParagraphFont"/>
    <w:uiPriority w:val="9"/>
    <w:semiHidden/>
    <w:rsid w:val="00D90BAB"/>
    <w:rPr>
      <w:rFonts w:eastAsiaTheme="majorEastAsia" w:cstheme="majorBidi"/>
      <w:color w:val="2F5496" w:themeColor="accent1" w:themeShade="BF"/>
    </w:rPr>
  </w:style>
  <w:style w:type="character" w:customStyle="1" w:styleId="Antrat6Diagrama">
    <w:name w:val="Antraštė 6 Diagrama"/>
    <w:basedOn w:val="DefaultParagraphFont"/>
    <w:uiPriority w:val="9"/>
    <w:semiHidden/>
    <w:rsid w:val="00D90BAB"/>
    <w:rPr>
      <w:rFonts w:eastAsiaTheme="majorEastAsia" w:cstheme="majorBidi"/>
      <w:i/>
      <w:iCs/>
      <w:color w:val="595959" w:themeColor="text1" w:themeTint="A6"/>
    </w:rPr>
  </w:style>
  <w:style w:type="character" w:customStyle="1" w:styleId="Antrat7Diagrama">
    <w:name w:val="Antraštė 7 Diagrama"/>
    <w:basedOn w:val="DefaultParagraphFont"/>
    <w:uiPriority w:val="9"/>
    <w:semiHidden/>
    <w:rsid w:val="00D90BAB"/>
    <w:rPr>
      <w:rFonts w:eastAsiaTheme="majorEastAsia" w:cstheme="majorBidi"/>
      <w:color w:val="595959" w:themeColor="text1" w:themeTint="A6"/>
    </w:rPr>
  </w:style>
  <w:style w:type="character" w:customStyle="1" w:styleId="Antrat8Diagrama">
    <w:name w:val="Antraštė 8 Diagrama"/>
    <w:basedOn w:val="DefaultParagraphFont"/>
    <w:uiPriority w:val="9"/>
    <w:semiHidden/>
    <w:rsid w:val="00D90BAB"/>
    <w:rPr>
      <w:rFonts w:eastAsiaTheme="majorEastAsia" w:cstheme="majorBidi"/>
      <w:i/>
      <w:iCs/>
      <w:color w:val="272727" w:themeColor="text1" w:themeTint="D8"/>
    </w:rPr>
  </w:style>
  <w:style w:type="character" w:customStyle="1" w:styleId="Antrat9Diagrama">
    <w:name w:val="Antraštė 9 Diagrama"/>
    <w:basedOn w:val="DefaultParagraphFont"/>
    <w:uiPriority w:val="9"/>
    <w:semiHidden/>
    <w:rsid w:val="00D90BAB"/>
    <w:rPr>
      <w:rFonts w:eastAsiaTheme="majorEastAsia" w:cstheme="majorBidi"/>
      <w:color w:val="272727" w:themeColor="text1" w:themeTint="D8"/>
    </w:rPr>
  </w:style>
  <w:style w:type="character" w:customStyle="1" w:styleId="PavadinimasDiagrama">
    <w:name w:val="Pavadinimas Diagrama"/>
    <w:basedOn w:val="DefaultParagraphFont"/>
    <w:uiPriority w:val="10"/>
    <w:rsid w:val="00D90BAB"/>
    <w:rPr>
      <w:rFonts w:asciiTheme="majorHAnsi" w:eastAsiaTheme="majorEastAsia" w:hAnsiTheme="majorHAnsi" w:cstheme="majorBidi"/>
      <w:spacing w:val="-10"/>
      <w:kern w:val="28"/>
      <w:sz w:val="56"/>
      <w:szCs w:val="56"/>
    </w:rPr>
  </w:style>
  <w:style w:type="character" w:customStyle="1" w:styleId="PaantratDiagrama">
    <w:name w:val="Paantraštė Diagrama"/>
    <w:basedOn w:val="DefaultParagraphFont"/>
    <w:uiPriority w:val="11"/>
    <w:rsid w:val="00D90BAB"/>
    <w:rPr>
      <w:rFonts w:eastAsiaTheme="majorEastAsia" w:cstheme="majorBidi"/>
      <w:color w:val="595959" w:themeColor="text1" w:themeTint="A6"/>
      <w:spacing w:val="15"/>
      <w:sz w:val="28"/>
      <w:szCs w:val="28"/>
    </w:rPr>
  </w:style>
  <w:style w:type="character" w:customStyle="1" w:styleId="CitataDiagrama">
    <w:name w:val="Citata Diagrama"/>
    <w:basedOn w:val="DefaultParagraphFont"/>
    <w:uiPriority w:val="29"/>
    <w:rsid w:val="00D90BAB"/>
    <w:rPr>
      <w:i/>
      <w:iCs/>
      <w:color w:val="404040" w:themeColor="text1" w:themeTint="BF"/>
    </w:rPr>
  </w:style>
  <w:style w:type="character" w:customStyle="1" w:styleId="IskirtacitataDiagrama">
    <w:name w:val="Išskirta citata Diagrama"/>
    <w:basedOn w:val="DefaultParagraphFont"/>
    <w:uiPriority w:val="30"/>
    <w:rsid w:val="00D90BAB"/>
    <w:rPr>
      <w:i/>
      <w:iCs/>
      <w:color w:val="2F5496" w:themeColor="accent1" w:themeShade="BF"/>
    </w:rPr>
  </w:style>
  <w:style w:type="character" w:customStyle="1" w:styleId="KomentarotekstasDiagrama">
    <w:name w:val="Komentaro tekstas Diagrama"/>
    <w:basedOn w:val="DefaultParagraphFont"/>
    <w:uiPriority w:val="99"/>
    <w:rsid w:val="00D90BAB"/>
    <w:rPr>
      <w:rFonts w:ascii="Times New Roman" w:eastAsia="Times New Roman" w:hAnsi="Times New Roman" w:cs="DokChampa"/>
      <w:kern w:val="0"/>
      <w:sz w:val="20"/>
      <w:szCs w:val="20"/>
      <w:lang w:val="en-US" w:bidi="en-US"/>
      <w14:ligatures w14:val="none"/>
    </w:rPr>
  </w:style>
  <w:style w:type="character" w:customStyle="1" w:styleId="AntratsDiagrama">
    <w:name w:val="Antraštės Diagrama"/>
    <w:basedOn w:val="DefaultParagraphFont"/>
    <w:uiPriority w:val="99"/>
    <w:rsid w:val="00D90BAB"/>
    <w:rPr>
      <w:rFonts w:ascii="Times New Roman" w:eastAsia="Times New Roman" w:hAnsi="Times New Roman" w:cs="DokChampa"/>
      <w:kern w:val="0"/>
      <w:szCs w:val="22"/>
      <w:lang w:val="en-US" w:bidi="en-US"/>
      <w14:ligatures w14:val="none"/>
    </w:rPr>
  </w:style>
  <w:style w:type="character" w:customStyle="1" w:styleId="PoratDiagrama">
    <w:name w:val="Poraštė Diagrama"/>
    <w:basedOn w:val="DefaultParagraphFont"/>
    <w:uiPriority w:val="99"/>
    <w:rsid w:val="00D90BAB"/>
    <w:rPr>
      <w:rFonts w:ascii="Times New Roman" w:eastAsia="Times New Roman" w:hAnsi="Times New Roman" w:cs="DokChampa"/>
      <w:kern w:val="0"/>
      <w:szCs w:val="22"/>
      <w:lang w:val="en-US" w:bidi="en-US"/>
      <w14:ligatures w14:val="none"/>
    </w:rPr>
  </w:style>
  <w:style w:type="character" w:customStyle="1" w:styleId="DebesliotekstasDiagrama">
    <w:name w:val="Debesėlio tekstas Diagrama"/>
    <w:basedOn w:val="DefaultParagraphFont"/>
    <w:uiPriority w:val="99"/>
    <w:semiHidden/>
    <w:rsid w:val="00D90BAB"/>
    <w:rPr>
      <w:rFonts w:ascii="Segoe UI" w:eastAsia="Times New Roman" w:hAnsi="Segoe UI" w:cs="Segoe UI"/>
      <w:kern w:val="0"/>
      <w:sz w:val="18"/>
      <w:szCs w:val="18"/>
      <w:lang w:val="en-US" w:bidi="en-US"/>
      <w14:ligatures w14:val="none"/>
    </w:rPr>
  </w:style>
  <w:style w:type="character" w:customStyle="1" w:styleId="KomentarotemaDiagrama">
    <w:name w:val="Komentaro tema Diagrama"/>
    <w:basedOn w:val="KomentarotekstasDiagrama"/>
    <w:uiPriority w:val="99"/>
    <w:semiHidden/>
    <w:rsid w:val="00D90BAB"/>
    <w:rPr>
      <w:rFonts w:ascii="Times New Roman" w:eastAsia="Times New Roman" w:hAnsi="Times New Roman" w:cs="DokChampa"/>
      <w:b/>
      <w:bCs/>
      <w:kern w:val="0"/>
      <w:sz w:val="20"/>
      <w:szCs w:val="20"/>
      <w:lang w:val="en-US" w:bidi="en-US"/>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let Diagrama,TIIS - Bullet Style (Level 1) Diagrama"/>
    <w:qFormat/>
    <w:locked/>
    <w:rsid w:val="00D90BAB"/>
  </w:style>
  <w:style w:type="character" w:customStyle="1" w:styleId="PuslapioinaostekstasDiagrama">
    <w:name w:val="Puslapio išnašos tekstas Diagrama"/>
    <w:basedOn w:val="DefaultParagraphFont"/>
    <w:uiPriority w:val="99"/>
    <w:semiHidden/>
    <w:rsid w:val="00D90BAB"/>
    <w:rPr>
      <w:rFonts w:ascii="Times New Roman" w:eastAsia="Times New Roman" w:hAnsi="Times New Roman" w:cs="Times New Roman"/>
      <w:kern w:val="0"/>
      <w:sz w:val="20"/>
      <w:szCs w:val="20"/>
      <w:lang w:val="en-GB"/>
      <w14:ligatures w14:val="none"/>
    </w:rPr>
  </w:style>
  <w:style w:type="character" w:customStyle="1" w:styleId="HTMLiankstoformatuotasDiagrama">
    <w:name w:val="HTML iš anksto formatuotas Diagrama"/>
    <w:aliases w:val="Char Char Char Char Diagrama"/>
    <w:basedOn w:val="DefaultParagraphFont"/>
    <w:rsid w:val="00D90BAB"/>
    <w:rPr>
      <w:rFonts w:ascii="Courier New" w:eastAsia="Times New Roman" w:hAnsi="Courier New"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org/cpu2017/results/res2024q1/cpu2017-20240112-40618.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pec.org/cpu2017/results/res2024q1/cpu2017-20240112-406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A7B6C-D7D6-4529-83BD-C64C9D2C2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E4403-BDE2-4A75-BB94-280DFB5F3870}">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386710EC-1319-4E30-B73A-15BC5499F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4575</Words>
  <Characters>34773</Characters>
  <Application>Microsoft Office Word</Application>
  <DocSecurity>0</DocSecurity>
  <Lines>891</Lines>
  <Paragraphs>360</Paragraphs>
  <ScaleCrop>false</ScaleCrop>
  <Company/>
  <LinksUpToDate>false</LinksUpToDate>
  <CharactersWithSpaces>38988</CharactersWithSpaces>
  <SharedDoc>false</SharedDoc>
  <HLinks>
    <vt:vector size="12" baseType="variant">
      <vt:variant>
        <vt:i4>2031635</vt:i4>
      </vt:variant>
      <vt:variant>
        <vt:i4>3</vt:i4>
      </vt:variant>
      <vt:variant>
        <vt:i4>0</vt:i4>
      </vt:variant>
      <vt:variant>
        <vt:i4>5</vt:i4>
      </vt:variant>
      <vt:variant>
        <vt:lpwstr>https://www.spec.org/cpu2017/results/res2024q1/cpu2017-20240112-40601.pdf</vt:lpwstr>
      </vt:variant>
      <vt:variant>
        <vt:lpwstr/>
      </vt:variant>
      <vt:variant>
        <vt:i4>1966106</vt:i4>
      </vt:variant>
      <vt:variant>
        <vt:i4>0</vt:i4>
      </vt:variant>
      <vt:variant>
        <vt:i4>0</vt:i4>
      </vt:variant>
      <vt:variant>
        <vt:i4>5</vt:i4>
      </vt:variant>
      <vt:variant>
        <vt:lpwstr>https://www.spec.org/cpu2017/results/res2024q1/cpu2017-20240112-40618.pdf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Pažėra, Aurimas (TD Baltic)</dc:creator>
  <cp:keywords/>
  <dc:description/>
  <cp:lastModifiedBy>Jurgita Žilko</cp:lastModifiedBy>
  <cp:revision>2</cp:revision>
  <dcterms:created xsi:type="dcterms:W3CDTF">2026-05-20T11:38:00Z</dcterms:created>
  <dcterms:modified xsi:type="dcterms:W3CDTF">2026-05-20T11:38:00Z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