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563C9C51"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992054">
        <w:rPr>
          <w:b/>
          <w:bCs/>
          <w:color w:val="FF0000"/>
          <w:sz w:val="18"/>
          <w:szCs w:val="18"/>
        </w:rPr>
        <w:t>BALDŲ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75658520"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992054">
        <w:rPr>
          <w:b/>
          <w:bCs/>
          <w:color w:val="FF0000"/>
          <w:sz w:val="18"/>
          <w:szCs w:val="18"/>
        </w:rPr>
        <w:t>STALUS</w:t>
      </w:r>
      <w:r w:rsidR="00596E0E" w:rsidRPr="00083A7A">
        <w:rPr>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78E146C9"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2460A3">
        <w:rPr>
          <w:sz w:val="18"/>
          <w:szCs w:val="18"/>
          <w:highlight w:val="yellow"/>
        </w:rPr>
        <w:t>NE</w:t>
      </w:r>
      <w:r w:rsidR="00F076BC">
        <w:rPr>
          <w:sz w:val="18"/>
          <w:szCs w:val="18"/>
          <w:highlight w:val="yellow"/>
        </w:rPr>
        <w:t>SKIRSTOMAS</w:t>
      </w:r>
      <w:r w:rsidR="00992054">
        <w:rPr>
          <w:sz w:val="18"/>
          <w:szCs w:val="18"/>
          <w:highlight w:val="yellow"/>
        </w:rPr>
        <w:t>.</w:t>
      </w:r>
      <w:r w:rsidR="00F076BC">
        <w:rPr>
          <w:sz w:val="18"/>
          <w:szCs w:val="18"/>
          <w:highlight w:val="yellow"/>
        </w:rPr>
        <w:t xml:space="preserve"> VERTINAMA </w:t>
      </w:r>
      <w:r w:rsidR="002460A3">
        <w:rPr>
          <w:sz w:val="18"/>
          <w:szCs w:val="18"/>
          <w:highlight w:val="yellow"/>
        </w:rPr>
        <w:t>BENDRA PASIŪLYMO KAINA</w:t>
      </w:r>
      <w:r w:rsidR="00F076BC">
        <w:rPr>
          <w:sz w:val="18"/>
          <w:szCs w:val="18"/>
          <w:highlight w:val="yellow"/>
        </w:rPr>
        <w:t xml:space="preserve">. </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24307A"/>
    <w:rsid w:val="002460A3"/>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3DBF"/>
    <w:rsid w:val="00596E0E"/>
    <w:rsid w:val="005A30F7"/>
    <w:rsid w:val="005B62E3"/>
    <w:rsid w:val="00617888"/>
    <w:rsid w:val="006556D8"/>
    <w:rsid w:val="00672219"/>
    <w:rsid w:val="006C4BB3"/>
    <w:rsid w:val="00704816"/>
    <w:rsid w:val="0074502F"/>
    <w:rsid w:val="007A1BDE"/>
    <w:rsid w:val="007E4AC3"/>
    <w:rsid w:val="00862A13"/>
    <w:rsid w:val="0089091C"/>
    <w:rsid w:val="008957A6"/>
    <w:rsid w:val="00896549"/>
    <w:rsid w:val="008A5AED"/>
    <w:rsid w:val="0093446B"/>
    <w:rsid w:val="0096369A"/>
    <w:rsid w:val="0097138D"/>
    <w:rsid w:val="00992054"/>
    <w:rsid w:val="009A6B1F"/>
    <w:rsid w:val="009F3787"/>
    <w:rsid w:val="00A02689"/>
    <w:rsid w:val="00A160E2"/>
    <w:rsid w:val="00A26185"/>
    <w:rsid w:val="00A51558"/>
    <w:rsid w:val="00A64CDD"/>
    <w:rsid w:val="00AB0463"/>
    <w:rsid w:val="00AB075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076BC"/>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12381</Words>
  <Characters>7058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37</cp:revision>
  <dcterms:created xsi:type="dcterms:W3CDTF">2024-01-10T10:29:00Z</dcterms:created>
  <dcterms:modified xsi:type="dcterms:W3CDTF">2026-05-20T12:59:00Z</dcterms:modified>
</cp:coreProperties>
</file>