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none" w:sz="0" w:space="0" w:color="auto"/>
          <w:insideV w:val="none" w:sz="0" w:space="0" w:color="auto"/>
        </w:tblBorders>
        <w:tblLook w:val="04A0" w:firstRow="1" w:lastRow="0" w:firstColumn="1" w:lastColumn="0" w:noHBand="0" w:noVBand="1"/>
      </w:tblPr>
      <w:tblGrid>
        <w:gridCol w:w="9962"/>
      </w:tblGrid>
      <w:tr w:rsidR="009D53C0" w:rsidRPr="007B004A" w14:paraId="0C76E3EA" w14:textId="77777777" w:rsidTr="00D238C0">
        <w:trPr>
          <w:trHeight w:val="20"/>
        </w:trPr>
        <w:tc>
          <w:tcPr>
            <w:tcW w:w="5000" w:type="pct"/>
            <w:shd w:val="clear" w:color="auto" w:fill="FFFFCC"/>
          </w:tcPr>
          <w:p w14:paraId="3C510D45" w14:textId="517E5857" w:rsidR="009D53C0" w:rsidRPr="004C78DC" w:rsidRDefault="00ED6BAD" w:rsidP="00D238C0">
            <w:pPr>
              <w:spacing w:line="252" w:lineRule="auto"/>
              <w:jc w:val="center"/>
              <w:rPr>
                <w:b/>
              </w:rPr>
            </w:pPr>
            <w:r w:rsidRPr="004C78DC">
              <w:rPr>
                <w:b/>
              </w:rPr>
              <w:t>2022–2030 metų Regionų plėtros programos įgyvendinimo tarpinio (pažangos) vertinimo paslaugos</w:t>
            </w:r>
            <w:r w:rsidR="00EF629E" w:rsidRPr="004C78DC">
              <w:rPr>
                <w:b/>
              </w:rPr>
              <w:t xml:space="preserve"> (PPR-46)</w:t>
            </w:r>
            <w:r w:rsidR="009D53C0" w:rsidRPr="004C78DC">
              <w:rPr>
                <w:b/>
              </w:rPr>
              <w:t xml:space="preserve"> </w:t>
            </w:r>
          </w:p>
        </w:tc>
      </w:tr>
    </w:tbl>
    <w:p w14:paraId="68DBC55A" w14:textId="77777777" w:rsidR="009D53C0" w:rsidRDefault="009D53C0" w:rsidP="00F772E3">
      <w:pPr>
        <w:spacing w:line="300" w:lineRule="exact"/>
        <w:jc w:val="center"/>
        <w:rPr>
          <w:b/>
          <w:bCs/>
        </w:rPr>
      </w:pPr>
    </w:p>
    <w:p w14:paraId="27A1E017" w14:textId="46CDB87F" w:rsidR="00242096" w:rsidRDefault="00242096" w:rsidP="00917449">
      <w:pPr>
        <w:rPr>
          <w:b/>
          <w:bCs/>
          <w:i/>
          <w:lang w:eastAsia="lt-LT"/>
        </w:rPr>
      </w:pPr>
    </w:p>
    <w:p w14:paraId="4CB1C706" w14:textId="77777777" w:rsidR="00F772E3" w:rsidRPr="00F772E3" w:rsidRDefault="00F772E3" w:rsidP="00977A19">
      <w:pPr>
        <w:pStyle w:val="Antrat4"/>
        <w:spacing w:before="0" w:after="0"/>
        <w:jc w:val="center"/>
        <w:rPr>
          <w:rFonts w:eastAsia="Times New Roman" w:cs="Times New Roman"/>
          <w:b/>
          <w:bCs/>
          <w:i w:val="0"/>
          <w:iCs w:val="0"/>
          <w:color w:val="auto"/>
        </w:rPr>
      </w:pPr>
      <w:r w:rsidRPr="00F772E3">
        <w:rPr>
          <w:rFonts w:eastAsia="Times New Roman" w:cs="Times New Roman"/>
          <w:b/>
          <w:bCs/>
          <w:i w:val="0"/>
          <w:iCs w:val="0"/>
          <w:color w:val="auto"/>
        </w:rPr>
        <w:t>I. VERTINIMO PAGRINDIMAS</w:t>
      </w:r>
    </w:p>
    <w:p w14:paraId="5B2CFF07" w14:textId="77777777" w:rsidR="00F772E3" w:rsidRPr="00CB42C7" w:rsidRDefault="00F772E3" w:rsidP="00F772E3"/>
    <w:p w14:paraId="6840A52E" w14:textId="77777777" w:rsidR="00F772E3" w:rsidRDefault="00F772E3" w:rsidP="00F772E3">
      <w:pPr>
        <w:numPr>
          <w:ilvl w:val="0"/>
          <w:numId w:val="1"/>
        </w:numPr>
        <w:ind w:left="0" w:firstLine="720"/>
        <w:jc w:val="both"/>
        <w:rPr>
          <w:b/>
        </w:rPr>
      </w:pPr>
      <w:r w:rsidRPr="00CB42C7">
        <w:rPr>
          <w:b/>
        </w:rPr>
        <w:t>Teisinis pagrindas</w:t>
      </w:r>
    </w:p>
    <w:p w14:paraId="49AC7A14" w14:textId="2D8F8C0F" w:rsidR="00472078" w:rsidRDefault="005E7053" w:rsidP="00472078">
      <w:pPr>
        <w:ind w:firstLine="720"/>
        <w:jc w:val="both"/>
        <w:rPr>
          <w:bCs/>
        </w:rPr>
      </w:pPr>
      <w:r>
        <w:rPr>
          <w:bCs/>
        </w:rPr>
        <w:t>1.</w:t>
      </w:r>
      <w:r w:rsidR="006F12CF">
        <w:rPr>
          <w:bCs/>
        </w:rPr>
        <w:t>1.</w:t>
      </w:r>
      <w:r>
        <w:rPr>
          <w:bCs/>
        </w:rPr>
        <w:t xml:space="preserve"> </w:t>
      </w:r>
      <w:r w:rsidR="00423591" w:rsidRPr="00D34D69">
        <w:rPr>
          <w:bCs/>
        </w:rPr>
        <w:t>2022</w:t>
      </w:r>
      <w:r w:rsidR="00D34D69" w:rsidRPr="00D34D69">
        <w:rPr>
          <w:bCs/>
        </w:rPr>
        <w:t>–</w:t>
      </w:r>
      <w:r w:rsidR="00423591" w:rsidRPr="00D34D69">
        <w:rPr>
          <w:bCs/>
        </w:rPr>
        <w:t xml:space="preserve">2030 metų Regionų plėtros programos įgyvendinimo tarpinis (pažangos) vertinimas </w:t>
      </w:r>
      <w:r>
        <w:rPr>
          <w:bCs/>
        </w:rPr>
        <w:t xml:space="preserve">(toliau </w:t>
      </w:r>
      <w:r w:rsidR="00D97F41">
        <w:rPr>
          <w:bCs/>
        </w:rPr>
        <w:t>–</w:t>
      </w:r>
      <w:r>
        <w:rPr>
          <w:bCs/>
        </w:rPr>
        <w:t xml:space="preserve"> </w:t>
      </w:r>
      <w:r w:rsidR="00D97F41">
        <w:rPr>
          <w:bCs/>
        </w:rPr>
        <w:t xml:space="preserve">Vertinimas) </w:t>
      </w:r>
      <w:r w:rsidR="00423591" w:rsidRPr="00D34D69">
        <w:rPr>
          <w:bCs/>
        </w:rPr>
        <w:t>atliekamas, vadovaujantis</w:t>
      </w:r>
      <w:r w:rsidR="00D34D69" w:rsidRPr="00D34D69">
        <w:rPr>
          <w:bCs/>
        </w:rPr>
        <w:t>:</w:t>
      </w:r>
    </w:p>
    <w:p w14:paraId="130DB64C" w14:textId="6FB2037D" w:rsidR="00F772E3" w:rsidRPr="00472078" w:rsidRDefault="00472078" w:rsidP="00472078">
      <w:pPr>
        <w:ind w:firstLine="720"/>
        <w:jc w:val="both"/>
        <w:rPr>
          <w:bCs/>
        </w:rPr>
      </w:pPr>
      <w:r>
        <w:rPr>
          <w:bCs/>
        </w:rPr>
        <w:t>1.1.</w:t>
      </w:r>
      <w:r w:rsidR="0030079B">
        <w:rPr>
          <w:bCs/>
        </w:rPr>
        <w:t xml:space="preserve"> </w:t>
      </w:r>
      <w:r w:rsidR="00F772E3" w:rsidRPr="0009572E">
        <w:t>2021 m. birželio 24 d. Europos Parlamento ir Tarybos reglament</w:t>
      </w:r>
      <w:r w:rsidR="00CD44AB">
        <w:t>o</w:t>
      </w:r>
      <w:r w:rsidR="00F772E3" w:rsidRPr="0009572E">
        <w:t xml:space="preserve">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CD44AB" w:rsidRPr="00AD6C23">
        <w:t>,</w:t>
      </w:r>
      <w:r w:rsidR="00AD6C23">
        <w:t xml:space="preserve"> </w:t>
      </w:r>
      <w:r w:rsidR="00575868">
        <w:t>44 straipsni</w:t>
      </w:r>
      <w:r w:rsidR="00B7349B">
        <w:t>u</w:t>
      </w:r>
      <w:r w:rsidR="00E7659D">
        <w:t>;</w:t>
      </w:r>
    </w:p>
    <w:p w14:paraId="2A575D4F" w14:textId="245081EB" w:rsidR="00250A04" w:rsidRDefault="00A20D2D" w:rsidP="00787949">
      <w:pPr>
        <w:pStyle w:val="Sraopastraipa"/>
        <w:numPr>
          <w:ilvl w:val="2"/>
          <w:numId w:val="8"/>
        </w:numPr>
        <w:tabs>
          <w:tab w:val="left" w:pos="1260"/>
        </w:tabs>
        <w:ind w:left="1560" w:hanging="851"/>
        <w:jc w:val="both"/>
      </w:pPr>
      <w:r>
        <w:t xml:space="preserve"> </w:t>
      </w:r>
      <w:r w:rsidR="00F13F90">
        <w:t>Strateginio valdymo metodikos</w:t>
      </w:r>
      <w:r w:rsidR="00CE4F6E">
        <w:rPr>
          <w:rStyle w:val="Puslapioinaosnuoroda"/>
        </w:rPr>
        <w:footnoteReference w:id="1"/>
      </w:r>
      <w:r w:rsidR="00CE4F6E">
        <w:t xml:space="preserve"> </w:t>
      </w:r>
      <w:r w:rsidR="00D93B6F" w:rsidRPr="0030079B">
        <w:rPr>
          <w:bCs/>
        </w:rPr>
        <w:t>V skyriaus treči</w:t>
      </w:r>
      <w:r w:rsidR="00B7349B">
        <w:rPr>
          <w:bCs/>
        </w:rPr>
        <w:t>ojo</w:t>
      </w:r>
      <w:r w:rsidR="00D93B6F" w:rsidRPr="0030079B">
        <w:rPr>
          <w:bCs/>
        </w:rPr>
        <w:t xml:space="preserve"> skirsni</w:t>
      </w:r>
      <w:r w:rsidR="00B7349B">
        <w:rPr>
          <w:bCs/>
        </w:rPr>
        <w:t>o nuostatomis</w:t>
      </w:r>
      <w:r w:rsidR="00E7659D" w:rsidRPr="0030079B">
        <w:rPr>
          <w:bCs/>
        </w:rPr>
        <w:t>;</w:t>
      </w:r>
    </w:p>
    <w:p w14:paraId="6622B5BD" w14:textId="3F94CB72" w:rsidR="00F772E3" w:rsidRDefault="00A20D2D" w:rsidP="00787949">
      <w:pPr>
        <w:pStyle w:val="Sraopastraipa"/>
        <w:numPr>
          <w:ilvl w:val="2"/>
          <w:numId w:val="8"/>
        </w:numPr>
        <w:tabs>
          <w:tab w:val="left" w:pos="1260"/>
        </w:tabs>
        <w:ind w:left="1560" w:hanging="851"/>
        <w:jc w:val="both"/>
      </w:pPr>
      <w:r>
        <w:rPr>
          <w:bCs/>
        </w:rPr>
        <w:t xml:space="preserve"> </w:t>
      </w:r>
      <w:r w:rsidR="00F772E3" w:rsidRPr="00787949">
        <w:rPr>
          <w:bCs/>
        </w:rPr>
        <w:t>202</w:t>
      </w:r>
      <w:r w:rsidR="00773194" w:rsidRPr="00787949">
        <w:rPr>
          <w:bCs/>
        </w:rPr>
        <w:t>4</w:t>
      </w:r>
      <w:r w:rsidR="00F772E3" w:rsidRPr="00787949">
        <w:rPr>
          <w:bCs/>
        </w:rPr>
        <w:t>–2027 metų vertinimo plano</w:t>
      </w:r>
      <w:r w:rsidR="00F3752B">
        <w:rPr>
          <w:rStyle w:val="Puslapioinaosnuoroda"/>
          <w:bCs/>
        </w:rPr>
        <w:footnoteReference w:id="2"/>
      </w:r>
      <w:r w:rsidR="00CE4F6E" w:rsidRPr="00787949">
        <w:rPr>
          <w:bCs/>
        </w:rPr>
        <w:t xml:space="preserve"> </w:t>
      </w:r>
      <w:r w:rsidR="00F02CAF">
        <w:t>20</w:t>
      </w:r>
      <w:r w:rsidR="00F772E3">
        <w:t xml:space="preserve"> punkt</w:t>
      </w:r>
      <w:r w:rsidR="00B7349B">
        <w:t>u</w:t>
      </w:r>
      <w:r w:rsidR="00F772E3">
        <w:t>.</w:t>
      </w:r>
    </w:p>
    <w:p w14:paraId="2D923FE3" w14:textId="625C0B81" w:rsidR="00D94210" w:rsidRPr="005E7053" w:rsidRDefault="00787949" w:rsidP="00996AA9">
      <w:pPr>
        <w:ind w:firstLine="709"/>
        <w:jc w:val="both"/>
        <w:rPr>
          <w:b/>
        </w:rPr>
      </w:pPr>
      <w:r w:rsidRPr="00316161">
        <w:rPr>
          <w:bCs/>
        </w:rPr>
        <w:t xml:space="preserve">1.2. </w:t>
      </w:r>
      <w:r w:rsidR="004C78DC">
        <w:rPr>
          <w:bCs/>
        </w:rPr>
        <w:t>Šioje</w:t>
      </w:r>
      <w:r w:rsidR="004C78DC" w:rsidRPr="00316161">
        <w:rPr>
          <w:bCs/>
        </w:rPr>
        <w:t xml:space="preserve"> </w:t>
      </w:r>
      <w:r w:rsidR="00D97F41" w:rsidRPr="00316161">
        <w:rPr>
          <w:bCs/>
        </w:rPr>
        <w:t xml:space="preserve">techninėje specifikacijoje </w:t>
      </w:r>
      <w:r w:rsidR="006F12CF" w:rsidRPr="00316161">
        <w:rPr>
          <w:bCs/>
        </w:rPr>
        <w:t xml:space="preserve">(toliau – TS) </w:t>
      </w:r>
      <w:r w:rsidR="00D97F41" w:rsidRPr="00316161">
        <w:rPr>
          <w:bCs/>
        </w:rPr>
        <w:t xml:space="preserve">vartojamos sąvokos </w:t>
      </w:r>
      <w:r w:rsidR="00C47887" w:rsidRPr="00316161">
        <w:rPr>
          <w:bCs/>
        </w:rPr>
        <w:t xml:space="preserve">suprantamos taip, kaip jos apibrėžtos </w:t>
      </w:r>
      <w:r w:rsidR="00A07C58" w:rsidRPr="00316161">
        <w:rPr>
          <w:bCs/>
        </w:rPr>
        <w:t>(</w:t>
      </w:r>
      <w:r w:rsidR="00A4197A">
        <w:rPr>
          <w:bCs/>
        </w:rPr>
        <w:t xml:space="preserve">ar </w:t>
      </w:r>
      <w:r w:rsidR="00C47887" w:rsidRPr="00316161">
        <w:rPr>
          <w:bCs/>
        </w:rPr>
        <w:t>suprantamos</w:t>
      </w:r>
      <w:r w:rsidR="00A07C58" w:rsidRPr="00316161">
        <w:rPr>
          <w:bCs/>
        </w:rPr>
        <w:t>)</w:t>
      </w:r>
      <w:r w:rsidR="00C47887" w:rsidRPr="00316161">
        <w:rPr>
          <w:bCs/>
        </w:rPr>
        <w:t xml:space="preserve"> </w:t>
      </w:r>
      <w:r w:rsidR="00A07C58" w:rsidRPr="00316161">
        <w:rPr>
          <w:bCs/>
        </w:rPr>
        <w:t xml:space="preserve">TS </w:t>
      </w:r>
      <w:r w:rsidR="006F12CF" w:rsidRPr="00316161">
        <w:rPr>
          <w:bCs/>
        </w:rPr>
        <w:t>1.1 papunktyje</w:t>
      </w:r>
      <w:r w:rsidR="007467D6" w:rsidRPr="00316161">
        <w:rPr>
          <w:bCs/>
        </w:rPr>
        <w:t xml:space="preserve"> nurodytuose </w:t>
      </w:r>
      <w:r w:rsidR="002D4CEA" w:rsidRPr="00316161">
        <w:rPr>
          <w:bCs/>
        </w:rPr>
        <w:t xml:space="preserve">teisės </w:t>
      </w:r>
      <w:r w:rsidR="00A07C58" w:rsidRPr="00316161">
        <w:rPr>
          <w:bCs/>
        </w:rPr>
        <w:t>aktuose</w:t>
      </w:r>
      <w:r w:rsidR="00D94210" w:rsidRPr="00316161">
        <w:rPr>
          <w:bCs/>
        </w:rPr>
        <w:t xml:space="preserve"> ir šiuose teisės aktuose:</w:t>
      </w:r>
      <w:r w:rsidR="00E65828">
        <w:rPr>
          <w:b/>
        </w:rPr>
        <w:t xml:space="preserve"> </w:t>
      </w:r>
      <w:r w:rsidR="00AE6B2A">
        <w:t xml:space="preserve">Lietuvos Respublikos regioninės plėtros įstatyme, </w:t>
      </w:r>
      <w:r w:rsidR="00996AA9">
        <w:t xml:space="preserve">Lietuvos Respublikos strateginio valdymo įstatyme, </w:t>
      </w:r>
      <w:r w:rsidR="00AC769C">
        <w:rPr>
          <w:color w:val="000000"/>
        </w:rPr>
        <w:t>2021–2027 metų Europos Sąjungos fondų investicijų programos ir Ekonomikos gaivinimo ir atsparumo didinimo plano „Naujos kartos Lietuva“ administravimo taisyklėse</w:t>
      </w:r>
      <w:r w:rsidR="00047E18">
        <w:rPr>
          <w:rStyle w:val="Puslapioinaosnuoroda"/>
          <w:color w:val="000000"/>
        </w:rPr>
        <w:footnoteReference w:id="3"/>
      </w:r>
      <w:r w:rsidR="00D707F2">
        <w:rPr>
          <w:color w:val="000000"/>
        </w:rPr>
        <w:t xml:space="preserve"> </w:t>
      </w:r>
      <w:r w:rsidR="007D635F">
        <w:rPr>
          <w:color w:val="000000"/>
        </w:rPr>
        <w:t xml:space="preserve">(toliau – Administravimo taisyklės) </w:t>
      </w:r>
      <w:r w:rsidR="00D707F2">
        <w:rPr>
          <w:color w:val="000000"/>
        </w:rPr>
        <w:t>ir</w:t>
      </w:r>
      <w:r w:rsidR="00163BC5">
        <w:rPr>
          <w:color w:val="000000"/>
        </w:rPr>
        <w:t xml:space="preserve"> </w:t>
      </w:r>
      <w:r w:rsidR="00D707F2">
        <w:rPr>
          <w:color w:val="000000"/>
        </w:rPr>
        <w:t>Tvarios miesto plėtros strategijų ir funkcinių zonų strategijų rengimo ir įgyvendinimo stebėsenos tvarkos apraše</w:t>
      </w:r>
      <w:r w:rsidR="00D707F2">
        <w:rPr>
          <w:rStyle w:val="Puslapioinaosnuoroda"/>
          <w:color w:val="000000"/>
        </w:rPr>
        <w:footnoteReference w:id="4"/>
      </w:r>
      <w:r w:rsidR="00047E18">
        <w:rPr>
          <w:color w:val="000000"/>
        </w:rPr>
        <w:t>.</w:t>
      </w:r>
    </w:p>
    <w:p w14:paraId="67A0BD71" w14:textId="77777777" w:rsidR="00DF1DE4" w:rsidRPr="00CB42C7" w:rsidRDefault="00DF1DE4" w:rsidP="00DF1DE4">
      <w:pPr>
        <w:jc w:val="both"/>
        <w:rPr>
          <w:b/>
        </w:rPr>
      </w:pPr>
    </w:p>
    <w:p w14:paraId="74CE1305" w14:textId="4BF7620E" w:rsidR="00F772E3" w:rsidRPr="00773708" w:rsidRDefault="006F739D" w:rsidP="00D45986">
      <w:pPr>
        <w:pStyle w:val="Sraopastraipa"/>
        <w:numPr>
          <w:ilvl w:val="0"/>
          <w:numId w:val="8"/>
        </w:numPr>
        <w:ind w:hanging="399"/>
        <w:jc w:val="both"/>
        <w:rPr>
          <w:b/>
        </w:rPr>
      </w:pPr>
      <w:r w:rsidRPr="00773708">
        <w:rPr>
          <w:b/>
        </w:rPr>
        <w:t>Vertinimo</w:t>
      </w:r>
      <w:r w:rsidR="00177113" w:rsidRPr="00773708">
        <w:rPr>
          <w:b/>
        </w:rPr>
        <w:t xml:space="preserve"> kontekstas</w:t>
      </w:r>
      <w:r w:rsidR="00CC6ADB">
        <w:rPr>
          <w:b/>
        </w:rPr>
        <w:t xml:space="preserve"> ir problematika</w:t>
      </w:r>
    </w:p>
    <w:p w14:paraId="02EB6556" w14:textId="6EB3EC3B" w:rsidR="006D7F87" w:rsidRDefault="00C3661A" w:rsidP="006D7F87">
      <w:pPr>
        <w:ind w:firstLine="709"/>
        <w:jc w:val="both"/>
      </w:pPr>
      <w:r>
        <w:t>2020–2021 m. regioninės plėtros planavimo srityje įtvirtinti sisteminiai pokyčiai</w:t>
      </w:r>
      <w:r w:rsidR="005C5ACA">
        <w:t>, integruojant</w:t>
      </w:r>
      <w:r w:rsidR="00C747CB">
        <w:t>ys</w:t>
      </w:r>
      <w:r w:rsidR="005C5ACA">
        <w:t xml:space="preserve"> valstybės ir regioninio planavimo tikslus</w:t>
      </w:r>
      <w:r w:rsidR="00C747CB">
        <w:t xml:space="preserve">. </w:t>
      </w:r>
      <w:r w:rsidR="00EE5470">
        <w:t xml:space="preserve">Pagal naujai pradėjusią veikti regioninės plėtros planavimo sistemą </w:t>
      </w:r>
      <w:r w:rsidR="00D511B7">
        <w:t>v</w:t>
      </w:r>
      <w:r w:rsidR="00FD7F01">
        <w:t>alstybės regioninės politikos turinį lem</w:t>
      </w:r>
      <w:r w:rsidR="002D5A57">
        <w:t>ia</w:t>
      </w:r>
      <w:r w:rsidR="00FD7F01">
        <w:t xml:space="preserve"> Nacionalinis pažangos planas, Regionų plėtros programa ir regionų plėtros planai. </w:t>
      </w:r>
      <w:r w:rsidR="007935F4">
        <w:t>Regionų plėtros programoje nustatytos regioninės plėtros problemos, regioninės pažangos priemonės šioms problemoms spręsti</w:t>
      </w:r>
      <w:r w:rsidR="000A4D2C">
        <w:t xml:space="preserve"> (t. y. </w:t>
      </w:r>
      <w:r w:rsidR="000A4D2C" w:rsidRPr="000A4D2C">
        <w:t>priemonės, prie kurių planavimo ir įgyvendinimo tikslinga prisidėti regionų plėtros taryboms ir (arba) savivaldybėms)</w:t>
      </w:r>
      <w:r w:rsidR="007935F4">
        <w:t xml:space="preserve">, </w:t>
      </w:r>
      <w:r w:rsidR="000A4D2C" w:rsidRPr="000A4D2C">
        <w:t xml:space="preserve">siektinos poveikio rodiklių reikšmės regionuose ir </w:t>
      </w:r>
      <w:r w:rsidR="000A4D2C">
        <w:t>kiekvienam</w:t>
      </w:r>
      <w:r w:rsidR="000A4D2C" w:rsidRPr="00C042B6">
        <w:t xml:space="preserve"> regionui </w:t>
      </w:r>
      <w:r w:rsidR="000A4D2C">
        <w:t xml:space="preserve">preliminariai </w:t>
      </w:r>
      <w:r w:rsidR="000A4D2C" w:rsidRPr="00C042B6">
        <w:t>skiriama pažangos lėšų suma</w:t>
      </w:r>
      <w:r w:rsidR="000A4D2C">
        <w:t xml:space="preserve">. </w:t>
      </w:r>
      <w:r w:rsidR="002D3BC3">
        <w:t>Regionų plėtros planų</w:t>
      </w:r>
      <w:r w:rsidR="000A110C">
        <w:t xml:space="preserve">, </w:t>
      </w:r>
      <w:r w:rsidR="002D3BC3">
        <w:t>kuriuos</w:t>
      </w:r>
      <w:r w:rsidR="000A110C">
        <w:t xml:space="preserve"> </w:t>
      </w:r>
      <w:r w:rsidR="00D12C2E">
        <w:t>rengia ir tvirtina</w:t>
      </w:r>
      <w:r w:rsidR="000A110C">
        <w:t xml:space="preserve"> regionų plėtros tarybos, </w:t>
      </w:r>
      <w:r w:rsidR="002D3BC3">
        <w:t xml:space="preserve">ir juose </w:t>
      </w:r>
      <w:r w:rsidR="00A6336D">
        <w:t xml:space="preserve">suplanuotų pažangos priemonių </w:t>
      </w:r>
      <w:r w:rsidR="00D24E1F">
        <w:t>p</w:t>
      </w:r>
      <w:r w:rsidR="00BB5F12">
        <w:t>a</w:t>
      </w:r>
      <w:r w:rsidR="00D24E1F">
        <w:t xml:space="preserve">skirtis </w:t>
      </w:r>
      <w:r w:rsidR="000F664D">
        <w:t>–</w:t>
      </w:r>
      <w:r w:rsidR="00D24E1F">
        <w:t xml:space="preserve"> </w:t>
      </w:r>
      <w:r w:rsidR="000A110C">
        <w:t xml:space="preserve">spręsti </w:t>
      </w:r>
      <w:r w:rsidR="006E4AA6">
        <w:t xml:space="preserve">regionų plėtros </w:t>
      </w:r>
      <w:r w:rsidR="000A110C">
        <w:t>problemas, identifikuotas „iš apačios“ regionų plėtros planuose, funkcinių zonų ir tvarios miestų plėtros strategijose</w:t>
      </w:r>
      <w:r w:rsidR="00153488">
        <w:t>. Regionų plėtros planų pažangos priemon</w:t>
      </w:r>
      <w:r w:rsidR="006A217A">
        <w:t xml:space="preserve">ėms finansuoti naudojamos </w:t>
      </w:r>
      <w:r w:rsidR="003A4FBF">
        <w:t>Regionų plėtros programoje numatytų regioninių pažangos priemonių</w:t>
      </w:r>
      <w:r w:rsidR="00F832DC">
        <w:t xml:space="preserve"> </w:t>
      </w:r>
      <w:r w:rsidR="006A217A">
        <w:t>finansavimo lėšos</w:t>
      </w:r>
      <w:r w:rsidR="000A110C">
        <w:t>.</w:t>
      </w:r>
      <w:r w:rsidR="00CB0DB1">
        <w:t xml:space="preserve"> </w:t>
      </w:r>
      <w:r w:rsidR="006D7F87">
        <w:t xml:space="preserve">Skirtingai, nei buvo iki regioninės plėtros planavimo pokyčių, regionams nėra ,,iš viršaus“ padalinamos kiekvienos regioninės priemonės lėšos </w:t>
      </w:r>
      <w:r w:rsidR="0099575F">
        <w:t>–</w:t>
      </w:r>
      <w:r w:rsidR="006D7F87">
        <w:t xml:space="preserve"> Regionų plėtros programoje kiekvienam regionui </w:t>
      </w:r>
      <w:r w:rsidR="006D7F87" w:rsidRPr="00C042B6">
        <w:t>numatoma preliminariai regionui skiriama pažangos lėšų suma</w:t>
      </w:r>
      <w:r w:rsidR="00831C5E">
        <w:t xml:space="preserve">, taip sudarant sąlygas regionų </w:t>
      </w:r>
      <w:r w:rsidR="00831C5E">
        <w:lastRenderedPageBreak/>
        <w:t>plėtros taryboms</w:t>
      </w:r>
      <w:r w:rsidR="00975FAD">
        <w:t xml:space="preserve"> investicijas per </w:t>
      </w:r>
      <w:r w:rsidR="001A6BB3">
        <w:t xml:space="preserve">jų rengiamas </w:t>
      </w:r>
      <w:r w:rsidR="00975FAD">
        <w:t>regionų plėtros planų pažangos priemones planuoti, atsižvelgiant į konkretaus regiono plėtros poreikius (problemas ir jų priežastis)</w:t>
      </w:r>
      <w:r w:rsidR="0099575F">
        <w:t>.</w:t>
      </w:r>
    </w:p>
    <w:p w14:paraId="4B511A62" w14:textId="51286A62" w:rsidR="00A3642A" w:rsidRDefault="00A64ADD" w:rsidP="003F13C3">
      <w:pPr>
        <w:ind w:firstLine="709"/>
        <w:jc w:val="both"/>
      </w:pPr>
      <w:r>
        <w:t>R</w:t>
      </w:r>
      <w:r w:rsidR="00A46CB9">
        <w:t>egionin</w:t>
      </w:r>
      <w:r w:rsidR="009D5CE1">
        <w:t>ės</w:t>
      </w:r>
      <w:r w:rsidR="00A46CB9">
        <w:t xml:space="preserve"> pažangos priemon</w:t>
      </w:r>
      <w:r w:rsidR="009D5CE1">
        <w:t>ės</w:t>
      </w:r>
      <w:r>
        <w:t xml:space="preserve"> </w:t>
      </w:r>
      <w:r w:rsidR="00EC5C12">
        <w:t xml:space="preserve">planuojamos, </w:t>
      </w:r>
      <w:r w:rsidR="009D5CE1">
        <w:t>rengiamos ir nustatomos</w:t>
      </w:r>
      <w:r w:rsidR="00DA67D7">
        <w:t>, vadovaujantis</w:t>
      </w:r>
      <w:r w:rsidR="009D5CE1">
        <w:t xml:space="preserve"> </w:t>
      </w:r>
      <w:r w:rsidR="009242EB">
        <w:t xml:space="preserve">Strateginio valdymo metodikos </w:t>
      </w:r>
      <w:r w:rsidR="00D95698">
        <w:t>67</w:t>
      </w:r>
      <w:r w:rsidR="009D5CE1">
        <w:t>,</w:t>
      </w:r>
      <w:r w:rsidR="00E94037">
        <w:t xml:space="preserve"> 100</w:t>
      </w:r>
      <w:r w:rsidR="0015007B">
        <w:t>, 104.2</w:t>
      </w:r>
      <w:r w:rsidR="00E94037">
        <w:t xml:space="preserve"> punkt</w:t>
      </w:r>
      <w:r w:rsidR="00DA67D7">
        <w:t>ų</w:t>
      </w:r>
      <w:r w:rsidR="009D5CE1">
        <w:t xml:space="preserve"> ir Administravimo taisyklių </w:t>
      </w:r>
      <w:r w:rsidR="00303D15">
        <w:t>102</w:t>
      </w:r>
      <w:r w:rsidR="0015007B">
        <w:t xml:space="preserve"> </w:t>
      </w:r>
      <w:r w:rsidR="00DA67D7">
        <w:t>punkto nuostatomis</w:t>
      </w:r>
      <w:r w:rsidR="00E97D2E">
        <w:t>.</w:t>
      </w:r>
    </w:p>
    <w:p w14:paraId="578479C9" w14:textId="4EB39CA0" w:rsidR="00177113" w:rsidRDefault="00C3661A" w:rsidP="008D2053">
      <w:pPr>
        <w:ind w:firstLine="709"/>
        <w:jc w:val="both"/>
      </w:pPr>
      <w:r>
        <w:t>2022–2030 m. Regionų plėtros programa</w:t>
      </w:r>
      <w:r w:rsidR="000D69A0">
        <w:rPr>
          <w:rStyle w:val="Puslapioinaosnuoroda"/>
        </w:rPr>
        <w:footnoteReference w:id="5"/>
      </w:r>
      <w:r w:rsidR="004C1B09">
        <w:t xml:space="preserve"> </w:t>
      </w:r>
      <w:r w:rsidR="00227BEA">
        <w:t>(toliau – RPP)</w:t>
      </w:r>
      <w:r w:rsidR="003F73D6">
        <w:t xml:space="preserve"> </w:t>
      </w:r>
      <w:r w:rsidR="008F2FD7">
        <w:t>yra skirta įgyvendinti</w:t>
      </w:r>
      <w:r w:rsidR="003F73D6">
        <w:t xml:space="preserve"> </w:t>
      </w:r>
      <w:r w:rsidR="00115FF2" w:rsidRPr="00E31D25">
        <w:t>2021–2030 metų nacionalinio pažangos plano</w:t>
      </w:r>
      <w:r w:rsidR="00115FF2" w:rsidRPr="00C91957">
        <w:rPr>
          <w:vertAlign w:val="superscript"/>
        </w:rPr>
        <w:footnoteReference w:id="6"/>
      </w:r>
      <w:r w:rsidR="00115FF2" w:rsidRPr="00E31D25">
        <w:t xml:space="preserve"> (toliau – NPP) 7 strategin</w:t>
      </w:r>
      <w:r w:rsidR="008F2FD7" w:rsidRPr="00E31D25">
        <w:t>į</w:t>
      </w:r>
      <w:r w:rsidR="00115FF2" w:rsidRPr="00E31D25">
        <w:t xml:space="preserve"> tiksl</w:t>
      </w:r>
      <w:r w:rsidR="008F2FD7" w:rsidRPr="00E31D25">
        <w:t>ą</w:t>
      </w:r>
      <w:r w:rsidR="00115FF2" w:rsidRPr="00E31D25">
        <w:t xml:space="preserve"> ,,Tvariai ir subalansuotai vystyti Lietuvos teritoriją ir mažinti regioninę atskirtį“ (toliau – 7 strateginis tikslas)</w:t>
      </w:r>
      <w:r w:rsidR="008F2FD7" w:rsidRPr="00E31D25">
        <w:t xml:space="preserve">. </w:t>
      </w:r>
      <w:r w:rsidR="00E72367">
        <w:t>Vis</w:t>
      </w:r>
      <w:r w:rsidR="00161B67">
        <w:t>o</w:t>
      </w:r>
      <w:r w:rsidR="002D35B7">
        <w:t>m</w:t>
      </w:r>
      <w:r w:rsidR="00161B67">
        <w:t>s</w:t>
      </w:r>
      <w:r w:rsidR="00E72367">
        <w:t xml:space="preserve"> </w:t>
      </w:r>
      <w:r w:rsidR="00526873">
        <w:t>RPP numatyt</w:t>
      </w:r>
      <w:r w:rsidR="00161B67">
        <w:t>o</w:t>
      </w:r>
      <w:r w:rsidR="002D35B7">
        <w:t>m</w:t>
      </w:r>
      <w:r w:rsidR="00161B67">
        <w:t>s</w:t>
      </w:r>
      <w:r w:rsidR="00E72367">
        <w:t xml:space="preserve"> regionin</w:t>
      </w:r>
      <w:r w:rsidR="00161B67">
        <w:t>ėms</w:t>
      </w:r>
      <w:r w:rsidR="00E72367">
        <w:t xml:space="preserve"> pažangos priemon</w:t>
      </w:r>
      <w:r w:rsidR="00161B67">
        <w:t>ės</w:t>
      </w:r>
      <w:r w:rsidR="00E72367">
        <w:t xml:space="preserve"> (iš viso 14) </w:t>
      </w:r>
      <w:r w:rsidR="0077797A">
        <w:t>yra skiriamos</w:t>
      </w:r>
      <w:r w:rsidR="008F670E">
        <w:t xml:space="preserve"> 2021</w:t>
      </w:r>
      <w:r w:rsidR="00C83A58">
        <w:t>–</w:t>
      </w:r>
      <w:r w:rsidR="008F670E">
        <w:t xml:space="preserve">2027 m. Europos </w:t>
      </w:r>
      <w:r w:rsidR="00036906">
        <w:t xml:space="preserve">Sąjungos fondų investicijų programos </w:t>
      </w:r>
      <w:r w:rsidR="00DA6EFB">
        <w:t xml:space="preserve">(toliau – Investicijų programa) </w:t>
      </w:r>
      <w:r w:rsidR="00036906">
        <w:t>lėšos</w:t>
      </w:r>
      <w:r w:rsidR="00E31D25">
        <w:t xml:space="preserve">. </w:t>
      </w:r>
      <w:r w:rsidR="00C91957">
        <w:t>RPP įgyvendi</w:t>
      </w:r>
      <w:r w:rsidR="00C13DFE">
        <w:t>nti yra patvirti</w:t>
      </w:r>
      <w:r w:rsidR="001A6BB3">
        <w:t xml:space="preserve">nta </w:t>
      </w:r>
      <w:r w:rsidR="0077797A">
        <w:t xml:space="preserve">10 </w:t>
      </w:r>
      <w:r w:rsidR="00B12E6C">
        <w:t>regionų plėtros planų</w:t>
      </w:r>
      <w:r w:rsidR="007B3749">
        <w:t xml:space="preserve"> (toliau – RPPl)</w:t>
      </w:r>
      <w:r w:rsidR="00B12E6C">
        <w:t>, kurių pažangos priemonė</w:t>
      </w:r>
      <w:r w:rsidR="00E62079">
        <w:t>se</w:t>
      </w:r>
      <w:r w:rsidR="00B12E6C">
        <w:t xml:space="preserve"> </w:t>
      </w:r>
      <w:r w:rsidR="003A6C29">
        <w:t xml:space="preserve">(iš viso ~114) </w:t>
      </w:r>
      <w:r w:rsidR="00B12E6C">
        <w:t>suplanuot</w:t>
      </w:r>
      <w:r w:rsidR="00E91859">
        <w:t>o</w:t>
      </w:r>
      <w:r w:rsidR="00B12E6C">
        <w:t>s visos</w:t>
      </w:r>
      <w:r w:rsidR="0077797A">
        <w:t xml:space="preserve"> ES</w:t>
      </w:r>
      <w:r w:rsidR="009702DD">
        <w:t xml:space="preserve"> fondų lėšos, preliminariai numatytos kiekvienam</w:t>
      </w:r>
      <w:r w:rsidR="00B12E6C">
        <w:t xml:space="preserve"> regionui </w:t>
      </w:r>
      <w:r w:rsidR="009702DD">
        <w:t xml:space="preserve">RPP </w:t>
      </w:r>
      <w:r w:rsidR="00366EFC">
        <w:t>IV skyriuje.</w:t>
      </w:r>
    </w:p>
    <w:p w14:paraId="33DFE071" w14:textId="09013270" w:rsidR="00366EFC" w:rsidRPr="00800DB5" w:rsidRDefault="008145B9" w:rsidP="00167E63">
      <w:pPr>
        <w:ind w:firstLine="709"/>
        <w:jc w:val="both"/>
      </w:pPr>
      <w:r>
        <w:t>Vyriausybės strateginės analizės centr</w:t>
      </w:r>
      <w:r w:rsidR="00503039">
        <w:t xml:space="preserve">as, atlikęs </w:t>
      </w:r>
      <w:r w:rsidR="00800697">
        <w:t>NPP 7 strateginio tikslo</w:t>
      </w:r>
      <w:r>
        <w:t xml:space="preserve"> </w:t>
      </w:r>
      <w:r w:rsidR="00461DFB">
        <w:t>intervencijų logikos vertinimą</w:t>
      </w:r>
      <w:r w:rsidR="00BF2839">
        <w:rPr>
          <w:rStyle w:val="Puslapioinaosnuoroda"/>
        </w:rPr>
        <w:footnoteReference w:id="7"/>
      </w:r>
      <w:r w:rsidR="00461DFB">
        <w:t>, padarė išvadą</w:t>
      </w:r>
      <w:r w:rsidR="000618D2">
        <w:t>, kad</w:t>
      </w:r>
      <w:r w:rsidR="002C0B51">
        <w:t xml:space="preserve"> </w:t>
      </w:r>
      <w:r w:rsidR="008E556F">
        <w:t xml:space="preserve">bendra </w:t>
      </w:r>
      <w:r w:rsidR="000618D2">
        <w:t xml:space="preserve">NPP </w:t>
      </w:r>
      <w:r w:rsidR="008E556F">
        <w:t xml:space="preserve">7 </w:t>
      </w:r>
      <w:r w:rsidR="000618D2">
        <w:t xml:space="preserve">strateginio </w:t>
      </w:r>
      <w:r w:rsidR="008E556F">
        <w:t xml:space="preserve">tikslo intervencija yra tinkama </w:t>
      </w:r>
      <w:r w:rsidR="000618D2">
        <w:t xml:space="preserve">šio </w:t>
      </w:r>
      <w:r w:rsidR="008E556F">
        <w:t>tikslo rodiklių pasiekimui</w:t>
      </w:r>
      <w:r w:rsidR="001762AF">
        <w:t xml:space="preserve">. </w:t>
      </w:r>
      <w:r w:rsidR="002F2826" w:rsidRPr="00167E63">
        <w:t>Lietuvos Respublikos valstybės kontrolė</w:t>
      </w:r>
      <w:r w:rsidR="005037A5" w:rsidRPr="00167E63">
        <w:t xml:space="preserve">, </w:t>
      </w:r>
      <w:r w:rsidR="0025232B">
        <w:t>į</w:t>
      </w:r>
      <w:r w:rsidR="005037A5">
        <w:t xml:space="preserve">vertinusi RPP rengimo ir įgyvendinimo organizavimą </w:t>
      </w:r>
      <w:r w:rsidR="00CB3A7B">
        <w:t>(</w:t>
      </w:r>
      <w:r w:rsidR="00B248DF">
        <w:t xml:space="preserve">laikotarpiu nuo </w:t>
      </w:r>
      <w:r w:rsidR="00CB3A7B">
        <w:t>2021</w:t>
      </w:r>
      <w:r w:rsidR="00F21BE2">
        <w:t xml:space="preserve"> </w:t>
      </w:r>
      <w:r w:rsidR="00B248DF">
        <w:t xml:space="preserve">iki </w:t>
      </w:r>
      <w:r w:rsidR="00CB3A7B">
        <w:t>2024 m. II ketv</w:t>
      </w:r>
      <w:r w:rsidR="00B248DF">
        <w:t xml:space="preserve">.) </w:t>
      </w:r>
      <w:r w:rsidR="005037A5">
        <w:t>efektyvumo ir rezultatyvumo požiūriu</w:t>
      </w:r>
      <w:r w:rsidR="00167E63">
        <w:t xml:space="preserve">, </w:t>
      </w:r>
      <w:r w:rsidR="0026419B" w:rsidRPr="00800DB5">
        <w:t>valstyb</w:t>
      </w:r>
      <w:r w:rsidR="00277474" w:rsidRPr="00800DB5">
        <w:t xml:space="preserve">inio audito </w:t>
      </w:r>
      <w:r w:rsidR="00167E63" w:rsidRPr="00800DB5">
        <w:t>ataskaitoje ,,</w:t>
      </w:r>
      <w:r w:rsidR="00277474" w:rsidRPr="00800DB5">
        <w:t>2022–2030 m. Regionų plėtros programa“</w:t>
      </w:r>
      <w:r w:rsidR="00400AA8" w:rsidRPr="00800DB5">
        <w:rPr>
          <w:rStyle w:val="Puslapioinaosnuoroda"/>
        </w:rPr>
        <w:footnoteReference w:id="8"/>
      </w:r>
      <w:r w:rsidR="00277474" w:rsidRPr="00800DB5">
        <w:t xml:space="preserve"> </w:t>
      </w:r>
      <w:r w:rsidR="00F00666" w:rsidRPr="00800DB5">
        <w:t>padarė išvadą</w:t>
      </w:r>
      <w:r w:rsidR="00277474" w:rsidRPr="00800DB5">
        <w:t xml:space="preserve">, kad </w:t>
      </w:r>
      <w:r w:rsidR="00F00666" w:rsidRPr="00800DB5">
        <w:t xml:space="preserve">RPP </w:t>
      </w:r>
      <w:r w:rsidR="00565A2E" w:rsidRPr="00800DB5">
        <w:t xml:space="preserve">ir joje numatytos regioninės pažangos priemonės </w:t>
      </w:r>
      <w:r w:rsidR="00F00666" w:rsidRPr="00800DB5">
        <w:t>regionų poreikius atliepė iš dalies</w:t>
      </w:r>
      <w:r w:rsidR="00565A2E" w:rsidRPr="00800DB5">
        <w:t xml:space="preserve">. </w:t>
      </w:r>
    </w:p>
    <w:p w14:paraId="74DD62D3" w14:textId="5FED2253" w:rsidR="00F61CA9" w:rsidRDefault="00CA010D" w:rsidP="00167E63">
      <w:pPr>
        <w:ind w:firstLine="709"/>
        <w:jc w:val="both"/>
      </w:pPr>
      <w:r w:rsidRPr="00800DB5">
        <w:t>2026 metai</w:t>
      </w:r>
      <w:r w:rsidR="00E62C7E" w:rsidRPr="00800DB5">
        <w:t xml:space="preserve"> – </w:t>
      </w:r>
      <w:r w:rsidR="00786F7C" w:rsidRPr="00800DB5">
        <w:t xml:space="preserve">pasirengimo naujam strateginio planavimo laikotarpiui pradžios metai (bus pradėta rengti ateinančio programavimo laikotarpio </w:t>
      </w:r>
      <w:r w:rsidR="00096B33" w:rsidRPr="00800DB5">
        <w:t>ES fondų investicijų progra</w:t>
      </w:r>
      <w:r w:rsidR="00786F7C" w:rsidRPr="00800DB5">
        <w:t>ma)</w:t>
      </w:r>
      <w:r w:rsidR="00096B33" w:rsidRPr="00800DB5">
        <w:t xml:space="preserve">. </w:t>
      </w:r>
      <w:r w:rsidR="00786F7C" w:rsidRPr="00800DB5">
        <w:t>Atsižvelg</w:t>
      </w:r>
      <w:r w:rsidR="00156E6D" w:rsidRPr="00800DB5">
        <w:t>dama</w:t>
      </w:r>
      <w:r w:rsidR="00786F7C" w:rsidRPr="00800DB5">
        <w:t xml:space="preserve"> į Regioninės plėtros įstatyme nustatytą nacionalinės regioninės politikos tikslą – </w:t>
      </w:r>
      <w:r w:rsidR="00786F7C" w:rsidRPr="00800DB5">
        <w:rPr>
          <w:color w:val="000000"/>
        </w:rPr>
        <w:t>skatinti tolygią ir tvarią plėtrą visoje valstybės teritorijoje</w:t>
      </w:r>
      <w:r w:rsidR="00786F7C" w:rsidRPr="00800DB5">
        <w:t xml:space="preserve">, </w:t>
      </w:r>
      <w:r w:rsidR="00156E6D" w:rsidRPr="00800DB5">
        <w:t xml:space="preserve">Vidaus reikalų ministerija </w:t>
      </w:r>
      <w:r w:rsidR="00786F7C" w:rsidRPr="00800DB5">
        <w:t>siekia</w:t>
      </w:r>
      <w:r w:rsidR="00571F7A" w:rsidRPr="00800DB5">
        <w:t>, kad</w:t>
      </w:r>
      <w:r w:rsidR="0096683F" w:rsidRPr="00800DB5">
        <w:t xml:space="preserve"> </w:t>
      </w:r>
      <w:r w:rsidR="00FD0B18" w:rsidRPr="00800DB5">
        <w:t xml:space="preserve">būsimos </w:t>
      </w:r>
      <w:r w:rsidR="0096683F" w:rsidRPr="00800DB5">
        <w:t xml:space="preserve">investicijų kryptys </w:t>
      </w:r>
      <w:r w:rsidR="00747BF5" w:rsidRPr="00800DB5">
        <w:t xml:space="preserve">ir regioninės pažangos priemonės </w:t>
      </w:r>
      <w:r w:rsidR="00FD0B18" w:rsidRPr="00800DB5">
        <w:t xml:space="preserve">atitiktų </w:t>
      </w:r>
      <w:r w:rsidR="00571F7A" w:rsidRPr="00800DB5">
        <w:t>regionų plėtros poreikius</w:t>
      </w:r>
      <w:r w:rsidR="00786F7C" w:rsidRPr="00800DB5">
        <w:t xml:space="preserve">, </w:t>
      </w:r>
      <w:r w:rsidR="002A3845" w:rsidRPr="00800DB5">
        <w:t xml:space="preserve">t. y. sudarytų galimybę investuoti </w:t>
      </w:r>
      <w:r w:rsidR="0034751A" w:rsidRPr="00800DB5">
        <w:t>į regionų plėtros problemų priežasčių šalinimą</w:t>
      </w:r>
      <w:r w:rsidR="00786F7C" w:rsidRPr="00800DB5">
        <w:t xml:space="preserve">. </w:t>
      </w:r>
      <w:r w:rsidR="00156E6D" w:rsidRPr="00800DB5">
        <w:t>Tam</w:t>
      </w:r>
      <w:r w:rsidR="00F01F1F" w:rsidRPr="00800DB5">
        <w:t xml:space="preserve"> reikalingas</w:t>
      </w:r>
      <w:r w:rsidR="00BE4B7F" w:rsidRPr="00800DB5">
        <w:t xml:space="preserve"> gilesnis </w:t>
      </w:r>
      <w:r w:rsidR="00156E6D" w:rsidRPr="00800DB5">
        <w:t xml:space="preserve">regionų plėtros poreikių ir </w:t>
      </w:r>
      <w:r w:rsidR="0065426B" w:rsidRPr="00800DB5">
        <w:t xml:space="preserve">RPP numatytų regioninių pažangos priemonių atitikties regionų </w:t>
      </w:r>
      <w:r w:rsidR="00156E6D" w:rsidRPr="00800DB5">
        <w:t xml:space="preserve">plėtros </w:t>
      </w:r>
      <w:r w:rsidR="0065426B" w:rsidRPr="00800DB5">
        <w:t xml:space="preserve">poreikiams </w:t>
      </w:r>
      <w:r w:rsidR="00156E6D" w:rsidRPr="00800DB5">
        <w:t>į</w:t>
      </w:r>
      <w:r w:rsidR="0065426B" w:rsidRPr="00800DB5">
        <w:t>vertinimas.</w:t>
      </w:r>
    </w:p>
    <w:p w14:paraId="56354100" w14:textId="720A881D" w:rsidR="00F772E3" w:rsidRPr="00AF2923" w:rsidRDefault="00D038C7" w:rsidP="00F772E3">
      <w:pPr>
        <w:ind w:firstLine="709"/>
        <w:jc w:val="both"/>
      </w:pPr>
      <w:r w:rsidRPr="00AF2923">
        <w:t>Atsižvelgiant į tai, kas išdėstyta</w:t>
      </w:r>
      <w:r w:rsidR="00ED585A" w:rsidRPr="00AF2923">
        <w:t xml:space="preserve">, </w:t>
      </w:r>
      <w:r w:rsidR="005E5401">
        <w:t>siekiama</w:t>
      </w:r>
      <w:r w:rsidR="00067ED5">
        <w:t xml:space="preserve"> </w:t>
      </w:r>
      <w:r w:rsidR="00EC796C">
        <w:t xml:space="preserve">tobulinti </w:t>
      </w:r>
      <w:r w:rsidR="00C71DA8" w:rsidRPr="00AF2923">
        <w:t xml:space="preserve">į </w:t>
      </w:r>
      <w:r w:rsidR="000376BE" w:rsidRPr="00AF2923">
        <w:t xml:space="preserve">NPP </w:t>
      </w:r>
      <w:r w:rsidR="006453D3" w:rsidRPr="00AF2923">
        <w:t xml:space="preserve">7 </w:t>
      </w:r>
      <w:r w:rsidR="00C71DA8" w:rsidRPr="00AF2923">
        <w:t>strateginio tikslo siekimą</w:t>
      </w:r>
      <w:r w:rsidR="005E5401">
        <w:t xml:space="preserve"> nukreip</w:t>
      </w:r>
      <w:r w:rsidR="00852587">
        <w:t>tas intervencijas</w:t>
      </w:r>
      <w:r w:rsidR="00047480">
        <w:t xml:space="preserve"> ir</w:t>
      </w:r>
      <w:r w:rsidR="00047480" w:rsidRPr="00AF2923">
        <w:t xml:space="preserve"> regioninių pažangos priemonių planavimo nacionalinėse plėtros programose sistemą</w:t>
      </w:r>
      <w:r w:rsidR="00C71DA8" w:rsidRPr="00AF2923">
        <w:t xml:space="preserve">, </w:t>
      </w:r>
      <w:r w:rsidR="003133B6">
        <w:t xml:space="preserve">bei </w:t>
      </w:r>
      <w:r w:rsidR="00C71DA8" w:rsidRPr="00AF2923">
        <w:t>pasirengti naujam investavimo į regionų plėtrą laikotarpiui</w:t>
      </w:r>
      <w:r w:rsidR="00F772E3" w:rsidRPr="00AF2923">
        <w:t>.</w:t>
      </w:r>
    </w:p>
    <w:p w14:paraId="5E4D57AA" w14:textId="77777777" w:rsidR="00AF2923" w:rsidRDefault="00AF2923" w:rsidP="00F772E3">
      <w:pPr>
        <w:ind w:right="45" w:firstLine="720"/>
        <w:jc w:val="center"/>
        <w:rPr>
          <w:b/>
        </w:rPr>
      </w:pPr>
    </w:p>
    <w:p w14:paraId="5ABA9B29" w14:textId="3F6344A6" w:rsidR="00F772E3" w:rsidRPr="00CB42C7" w:rsidRDefault="00F772E3" w:rsidP="00F772E3">
      <w:pPr>
        <w:ind w:right="45" w:firstLine="720"/>
        <w:jc w:val="center"/>
        <w:rPr>
          <w:b/>
        </w:rPr>
      </w:pPr>
      <w:r w:rsidRPr="00CB42C7">
        <w:rPr>
          <w:b/>
        </w:rPr>
        <w:t xml:space="preserve">II. </w:t>
      </w:r>
      <w:r w:rsidRPr="00CB42C7">
        <w:rPr>
          <w:b/>
          <w:bCs/>
        </w:rPr>
        <w:t>VERTINIMO TIKSLAS, UŽDAVINIAI</w:t>
      </w:r>
      <w:r w:rsidR="00DF21A3">
        <w:rPr>
          <w:b/>
          <w:bCs/>
        </w:rPr>
        <w:t xml:space="preserve">, </w:t>
      </w:r>
      <w:r w:rsidRPr="00CB42C7">
        <w:rPr>
          <w:b/>
          <w:bCs/>
        </w:rPr>
        <w:t>REZULTATAI</w:t>
      </w:r>
    </w:p>
    <w:p w14:paraId="43DF4AF6" w14:textId="77777777" w:rsidR="00F772E3" w:rsidRPr="00CB42C7" w:rsidRDefault="00F772E3" w:rsidP="00F772E3">
      <w:pPr>
        <w:ind w:right="45" w:firstLine="720"/>
        <w:jc w:val="both"/>
        <w:rPr>
          <w:b/>
        </w:rPr>
      </w:pPr>
    </w:p>
    <w:p w14:paraId="37A31388" w14:textId="6E447421" w:rsidR="00F772E3" w:rsidRPr="00040F71" w:rsidRDefault="00F772E3" w:rsidP="00242332">
      <w:pPr>
        <w:numPr>
          <w:ilvl w:val="0"/>
          <w:numId w:val="8"/>
        </w:numPr>
        <w:tabs>
          <w:tab w:val="left" w:pos="1134"/>
        </w:tabs>
        <w:ind w:left="0" w:firstLine="709"/>
        <w:jc w:val="both"/>
        <w:rPr>
          <w:b/>
        </w:rPr>
      </w:pPr>
      <w:r w:rsidRPr="00040F71">
        <w:rPr>
          <w:b/>
        </w:rPr>
        <w:t>Vertinimo tikslas</w:t>
      </w:r>
      <w:r w:rsidR="00040F71" w:rsidRPr="00040F71">
        <w:rPr>
          <w:b/>
        </w:rPr>
        <w:t xml:space="preserve"> </w:t>
      </w:r>
      <w:r w:rsidR="00040F71">
        <w:t>– n</w:t>
      </w:r>
      <w:r>
        <w:t xml:space="preserve">ustatyti </w:t>
      </w:r>
      <w:r w:rsidR="00602304" w:rsidRPr="00040F71">
        <w:rPr>
          <w:bCs/>
        </w:rPr>
        <w:t xml:space="preserve">regioninių pažangos priemonių ir </w:t>
      </w:r>
      <w:r w:rsidR="00597F17" w:rsidRPr="00040F71">
        <w:rPr>
          <w:bCs/>
        </w:rPr>
        <w:t xml:space="preserve">RPPl </w:t>
      </w:r>
      <w:r w:rsidR="00602304" w:rsidRPr="00040F71">
        <w:rPr>
          <w:bCs/>
        </w:rPr>
        <w:t xml:space="preserve">pažangos priemonių tinkamumą, pakankamumą ir tikėtiną poveikį, siekiant patobulinti intervencijas ir </w:t>
      </w:r>
      <w:r w:rsidR="00602304" w:rsidRPr="00870C10">
        <w:t>regioninių pažangos priemonių planavimo nacionalinėse plėtros programose sistemą</w:t>
      </w:r>
      <w:r w:rsidR="00213CF6">
        <w:t xml:space="preserve">. </w:t>
      </w:r>
    </w:p>
    <w:p w14:paraId="063108C6" w14:textId="51C9AF49" w:rsidR="00F772E3" w:rsidRDefault="00F772E3" w:rsidP="00773708">
      <w:pPr>
        <w:numPr>
          <w:ilvl w:val="0"/>
          <w:numId w:val="8"/>
        </w:numPr>
        <w:tabs>
          <w:tab w:val="left" w:pos="1134"/>
        </w:tabs>
        <w:ind w:left="0" w:firstLine="709"/>
        <w:jc w:val="both"/>
        <w:rPr>
          <w:b/>
        </w:rPr>
      </w:pPr>
      <w:r w:rsidRPr="00CB42C7">
        <w:rPr>
          <w:b/>
        </w:rPr>
        <w:t>Vertinimo uždaviniai</w:t>
      </w:r>
      <w:r w:rsidR="00040F71">
        <w:rPr>
          <w:b/>
        </w:rPr>
        <w:t>:</w:t>
      </w:r>
    </w:p>
    <w:p w14:paraId="0F589815" w14:textId="384A340C" w:rsidR="001D5102" w:rsidRPr="00BC0E75" w:rsidRDefault="00BC0E75" w:rsidP="00BC0E75">
      <w:pPr>
        <w:tabs>
          <w:tab w:val="left" w:pos="0"/>
        </w:tabs>
        <w:ind w:firstLine="709"/>
        <w:jc w:val="both"/>
        <w:rPr>
          <w:bCs/>
        </w:rPr>
      </w:pPr>
      <w:r>
        <w:rPr>
          <w:lang w:eastAsia="lt-LT"/>
        </w:rPr>
        <w:t>4.</w:t>
      </w:r>
      <w:r w:rsidR="001D5102" w:rsidRPr="00D554D8">
        <w:rPr>
          <w:lang w:eastAsia="lt-LT"/>
        </w:rPr>
        <w:t xml:space="preserve">1. </w:t>
      </w:r>
      <w:r w:rsidR="001D5102" w:rsidRPr="00800DB5">
        <w:rPr>
          <w:lang w:eastAsia="lt-LT"/>
        </w:rPr>
        <w:t xml:space="preserve">Įvertinti </w:t>
      </w:r>
      <w:r w:rsidR="007B0C73" w:rsidRPr="00800DB5">
        <w:rPr>
          <w:lang w:eastAsia="lt-LT"/>
        </w:rPr>
        <w:t xml:space="preserve">RPP numatytų </w:t>
      </w:r>
      <w:r w:rsidR="001D5102" w:rsidRPr="00800DB5">
        <w:rPr>
          <w:lang w:eastAsia="lt-LT"/>
        </w:rPr>
        <w:t xml:space="preserve">regioninių pažangos priemonių tinkamumą ir pakankamumą, siekiant </w:t>
      </w:r>
      <w:r w:rsidR="001D5102" w:rsidRPr="00800DB5">
        <w:rPr>
          <w:bCs/>
        </w:rPr>
        <w:t xml:space="preserve">NPP 7 strateginio tikslo ir </w:t>
      </w:r>
      <w:r w:rsidR="00533E62" w:rsidRPr="00800DB5">
        <w:rPr>
          <w:bCs/>
        </w:rPr>
        <w:t xml:space="preserve">RPPl </w:t>
      </w:r>
      <w:r w:rsidR="001D5102" w:rsidRPr="00800DB5">
        <w:rPr>
          <w:bCs/>
        </w:rPr>
        <w:t>nustatytų regionų plėtros tikslų</w:t>
      </w:r>
      <w:r w:rsidR="001A773D" w:rsidRPr="00800DB5">
        <w:rPr>
          <w:bCs/>
        </w:rPr>
        <w:t xml:space="preserve"> (toliau </w:t>
      </w:r>
      <w:r w:rsidR="002B2321" w:rsidRPr="00800DB5">
        <w:rPr>
          <w:bCs/>
        </w:rPr>
        <w:t>–</w:t>
      </w:r>
      <w:r w:rsidR="001A773D" w:rsidRPr="00800DB5">
        <w:rPr>
          <w:bCs/>
        </w:rPr>
        <w:t xml:space="preserve"> RPPl</w:t>
      </w:r>
      <w:r w:rsidR="002B2321" w:rsidRPr="00800DB5">
        <w:rPr>
          <w:bCs/>
        </w:rPr>
        <w:t xml:space="preserve"> regionų plėtros tikslai)</w:t>
      </w:r>
      <w:r w:rsidR="001D5102" w:rsidRPr="00800DB5">
        <w:rPr>
          <w:bCs/>
        </w:rPr>
        <w:t>;</w:t>
      </w:r>
      <w:r w:rsidR="001D5102" w:rsidRPr="00BC0E75">
        <w:rPr>
          <w:bCs/>
        </w:rPr>
        <w:t xml:space="preserve"> </w:t>
      </w:r>
    </w:p>
    <w:p w14:paraId="54CF21BD" w14:textId="7F520865" w:rsidR="001D5102" w:rsidRPr="00BC0E75" w:rsidRDefault="00BC0E75" w:rsidP="00BC0E75">
      <w:pPr>
        <w:tabs>
          <w:tab w:val="left" w:pos="0"/>
        </w:tabs>
        <w:ind w:firstLine="709"/>
        <w:jc w:val="both"/>
        <w:rPr>
          <w:strike/>
          <w:lang w:eastAsia="lt-LT"/>
        </w:rPr>
      </w:pPr>
      <w:r>
        <w:rPr>
          <w:bCs/>
        </w:rPr>
        <w:t>4.2.</w:t>
      </w:r>
      <w:r w:rsidR="001D5102" w:rsidRPr="00BC0E75">
        <w:rPr>
          <w:bCs/>
        </w:rPr>
        <w:t xml:space="preserve"> </w:t>
      </w:r>
      <w:r w:rsidR="001D5102" w:rsidRPr="00D554D8">
        <w:rPr>
          <w:lang w:eastAsia="lt-LT"/>
        </w:rPr>
        <w:t xml:space="preserve">Įvertinti </w:t>
      </w:r>
      <w:r w:rsidR="00533E62">
        <w:rPr>
          <w:lang w:eastAsia="lt-LT"/>
        </w:rPr>
        <w:t>RPPl</w:t>
      </w:r>
      <w:r w:rsidR="001D5102" w:rsidRPr="00D554D8">
        <w:rPr>
          <w:lang w:eastAsia="lt-LT"/>
        </w:rPr>
        <w:t xml:space="preserve"> pažangos priemonių tinkamumą ir pakankamumą, siekiant </w:t>
      </w:r>
      <w:r w:rsidR="001D5102" w:rsidRPr="00BC0E75">
        <w:rPr>
          <w:bCs/>
        </w:rPr>
        <w:t xml:space="preserve">NPP 7 strateginio tikslo ir RPPl regionų plėtros tikslų; </w:t>
      </w:r>
    </w:p>
    <w:p w14:paraId="294E2DC6" w14:textId="2B10449C" w:rsidR="001D5102" w:rsidRPr="00BC0E75" w:rsidRDefault="00BC0E75" w:rsidP="00BC0E75">
      <w:pPr>
        <w:tabs>
          <w:tab w:val="left" w:pos="1134"/>
          <w:tab w:val="left" w:pos="1276"/>
        </w:tabs>
        <w:ind w:firstLine="709"/>
        <w:jc w:val="both"/>
        <w:rPr>
          <w:strike/>
          <w:lang w:eastAsia="lt-LT"/>
        </w:rPr>
      </w:pPr>
      <w:r>
        <w:rPr>
          <w:lang w:eastAsia="lt-LT"/>
        </w:rPr>
        <w:lastRenderedPageBreak/>
        <w:t xml:space="preserve">4.3. </w:t>
      </w:r>
      <w:r w:rsidR="001D5102" w:rsidRPr="00CA3DCE">
        <w:rPr>
          <w:lang w:eastAsia="lt-LT"/>
        </w:rPr>
        <w:t xml:space="preserve">Įvertinti </w:t>
      </w:r>
      <w:r w:rsidR="001A773D">
        <w:rPr>
          <w:lang w:eastAsia="lt-LT"/>
        </w:rPr>
        <w:t>RPPl</w:t>
      </w:r>
      <w:r w:rsidR="001D5102" w:rsidRPr="00CA3DCE">
        <w:rPr>
          <w:lang w:eastAsia="lt-LT"/>
        </w:rPr>
        <w:t xml:space="preserve"> suplanuotų investicijų tikėtiną poveikį </w:t>
      </w:r>
      <w:r w:rsidR="000150F7">
        <w:rPr>
          <w:color w:val="000000"/>
        </w:rPr>
        <w:t>RPP</w:t>
      </w:r>
      <w:r w:rsidR="000D2EBE">
        <w:rPr>
          <w:color w:val="000000"/>
        </w:rPr>
        <w:t xml:space="preserve"> </w:t>
      </w:r>
      <w:r w:rsidR="001D5102" w:rsidRPr="00CA3DCE">
        <w:rPr>
          <w:lang w:eastAsia="lt-LT"/>
        </w:rPr>
        <w:t xml:space="preserve">nurodytų </w:t>
      </w:r>
      <w:r w:rsidR="001D5102" w:rsidRPr="00BC0E75">
        <w:rPr>
          <w:bCs/>
        </w:rPr>
        <w:t>regioninės plėtros problemų (toliau – RPP regioninės plėtros problemos) mastui;</w:t>
      </w:r>
    </w:p>
    <w:p w14:paraId="373EBDCD" w14:textId="5833159F" w:rsidR="001D5102" w:rsidRPr="00BC0E75" w:rsidRDefault="001D5102" w:rsidP="00810EB1">
      <w:pPr>
        <w:pStyle w:val="Sraopastraipa"/>
        <w:numPr>
          <w:ilvl w:val="1"/>
          <w:numId w:val="3"/>
        </w:numPr>
        <w:tabs>
          <w:tab w:val="left" w:pos="1134"/>
          <w:tab w:val="left" w:pos="1276"/>
        </w:tabs>
        <w:ind w:left="0" w:firstLine="709"/>
        <w:jc w:val="both"/>
        <w:rPr>
          <w:bCs/>
          <w:iCs/>
          <w:lang w:eastAsia="lt-LT"/>
        </w:rPr>
      </w:pPr>
      <w:r w:rsidRPr="00BC0E75">
        <w:rPr>
          <w:bCs/>
        </w:rPr>
        <w:t>Pateikti išvadas ir rekomendacijas dėl tikslingų investavimo į regionų plėtrą krypčių ateityje (po 2027 metų)</w:t>
      </w:r>
      <w:r w:rsidRPr="00BC0E75">
        <w:rPr>
          <w:bCs/>
          <w:iCs/>
          <w:lang w:eastAsia="lt-LT"/>
        </w:rPr>
        <w:t>;</w:t>
      </w:r>
    </w:p>
    <w:p w14:paraId="218F3E5F" w14:textId="052DACAB" w:rsidR="001D5102" w:rsidRPr="00BC0E75" w:rsidRDefault="00BC0E75" w:rsidP="00BC0E75">
      <w:pPr>
        <w:tabs>
          <w:tab w:val="left" w:pos="1134"/>
        </w:tabs>
        <w:ind w:firstLine="709"/>
        <w:jc w:val="both"/>
        <w:rPr>
          <w:b/>
        </w:rPr>
      </w:pPr>
      <w:r>
        <w:rPr>
          <w:bCs/>
        </w:rPr>
        <w:t xml:space="preserve">4.5. </w:t>
      </w:r>
      <w:r w:rsidR="001D5102" w:rsidRPr="00BC0E75">
        <w:rPr>
          <w:bCs/>
        </w:rPr>
        <w:t xml:space="preserve">Įvertinti regioninių pažangos priemonių planavimo nacionalinėse plėtros programose sistemos tinkamumą, siekiant spręsti </w:t>
      </w:r>
      <w:r w:rsidR="001D5102" w:rsidRPr="00DF59F2">
        <w:rPr>
          <w:bCs/>
        </w:rPr>
        <w:t>RPP regioninės plėtros problemas</w:t>
      </w:r>
      <w:r w:rsidR="001D5102" w:rsidRPr="00BC0E75">
        <w:rPr>
          <w:bCs/>
        </w:rPr>
        <w:t>.</w:t>
      </w:r>
    </w:p>
    <w:p w14:paraId="4C001123" w14:textId="58004C3E" w:rsidR="00F772E3" w:rsidRPr="00CB42C7" w:rsidRDefault="00F772E3" w:rsidP="00773708">
      <w:pPr>
        <w:numPr>
          <w:ilvl w:val="0"/>
          <w:numId w:val="8"/>
        </w:numPr>
        <w:tabs>
          <w:tab w:val="left" w:pos="1134"/>
        </w:tabs>
        <w:ind w:left="0" w:firstLine="709"/>
        <w:jc w:val="both"/>
        <w:rPr>
          <w:b/>
        </w:rPr>
      </w:pPr>
      <w:r w:rsidRPr="00CB42C7">
        <w:rPr>
          <w:b/>
        </w:rPr>
        <w:t>Vertinimo rezultatai</w:t>
      </w:r>
      <w:r w:rsidR="00040F71">
        <w:rPr>
          <w:b/>
        </w:rPr>
        <w:t>:</w:t>
      </w:r>
    </w:p>
    <w:p w14:paraId="399E5C08" w14:textId="3BB32E8E" w:rsidR="00F772E3" w:rsidRDefault="00F772E3" w:rsidP="00F772E3">
      <w:pPr>
        <w:tabs>
          <w:tab w:val="left" w:pos="0"/>
          <w:tab w:val="num" w:pos="567"/>
          <w:tab w:val="num" w:pos="960"/>
          <w:tab w:val="left" w:pos="1320"/>
        </w:tabs>
        <w:ind w:right="39" w:firstLine="709"/>
        <w:jc w:val="both"/>
      </w:pPr>
      <w:r w:rsidRPr="00CB42C7">
        <w:t xml:space="preserve">5.1. </w:t>
      </w:r>
      <w:r>
        <w:t>Parengta galutinė vertinimo ataskaita</w:t>
      </w:r>
      <w:r w:rsidR="00DF59F2">
        <w:t xml:space="preserve">, </w:t>
      </w:r>
      <w:r>
        <w:t xml:space="preserve">kurioje būtų pateikti atsakymai į TS </w:t>
      </w:r>
      <w:r w:rsidRPr="00493790">
        <w:t>9 punkte</w:t>
      </w:r>
      <w:r>
        <w:t xml:space="preserve"> nurodytus vertinimo klausimus su pagrįstomis išvadomis ir rekomendacijomis; </w:t>
      </w:r>
    </w:p>
    <w:p w14:paraId="0B3D8377" w14:textId="77777777" w:rsidR="00F772E3" w:rsidRDefault="00F772E3" w:rsidP="00F772E3">
      <w:pPr>
        <w:tabs>
          <w:tab w:val="left" w:pos="0"/>
          <w:tab w:val="num" w:pos="567"/>
          <w:tab w:val="num" w:pos="960"/>
          <w:tab w:val="left" w:pos="1320"/>
        </w:tabs>
        <w:ind w:right="39" w:firstLine="709"/>
        <w:jc w:val="both"/>
      </w:pPr>
      <w:r>
        <w:t>5.2. Kartu su galutine vertinimo ataskaita pateikta:</w:t>
      </w:r>
    </w:p>
    <w:p w14:paraId="51E91690" w14:textId="77777777" w:rsidR="00F772E3" w:rsidRDefault="00F772E3" w:rsidP="00F772E3">
      <w:pPr>
        <w:tabs>
          <w:tab w:val="left" w:pos="0"/>
          <w:tab w:val="num" w:pos="567"/>
          <w:tab w:val="num" w:pos="960"/>
          <w:tab w:val="left" w:pos="1320"/>
        </w:tabs>
        <w:ind w:right="39" w:firstLine="709"/>
        <w:jc w:val="both"/>
      </w:pPr>
      <w:r>
        <w:t>5.2.1. galutinės vertinimo ataskaitos santrauka lietuvių ir anglų kalbomis (apimtis – iki 10 lapų);</w:t>
      </w:r>
    </w:p>
    <w:p w14:paraId="6BE54151" w14:textId="33E81028" w:rsidR="00F772E3" w:rsidRDefault="00F772E3" w:rsidP="00F772E3">
      <w:pPr>
        <w:tabs>
          <w:tab w:val="left" w:pos="0"/>
          <w:tab w:val="num" w:pos="567"/>
          <w:tab w:val="num" w:pos="960"/>
          <w:tab w:val="left" w:pos="1320"/>
        </w:tabs>
        <w:ind w:right="39" w:firstLine="709"/>
        <w:jc w:val="both"/>
      </w:pPr>
      <w:r w:rsidRPr="00D773F1">
        <w:t>5.2.</w:t>
      </w:r>
      <w:r w:rsidR="00040F71">
        <w:t>2</w:t>
      </w:r>
      <w:r w:rsidRPr="00D773F1">
        <w:t xml:space="preserve">. </w:t>
      </w:r>
      <w:r>
        <w:t xml:space="preserve">priedai, kuriuose </w:t>
      </w:r>
      <w:r w:rsidRPr="00D773F1">
        <w:t>pateikta naudotų vertinimo metodų taikymą pagrindžianti informacija</w:t>
      </w:r>
      <w:r>
        <w:t>.</w:t>
      </w:r>
    </w:p>
    <w:p w14:paraId="5507C2E0" w14:textId="307EBF1A" w:rsidR="00F772E3" w:rsidRDefault="00F772E3" w:rsidP="00F772E3">
      <w:pPr>
        <w:tabs>
          <w:tab w:val="left" w:pos="0"/>
          <w:tab w:val="num" w:pos="567"/>
          <w:tab w:val="num" w:pos="960"/>
          <w:tab w:val="left" w:pos="1320"/>
        </w:tabs>
        <w:ind w:right="39" w:firstLine="709"/>
        <w:jc w:val="both"/>
      </w:pPr>
      <w:r>
        <w:t xml:space="preserve">5.3. </w:t>
      </w:r>
      <w:r w:rsidRPr="00FF40D9">
        <w:t>Surengtas 1 viešas vertinimo rezultatų pristatymas</w:t>
      </w:r>
      <w:r w:rsidR="004853C4" w:rsidRPr="00FF40D9">
        <w:t xml:space="preserve"> (~ </w:t>
      </w:r>
      <w:r w:rsidR="00FF40D9" w:rsidRPr="00FF40D9">
        <w:t>4</w:t>
      </w:r>
      <w:r w:rsidR="004853C4" w:rsidRPr="00FF40D9">
        <w:t xml:space="preserve"> val. trukmės)</w:t>
      </w:r>
      <w:r w:rsidR="00326959" w:rsidRPr="00FF40D9">
        <w:t xml:space="preserve">, </w:t>
      </w:r>
      <w:r w:rsidR="000019DD" w:rsidRPr="00FF40D9">
        <w:t>į kurį būtų pakviesta</w:t>
      </w:r>
      <w:r w:rsidR="00A21378" w:rsidRPr="00FF40D9">
        <w:t xml:space="preserve"> ne mažiau kaip </w:t>
      </w:r>
      <w:r w:rsidR="0076617A" w:rsidRPr="00FF40D9">
        <w:t xml:space="preserve">90 </w:t>
      </w:r>
      <w:r w:rsidR="008A2390" w:rsidRPr="00FF40D9">
        <w:t>tikslinės grupės atstovų</w:t>
      </w:r>
      <w:r w:rsidRPr="00FF40D9">
        <w:t xml:space="preserve">. Visos su šio pristatymo organizavimu susijusios išlaidos </w:t>
      </w:r>
      <w:r w:rsidR="004853C4" w:rsidRPr="00FF40D9">
        <w:t>(įskaitant renginio vietos nuomos ir kavos pertraukos išlaidas)</w:t>
      </w:r>
      <w:r w:rsidR="004853C4">
        <w:t xml:space="preserve"> </w:t>
      </w:r>
      <w:r>
        <w:t xml:space="preserve">turės būti apmokamos paslaugų teikėjo. </w:t>
      </w:r>
      <w:r w:rsidR="00337131">
        <w:t>Vidaus reikalų ministerija</w:t>
      </w:r>
      <w:r>
        <w:t xml:space="preserve"> savo iniciatyva gali organizuoti papildomus pristatymus, į kuriuos būtų kviečiami paslaugų teikėjo ekspertai pristatyti vertinimo rezultatus.</w:t>
      </w:r>
    </w:p>
    <w:p w14:paraId="1B83F0E1" w14:textId="0C1D08F5" w:rsidR="00F772E3" w:rsidRPr="00CB42C7" w:rsidRDefault="00F772E3" w:rsidP="00242332">
      <w:pPr>
        <w:pStyle w:val="Sraopastraipa"/>
        <w:tabs>
          <w:tab w:val="left" w:pos="1276"/>
        </w:tabs>
        <w:ind w:left="0" w:right="45" w:firstLine="709"/>
        <w:jc w:val="both"/>
      </w:pPr>
      <w:r w:rsidRPr="00CB42C7">
        <w:rPr>
          <w:b/>
        </w:rPr>
        <w:t>6.</w:t>
      </w:r>
      <w:r w:rsidRPr="00CB42C7">
        <w:rPr>
          <w:b/>
        </w:rPr>
        <w:tab/>
        <w:t>Tikslinė grupė</w:t>
      </w:r>
      <w:r w:rsidRPr="00CB42C7">
        <w:t xml:space="preserve"> </w:t>
      </w:r>
      <w:r w:rsidR="00040F71">
        <w:t>– v</w:t>
      </w:r>
      <w:r w:rsidRPr="00CB42C7">
        <w:t xml:space="preserve">ertinimo rezultatus naudos </w:t>
      </w:r>
      <w:r w:rsidRPr="00904CF9">
        <w:t xml:space="preserve">už </w:t>
      </w:r>
      <w:r w:rsidR="002047C8" w:rsidRPr="00904CF9">
        <w:t xml:space="preserve">regionų plėtrai skiriamų </w:t>
      </w:r>
      <w:r w:rsidRPr="00904CF9">
        <w:t>ES</w:t>
      </w:r>
      <w:r w:rsidRPr="00CB42C7">
        <w:t xml:space="preserve"> fondų lėšų planavimą, administravimą ir panaudojimą atsakingų institucijų atstovai ir kitos suinteresuotos institucijos ar asmenys.</w:t>
      </w:r>
    </w:p>
    <w:p w14:paraId="2FBC96B8" w14:textId="77777777" w:rsidR="00F772E3" w:rsidRPr="00CB42C7" w:rsidRDefault="00F772E3" w:rsidP="00F772E3">
      <w:pPr>
        <w:ind w:right="45" w:firstLine="720"/>
        <w:jc w:val="both"/>
      </w:pPr>
    </w:p>
    <w:p w14:paraId="70EEE669" w14:textId="377772B9" w:rsidR="00F772E3" w:rsidRPr="00CB42C7" w:rsidRDefault="00F772E3" w:rsidP="00F772E3">
      <w:pPr>
        <w:ind w:right="45" w:firstLine="720"/>
        <w:jc w:val="center"/>
        <w:rPr>
          <w:b/>
        </w:rPr>
      </w:pPr>
      <w:r w:rsidRPr="00CB42C7">
        <w:rPr>
          <w:b/>
        </w:rPr>
        <w:t xml:space="preserve">III. </w:t>
      </w:r>
      <w:r w:rsidRPr="00CB42C7">
        <w:rPr>
          <w:b/>
          <w:bCs/>
        </w:rPr>
        <w:t>VERTINIMO OBJEKTAS</w:t>
      </w:r>
      <w:r w:rsidR="007D4FE9">
        <w:rPr>
          <w:b/>
          <w:bCs/>
        </w:rPr>
        <w:t>, KRITERIJAI</w:t>
      </w:r>
      <w:r w:rsidRPr="00CB42C7">
        <w:rPr>
          <w:b/>
          <w:bCs/>
        </w:rPr>
        <w:t xml:space="preserve"> IR APIMTIS</w:t>
      </w:r>
    </w:p>
    <w:p w14:paraId="180A349F" w14:textId="77777777" w:rsidR="00F772E3" w:rsidRPr="00CB42C7" w:rsidRDefault="00F772E3" w:rsidP="00F772E3">
      <w:pPr>
        <w:ind w:right="45" w:firstLine="720"/>
        <w:jc w:val="both"/>
      </w:pPr>
    </w:p>
    <w:p w14:paraId="5A916F95" w14:textId="4920921A" w:rsidR="00F772E3" w:rsidRPr="00CB42C7" w:rsidRDefault="00F772E3" w:rsidP="00F772E3">
      <w:pPr>
        <w:numPr>
          <w:ilvl w:val="0"/>
          <w:numId w:val="2"/>
        </w:numPr>
        <w:tabs>
          <w:tab w:val="num" w:pos="1080"/>
        </w:tabs>
        <w:ind w:left="0" w:right="45" w:firstLine="720"/>
        <w:jc w:val="both"/>
        <w:rPr>
          <w:b/>
        </w:rPr>
      </w:pPr>
      <w:r w:rsidRPr="00CB42C7">
        <w:rPr>
          <w:b/>
        </w:rPr>
        <w:t>Vertinimo objektas</w:t>
      </w:r>
      <w:r w:rsidR="00915F09">
        <w:rPr>
          <w:b/>
        </w:rPr>
        <w:t xml:space="preserve"> ir kriterijai</w:t>
      </w:r>
    </w:p>
    <w:p w14:paraId="18728D55" w14:textId="77FAE9CC" w:rsidR="00F772E3" w:rsidRDefault="004733C1" w:rsidP="00F31EEA">
      <w:pPr>
        <w:pStyle w:val="Sraopastraipa"/>
        <w:numPr>
          <w:ilvl w:val="1"/>
          <w:numId w:val="2"/>
        </w:numPr>
        <w:tabs>
          <w:tab w:val="num" w:pos="720"/>
        </w:tabs>
        <w:ind w:left="0" w:right="45" w:firstLine="720"/>
        <w:jc w:val="both"/>
      </w:pPr>
      <w:r>
        <w:t xml:space="preserve"> </w:t>
      </w:r>
      <w:r w:rsidR="00572960">
        <w:t>RPP</w:t>
      </w:r>
      <w:r w:rsidR="007B29DB">
        <w:t xml:space="preserve"> ir </w:t>
      </w:r>
      <w:r w:rsidR="00062A66">
        <w:t>regionų plėtros tarybų</w:t>
      </w:r>
      <w:r w:rsidR="00F24231">
        <w:t xml:space="preserve"> patvirtinti 2022</w:t>
      </w:r>
      <w:r w:rsidR="005A3F8A">
        <w:t>–</w:t>
      </w:r>
      <w:r w:rsidR="00F24231">
        <w:t xml:space="preserve">2030 metų laikotarpio regionų </w:t>
      </w:r>
      <w:r w:rsidR="00062A66">
        <w:t>plėtr</w:t>
      </w:r>
      <w:r w:rsidR="00C566DF">
        <w:t>os planai</w:t>
      </w:r>
      <w:r w:rsidR="00062A66">
        <w:t xml:space="preserve">, parengti </w:t>
      </w:r>
      <w:r w:rsidR="00276FC1">
        <w:t>įgyvendinant</w:t>
      </w:r>
      <w:r w:rsidR="00C04602">
        <w:t xml:space="preserve"> RPP</w:t>
      </w:r>
      <w:r w:rsidR="00276FC1">
        <w:t xml:space="preserve">. </w:t>
      </w:r>
    </w:p>
    <w:p w14:paraId="4F377A76" w14:textId="0AD4E25C" w:rsidR="00915F09" w:rsidRDefault="00915F09" w:rsidP="00F31EEA">
      <w:pPr>
        <w:pStyle w:val="Sraopastraipa"/>
        <w:numPr>
          <w:ilvl w:val="1"/>
          <w:numId w:val="2"/>
        </w:numPr>
        <w:tabs>
          <w:tab w:val="num" w:pos="720"/>
        </w:tabs>
        <w:ind w:left="0" w:right="45" w:firstLine="720"/>
        <w:jc w:val="both"/>
      </w:pPr>
      <w:r>
        <w:t xml:space="preserve">Vertinimo kriterijai: </w:t>
      </w:r>
      <w:r w:rsidR="006F231A">
        <w:t>tinkamumas, pakankamumas ir poveikis.</w:t>
      </w:r>
    </w:p>
    <w:p w14:paraId="7DA4C66C" w14:textId="77777777" w:rsidR="00F772E3" w:rsidRDefault="00F772E3" w:rsidP="00F772E3">
      <w:pPr>
        <w:ind w:firstLine="720"/>
        <w:jc w:val="both"/>
        <w:rPr>
          <w:b/>
          <w:i/>
        </w:rPr>
      </w:pPr>
      <w:r w:rsidRPr="00CB42C7">
        <w:rPr>
          <w:b/>
        </w:rPr>
        <w:t>8. Vertinimo metodika</w:t>
      </w:r>
      <w:r w:rsidRPr="00CB42C7">
        <w:rPr>
          <w:b/>
          <w:i/>
        </w:rPr>
        <w:t xml:space="preserve"> </w:t>
      </w:r>
    </w:p>
    <w:p w14:paraId="219B3E4C" w14:textId="5BEDDD56" w:rsidR="00B579AF" w:rsidRPr="009840D0" w:rsidRDefault="00B579AF" w:rsidP="00B579AF">
      <w:pPr>
        <w:ind w:firstLine="720"/>
        <w:jc w:val="both"/>
      </w:pPr>
      <w:r w:rsidRPr="00457F61">
        <w:t>8.1.</w:t>
      </w:r>
      <w:r>
        <w:t xml:space="preserve"> </w:t>
      </w:r>
      <w:r w:rsidRPr="009840D0">
        <w:t>Vertinimui turi būti taikomas teorija grįsto vertinimo požiūris.</w:t>
      </w:r>
      <w:r>
        <w:t xml:space="preserve"> Tai vertinimo metodinis požiūris, kuris analizuoja klausimus, kodėl ir kaip intervencija veikia. Vertinimo metu taikomos įvairios teorijos ir modeliai, keliamos hipotezės, nagrinėjami priežastiniai ryšiai tarp intervencijų, kitų veiksnių ir stebimų pokyčių.</w:t>
      </w:r>
    </w:p>
    <w:p w14:paraId="51C3320D" w14:textId="2DE025D3" w:rsidR="00F772E3" w:rsidRPr="00CB42C7" w:rsidRDefault="00F772E3" w:rsidP="008A0633">
      <w:pPr>
        <w:ind w:firstLine="720"/>
        <w:jc w:val="both"/>
      </w:pPr>
      <w:r w:rsidRPr="00457F61">
        <w:t>8.</w:t>
      </w:r>
      <w:r w:rsidR="00444826">
        <w:t>2</w:t>
      </w:r>
      <w:r w:rsidRPr="00457F61">
        <w:t>.</w:t>
      </w:r>
      <w:r>
        <w:t xml:space="preserve"> </w:t>
      </w:r>
      <w:r w:rsidRPr="00CB42C7">
        <w:t xml:space="preserve">Pagrindiniai duomenų rinkimo ir analizės metodai: </w:t>
      </w:r>
      <w:r w:rsidRPr="008A0633">
        <w:t xml:space="preserve">antrinių </w:t>
      </w:r>
      <w:r w:rsidR="00545F60" w:rsidRPr="008A0633">
        <w:t xml:space="preserve">duomenų </w:t>
      </w:r>
      <w:r w:rsidR="003F134B" w:rsidRPr="008A0633">
        <w:t>(stebėsenos</w:t>
      </w:r>
      <w:r w:rsidR="00E94842" w:rsidRPr="008A0633">
        <w:t>, statistinių</w:t>
      </w:r>
      <w:r w:rsidR="003F134B" w:rsidRPr="008A0633">
        <w:t xml:space="preserve">) </w:t>
      </w:r>
      <w:r w:rsidR="00545F60" w:rsidRPr="008A0633">
        <w:t>analizė</w:t>
      </w:r>
      <w:r w:rsidR="00913E09" w:rsidRPr="008A0633">
        <w:t>,</w:t>
      </w:r>
      <w:r w:rsidRPr="008A0633">
        <w:t xml:space="preserve"> </w:t>
      </w:r>
      <w:r w:rsidRPr="00CB42C7">
        <w:t>teisės aktų ir dokumentų analizė, interviu, apklausos, atvejo studijos, fokusuotos grupinės diskusijos, intervencijų logikos ir priežasčių bei pasekmių analizė</w:t>
      </w:r>
      <w:r w:rsidR="00E23E3E">
        <w:t xml:space="preserve"> </w:t>
      </w:r>
      <w:r w:rsidRPr="00CB42C7">
        <w:t xml:space="preserve">ir kiti šio vertinimo tikslui pasiekti ir uždaviniams įgyvendinti reikalingi metodai. </w:t>
      </w:r>
    </w:p>
    <w:p w14:paraId="4863F0CB" w14:textId="0B17D1BE" w:rsidR="00F772E3" w:rsidRDefault="00F772E3" w:rsidP="00F772E3">
      <w:pPr>
        <w:ind w:firstLine="709"/>
        <w:jc w:val="both"/>
      </w:pPr>
      <w:r>
        <w:t>8.</w:t>
      </w:r>
      <w:r w:rsidR="00444826">
        <w:t>3</w:t>
      </w:r>
      <w:r>
        <w:t xml:space="preserve">. </w:t>
      </w:r>
      <w:r w:rsidRPr="00CB42C7">
        <w:t xml:space="preserve">Vertinimui atlikti turi būti naudojami viešai prieinami antriniai šaltiniai ir vertintojų surinkti duomenys, taikant įvairius duomenų rinkimo būdus, </w:t>
      </w:r>
      <w:r w:rsidRPr="00C86A66">
        <w:t xml:space="preserve">taip pat turimus </w:t>
      </w:r>
      <w:r w:rsidR="00D969B9" w:rsidRPr="00C86A66">
        <w:t xml:space="preserve">ir vertinimui atlikti reikalingus </w:t>
      </w:r>
      <w:r w:rsidRPr="00C86A66">
        <w:t xml:space="preserve">duomenis pateiks </w:t>
      </w:r>
      <w:r w:rsidR="004E6333">
        <w:t>V</w:t>
      </w:r>
      <w:r w:rsidR="00AE6B44">
        <w:t>idaus reikalų ministerija</w:t>
      </w:r>
      <w:r w:rsidR="00E06E47" w:rsidRPr="00C86A66">
        <w:t xml:space="preserve">, </w:t>
      </w:r>
      <w:r w:rsidR="00D969B9" w:rsidRPr="00C86A66">
        <w:t xml:space="preserve">už regionines pažangos priemones atsakingos </w:t>
      </w:r>
      <w:r w:rsidR="00872A09" w:rsidRPr="00C86A66">
        <w:t>ministerijos</w:t>
      </w:r>
      <w:r w:rsidR="00D969B9" w:rsidRPr="00C86A66">
        <w:t xml:space="preserve">, </w:t>
      </w:r>
      <w:r w:rsidR="00E06E47" w:rsidRPr="00C86A66">
        <w:t xml:space="preserve">regionų plėtros tarybos ir </w:t>
      </w:r>
      <w:r w:rsidR="00683617" w:rsidRPr="00C86A66">
        <w:t xml:space="preserve">už </w:t>
      </w:r>
      <w:r w:rsidR="00CA5A65">
        <w:t>I</w:t>
      </w:r>
      <w:r w:rsidR="00683617">
        <w:t>nvesticijų programos lėšų</w:t>
      </w:r>
      <w:r w:rsidR="003B4B6D">
        <w:t xml:space="preserve"> administravimą atsakingos </w:t>
      </w:r>
      <w:r w:rsidR="003B4B6D" w:rsidRPr="00C86A66">
        <w:t>institucijos</w:t>
      </w:r>
      <w:r w:rsidRPr="00C86A66">
        <w:t>.</w:t>
      </w:r>
    </w:p>
    <w:p w14:paraId="2A16D886" w14:textId="2BD62171" w:rsidR="00F772E3" w:rsidRDefault="00F772E3" w:rsidP="00F772E3">
      <w:pPr>
        <w:ind w:firstLine="709"/>
        <w:jc w:val="both"/>
      </w:pPr>
      <w:r w:rsidRPr="00CB42C7">
        <w:t>8.</w:t>
      </w:r>
      <w:r w:rsidR="00444826">
        <w:t>4</w:t>
      </w:r>
      <w:r w:rsidRPr="00CB42C7">
        <w:t xml:space="preserve">. </w:t>
      </w:r>
      <w:r>
        <w:t>Parengus galutinės ataskaitos projektą ir suformulavus rekomendacijas, turi būti</w:t>
      </w:r>
      <w:r w:rsidRPr="00CB42C7">
        <w:t xml:space="preserve"> </w:t>
      </w:r>
      <w:r>
        <w:t xml:space="preserve">organizuotas </w:t>
      </w:r>
      <w:r w:rsidRPr="00CB42C7">
        <w:t>aptarimas su institucijomis, pagal kompetenciją atsakingomis už jų įgyvendinimą.</w:t>
      </w:r>
    </w:p>
    <w:p w14:paraId="497D506A" w14:textId="77777777" w:rsidR="00F772E3" w:rsidRPr="00CB42C7" w:rsidRDefault="00F772E3" w:rsidP="00F772E3">
      <w:pPr>
        <w:ind w:firstLine="709"/>
        <w:jc w:val="both"/>
      </w:pPr>
    </w:p>
    <w:p w14:paraId="6782D423" w14:textId="77777777" w:rsidR="00F772E3" w:rsidRPr="00CB42C7" w:rsidRDefault="00F772E3" w:rsidP="00F772E3">
      <w:pPr>
        <w:spacing w:line="300" w:lineRule="exact"/>
        <w:ind w:right="567" w:firstLine="709"/>
        <w:jc w:val="both"/>
        <w:rPr>
          <w:b/>
        </w:rPr>
      </w:pPr>
      <w:r w:rsidRPr="00CB42C7">
        <w:rPr>
          <w:b/>
        </w:rPr>
        <w:t>9. Vertinimo klausimai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252"/>
      </w:tblGrid>
      <w:tr w:rsidR="00F772E3" w:rsidRPr="00CB42C7" w14:paraId="7BBC566C" w14:textId="77777777" w:rsidTr="00A51A3A">
        <w:tc>
          <w:tcPr>
            <w:tcW w:w="3539" w:type="dxa"/>
            <w:shd w:val="clear" w:color="auto" w:fill="auto"/>
            <w:vAlign w:val="center"/>
          </w:tcPr>
          <w:p w14:paraId="2111368E" w14:textId="77777777" w:rsidR="00F772E3" w:rsidRPr="00CB42C7" w:rsidRDefault="00F772E3" w:rsidP="007D6BE0">
            <w:pPr>
              <w:tabs>
                <w:tab w:val="num" w:pos="1152"/>
              </w:tabs>
              <w:jc w:val="center"/>
              <w:rPr>
                <w:b/>
              </w:rPr>
            </w:pPr>
            <w:r w:rsidRPr="00CB42C7">
              <w:rPr>
                <w:b/>
              </w:rPr>
              <w:t>Vertinimo uždaviniai</w:t>
            </w:r>
          </w:p>
        </w:tc>
        <w:tc>
          <w:tcPr>
            <w:tcW w:w="6252" w:type="dxa"/>
            <w:shd w:val="clear" w:color="auto" w:fill="auto"/>
            <w:vAlign w:val="center"/>
          </w:tcPr>
          <w:p w14:paraId="2C66B862" w14:textId="77777777" w:rsidR="00F772E3" w:rsidRPr="00CB42C7" w:rsidRDefault="00F772E3" w:rsidP="007D6BE0">
            <w:pPr>
              <w:tabs>
                <w:tab w:val="num" w:pos="1440"/>
              </w:tabs>
              <w:ind w:left="-6"/>
              <w:jc w:val="center"/>
              <w:rPr>
                <w:b/>
              </w:rPr>
            </w:pPr>
            <w:r w:rsidRPr="00CB42C7">
              <w:rPr>
                <w:b/>
              </w:rPr>
              <w:t>Vertinimo klausimai</w:t>
            </w:r>
          </w:p>
        </w:tc>
      </w:tr>
      <w:tr w:rsidR="00F772E3" w:rsidRPr="00D875A4" w14:paraId="31D8F5EA" w14:textId="77777777" w:rsidTr="00A51A3A">
        <w:tc>
          <w:tcPr>
            <w:tcW w:w="3539" w:type="dxa"/>
            <w:shd w:val="clear" w:color="auto" w:fill="auto"/>
          </w:tcPr>
          <w:p w14:paraId="4940C593" w14:textId="1C930AAA" w:rsidR="00B91E88" w:rsidRPr="00BC0E75" w:rsidRDefault="00F772E3" w:rsidP="00B91E88">
            <w:pPr>
              <w:tabs>
                <w:tab w:val="left" w:pos="0"/>
              </w:tabs>
              <w:jc w:val="both"/>
              <w:rPr>
                <w:bCs/>
              </w:rPr>
            </w:pPr>
            <w:r w:rsidRPr="00D875A4">
              <w:t xml:space="preserve">9.1. </w:t>
            </w:r>
            <w:r w:rsidR="00B91E88" w:rsidRPr="00D554D8">
              <w:rPr>
                <w:lang w:eastAsia="lt-LT"/>
              </w:rPr>
              <w:t>Įvertinti</w:t>
            </w:r>
            <w:r w:rsidR="00B91E88">
              <w:rPr>
                <w:lang w:eastAsia="lt-LT"/>
              </w:rPr>
              <w:t xml:space="preserve"> RPP numatytų </w:t>
            </w:r>
            <w:r w:rsidR="00B91E88" w:rsidRPr="00D554D8">
              <w:rPr>
                <w:lang w:eastAsia="lt-LT"/>
              </w:rPr>
              <w:t xml:space="preserve">regioninių pažangos priemonių tinkamumą ir pakankamumą, </w:t>
            </w:r>
            <w:r w:rsidR="00B91E88" w:rsidRPr="00D554D8">
              <w:rPr>
                <w:lang w:eastAsia="lt-LT"/>
              </w:rPr>
              <w:lastRenderedPageBreak/>
              <w:t xml:space="preserve">siekiant </w:t>
            </w:r>
            <w:r w:rsidR="00B91E88" w:rsidRPr="00BC0E75">
              <w:rPr>
                <w:bCs/>
              </w:rPr>
              <w:t xml:space="preserve">NPP 7 strateginio tikslo ir </w:t>
            </w:r>
            <w:r w:rsidR="00872B1A">
              <w:rPr>
                <w:bCs/>
              </w:rPr>
              <w:t>RPPl</w:t>
            </w:r>
            <w:r w:rsidR="00B91E88" w:rsidRPr="00BC0E75">
              <w:rPr>
                <w:bCs/>
              </w:rPr>
              <w:t xml:space="preserve"> nustatytų regionų plėtros tikslų</w:t>
            </w:r>
            <w:r w:rsidR="00872B1A">
              <w:rPr>
                <w:bCs/>
              </w:rPr>
              <w:t>.</w:t>
            </w:r>
            <w:r w:rsidR="00B91E88" w:rsidRPr="00BC0E75">
              <w:rPr>
                <w:bCs/>
              </w:rPr>
              <w:t xml:space="preserve"> </w:t>
            </w:r>
          </w:p>
          <w:p w14:paraId="268DADBF" w14:textId="54E88007" w:rsidR="00F772E3" w:rsidRPr="00D875A4" w:rsidRDefault="00F772E3" w:rsidP="00A573B2">
            <w:pPr>
              <w:jc w:val="both"/>
            </w:pPr>
          </w:p>
        </w:tc>
        <w:tc>
          <w:tcPr>
            <w:tcW w:w="6252" w:type="dxa"/>
            <w:shd w:val="clear" w:color="auto" w:fill="auto"/>
          </w:tcPr>
          <w:p w14:paraId="3C53940E" w14:textId="5283EA5B" w:rsidR="000C0C79" w:rsidRPr="00535BD8" w:rsidRDefault="000C0C79" w:rsidP="000C0C79">
            <w:pPr>
              <w:tabs>
                <w:tab w:val="left" w:pos="1134"/>
                <w:tab w:val="left" w:pos="1276"/>
              </w:tabs>
              <w:jc w:val="both"/>
              <w:rPr>
                <w:bCs/>
                <w:iCs/>
                <w:lang w:eastAsia="lt-LT"/>
              </w:rPr>
            </w:pPr>
            <w:r>
              <w:rPr>
                <w:bCs/>
                <w:iCs/>
                <w:lang w:eastAsia="lt-LT"/>
              </w:rPr>
              <w:lastRenderedPageBreak/>
              <w:t>9</w:t>
            </w:r>
            <w:r w:rsidRPr="00700CE9">
              <w:rPr>
                <w:bCs/>
                <w:iCs/>
                <w:lang w:eastAsia="lt-LT"/>
              </w:rPr>
              <w:t>.1.</w:t>
            </w:r>
            <w:r>
              <w:rPr>
                <w:bCs/>
                <w:iCs/>
                <w:lang w:eastAsia="lt-LT"/>
              </w:rPr>
              <w:t>1.</w:t>
            </w:r>
            <w:r w:rsidRPr="002124D1">
              <w:rPr>
                <w:bCs/>
                <w:i/>
                <w:lang w:eastAsia="lt-LT"/>
              </w:rPr>
              <w:t xml:space="preserve"> </w:t>
            </w:r>
            <w:r w:rsidR="008A0633" w:rsidRPr="00EE3E47">
              <w:rPr>
                <w:bCs/>
                <w:iCs/>
                <w:lang w:eastAsia="lt-LT"/>
              </w:rPr>
              <w:t>K</w:t>
            </w:r>
            <w:r w:rsidRPr="00EE3E47">
              <w:rPr>
                <w:bCs/>
                <w:iCs/>
                <w:lang w:eastAsia="lt-LT"/>
              </w:rPr>
              <w:t>iek aktualios esamos regioninės pažangos priemonės RPP regioninės plėtros problemų sprendimui?</w:t>
            </w:r>
            <w:r w:rsidRPr="00C879FF">
              <w:rPr>
                <w:bCs/>
                <w:iCs/>
                <w:lang w:eastAsia="lt-LT"/>
              </w:rPr>
              <w:t xml:space="preserve"> </w:t>
            </w:r>
          </w:p>
          <w:p w14:paraId="6D63C41C" w14:textId="32B53989" w:rsidR="000C0C79" w:rsidRPr="004D440C" w:rsidRDefault="000C0C79" w:rsidP="000C0C79">
            <w:pPr>
              <w:tabs>
                <w:tab w:val="left" w:pos="1134"/>
                <w:tab w:val="left" w:pos="1276"/>
              </w:tabs>
              <w:jc w:val="both"/>
              <w:rPr>
                <w:bCs/>
                <w:iCs/>
                <w:lang w:eastAsia="lt-LT"/>
              </w:rPr>
            </w:pPr>
            <w:r>
              <w:rPr>
                <w:bCs/>
                <w:iCs/>
                <w:lang w:eastAsia="lt-LT"/>
              </w:rPr>
              <w:lastRenderedPageBreak/>
              <w:t xml:space="preserve">9.1.2. Ar visos regioninės pažangos priemonės (išankstinės sąlygos, </w:t>
            </w:r>
            <w:r w:rsidR="00635356">
              <w:rPr>
                <w:bCs/>
                <w:iCs/>
                <w:lang w:eastAsia="lt-LT"/>
              </w:rPr>
              <w:t xml:space="preserve">regioninių pažangos priemonių finansavimo gairėse numatytos </w:t>
            </w:r>
            <w:r>
              <w:rPr>
                <w:bCs/>
                <w:iCs/>
                <w:lang w:eastAsia="lt-LT"/>
              </w:rPr>
              <w:t xml:space="preserve">finansuojamos veiklos ir jų įgyvendinimui taikomi reikalavimai) yra </w:t>
            </w:r>
            <w:r w:rsidRPr="00806EE9">
              <w:rPr>
                <w:bCs/>
                <w:iCs/>
                <w:lang w:eastAsia="lt-LT"/>
              </w:rPr>
              <w:t xml:space="preserve">tinkamos </w:t>
            </w:r>
            <w:r>
              <w:rPr>
                <w:bCs/>
                <w:iCs/>
                <w:lang w:eastAsia="lt-LT"/>
              </w:rPr>
              <w:t xml:space="preserve">RPP </w:t>
            </w:r>
            <w:r w:rsidRPr="000A14AD">
              <w:rPr>
                <w:bCs/>
                <w:iCs/>
                <w:lang w:eastAsia="lt-LT"/>
              </w:rPr>
              <w:t xml:space="preserve">regioninės plėtros problemoms ir visoms </w:t>
            </w:r>
            <w:r w:rsidR="00941C01">
              <w:rPr>
                <w:bCs/>
                <w:iCs/>
                <w:lang w:eastAsia="lt-LT"/>
              </w:rPr>
              <w:t>RPPl</w:t>
            </w:r>
            <w:r w:rsidR="008D127D">
              <w:rPr>
                <w:bCs/>
                <w:iCs/>
                <w:lang w:eastAsia="lt-LT"/>
              </w:rPr>
              <w:t xml:space="preserve"> </w:t>
            </w:r>
            <w:r w:rsidR="00E14C2C">
              <w:rPr>
                <w:bCs/>
                <w:iCs/>
                <w:lang w:eastAsia="lt-LT"/>
              </w:rPr>
              <w:t>nustatytoms</w:t>
            </w:r>
            <w:r>
              <w:rPr>
                <w:bCs/>
                <w:iCs/>
                <w:lang w:eastAsia="lt-LT"/>
              </w:rPr>
              <w:t xml:space="preserve"> </w:t>
            </w:r>
            <w:r w:rsidRPr="000A14AD">
              <w:rPr>
                <w:bCs/>
                <w:iCs/>
                <w:lang w:eastAsia="lt-LT"/>
              </w:rPr>
              <w:t>regionų plėtros problemoms spręsti</w:t>
            </w:r>
            <w:r>
              <w:rPr>
                <w:bCs/>
                <w:iCs/>
                <w:lang w:eastAsia="lt-LT"/>
              </w:rPr>
              <w:t xml:space="preserve"> </w:t>
            </w:r>
            <w:r w:rsidRPr="004D440C">
              <w:rPr>
                <w:bCs/>
                <w:iCs/>
                <w:lang w:eastAsia="lt-LT"/>
              </w:rPr>
              <w:t>ir ar visos jos atitinka savivaldybių poreikius</w:t>
            </w:r>
            <w:r>
              <w:rPr>
                <w:bCs/>
                <w:iCs/>
                <w:lang w:eastAsia="lt-LT"/>
              </w:rPr>
              <w:t xml:space="preserve">? </w:t>
            </w:r>
          </w:p>
          <w:p w14:paraId="27675D03" w14:textId="4FC1ECC8" w:rsidR="000C0C79" w:rsidRPr="001B091E" w:rsidRDefault="00CB2B11" w:rsidP="000C0C79">
            <w:pPr>
              <w:tabs>
                <w:tab w:val="left" w:pos="1134"/>
                <w:tab w:val="left" w:pos="1276"/>
              </w:tabs>
              <w:jc w:val="both"/>
              <w:rPr>
                <w:bCs/>
                <w:iCs/>
                <w:lang w:eastAsia="lt-LT"/>
              </w:rPr>
            </w:pPr>
            <w:r>
              <w:rPr>
                <w:bCs/>
                <w:iCs/>
                <w:lang w:eastAsia="lt-LT"/>
              </w:rPr>
              <w:t>9.</w:t>
            </w:r>
            <w:r w:rsidR="000C0C79" w:rsidRPr="002F4887">
              <w:rPr>
                <w:bCs/>
                <w:iCs/>
                <w:lang w:eastAsia="lt-LT"/>
              </w:rPr>
              <w:t>1.3.</w:t>
            </w:r>
            <w:r w:rsidR="000C0C79" w:rsidRPr="004A3275">
              <w:rPr>
                <w:bCs/>
                <w:i/>
                <w:lang w:eastAsia="lt-LT"/>
              </w:rPr>
              <w:t xml:space="preserve"> </w:t>
            </w:r>
            <w:r w:rsidR="000C0C79" w:rsidRPr="001B091E">
              <w:rPr>
                <w:bCs/>
                <w:iCs/>
                <w:lang w:eastAsia="lt-LT"/>
              </w:rPr>
              <w:t xml:space="preserve">Ar regioninėms pažangos priemonėms </w:t>
            </w:r>
            <w:r w:rsidR="000C0C79" w:rsidRPr="00EE3E47">
              <w:rPr>
                <w:bCs/>
                <w:iCs/>
                <w:lang w:eastAsia="lt-LT"/>
              </w:rPr>
              <w:t xml:space="preserve">ir atskiriems </w:t>
            </w:r>
            <w:r w:rsidR="00C81493" w:rsidRPr="00EE3E47">
              <w:rPr>
                <w:bCs/>
                <w:iCs/>
                <w:lang w:eastAsia="lt-LT"/>
              </w:rPr>
              <w:t>I</w:t>
            </w:r>
            <w:r w:rsidR="000C0C79" w:rsidRPr="00EE3E47">
              <w:rPr>
                <w:bCs/>
                <w:iCs/>
                <w:lang w:eastAsia="lt-LT"/>
              </w:rPr>
              <w:t xml:space="preserve">nvesticijų programos regionams </w:t>
            </w:r>
            <w:r w:rsidR="00C81493" w:rsidRPr="00EE3E47">
              <w:rPr>
                <w:bCs/>
                <w:iCs/>
                <w:lang w:eastAsia="lt-LT"/>
              </w:rPr>
              <w:t xml:space="preserve">(Sostinės regionui ir Vidurio ir </w:t>
            </w:r>
            <w:r w:rsidR="0045011C" w:rsidRPr="00EE3E47">
              <w:rPr>
                <w:bCs/>
                <w:iCs/>
                <w:lang w:eastAsia="lt-LT"/>
              </w:rPr>
              <w:t>v</w:t>
            </w:r>
            <w:r w:rsidR="00C81493" w:rsidRPr="00EE3E47">
              <w:rPr>
                <w:bCs/>
                <w:iCs/>
                <w:lang w:eastAsia="lt-LT"/>
              </w:rPr>
              <w:t xml:space="preserve">akarų Lietuvos </w:t>
            </w:r>
            <w:r w:rsidR="00C42BB5" w:rsidRPr="00EE3E47">
              <w:rPr>
                <w:bCs/>
                <w:iCs/>
                <w:lang w:eastAsia="lt-LT"/>
              </w:rPr>
              <w:t>regionui)</w:t>
            </w:r>
            <w:r w:rsidR="00C42BB5">
              <w:rPr>
                <w:bCs/>
                <w:iCs/>
                <w:lang w:eastAsia="lt-LT"/>
              </w:rPr>
              <w:t xml:space="preserve"> </w:t>
            </w:r>
            <w:r w:rsidR="000C0C79" w:rsidRPr="001B091E">
              <w:rPr>
                <w:bCs/>
                <w:iCs/>
                <w:lang w:eastAsia="lt-LT"/>
              </w:rPr>
              <w:t xml:space="preserve">numatytos regioninių pažangos priemonių lėšos yra </w:t>
            </w:r>
            <w:r w:rsidR="000C0C79" w:rsidRPr="006B40A5">
              <w:rPr>
                <w:bCs/>
                <w:iCs/>
                <w:lang w:eastAsia="lt-LT"/>
              </w:rPr>
              <w:t xml:space="preserve">pakankamos RPP regioninės plėtros problemoms ir RPPl regionų plėtros problemoms spręsti ir proporcingos RPPl regionų plėtros problemų mastui? Jei ne, </w:t>
            </w:r>
            <w:r w:rsidR="004F4B61">
              <w:rPr>
                <w:bCs/>
                <w:iCs/>
                <w:lang w:eastAsia="lt-LT"/>
              </w:rPr>
              <w:t>k</w:t>
            </w:r>
            <w:r w:rsidR="00963EC5">
              <w:rPr>
                <w:bCs/>
                <w:iCs/>
                <w:lang w:eastAsia="lt-LT"/>
              </w:rPr>
              <w:t xml:space="preserve">urioms regioninėms pažangos priemonėms </w:t>
            </w:r>
            <w:r w:rsidR="00116878">
              <w:rPr>
                <w:bCs/>
                <w:iCs/>
                <w:lang w:eastAsia="lt-LT"/>
              </w:rPr>
              <w:t>trūksta lėšų, kad problemos būtų išspręstos</w:t>
            </w:r>
            <w:r w:rsidR="000C0C79">
              <w:rPr>
                <w:lang w:eastAsia="lt-LT"/>
              </w:rPr>
              <w:t xml:space="preserve">? </w:t>
            </w:r>
          </w:p>
          <w:p w14:paraId="4367F2DD" w14:textId="09FAA583" w:rsidR="000C0C79" w:rsidRDefault="00CB2B11" w:rsidP="000C0C79">
            <w:pPr>
              <w:tabs>
                <w:tab w:val="left" w:pos="1134"/>
                <w:tab w:val="left" w:pos="1276"/>
              </w:tabs>
              <w:jc w:val="both"/>
              <w:rPr>
                <w:lang w:eastAsia="lt-LT"/>
              </w:rPr>
            </w:pPr>
            <w:r>
              <w:rPr>
                <w:lang w:eastAsia="lt-LT"/>
              </w:rPr>
              <w:t>9.</w:t>
            </w:r>
            <w:r w:rsidR="000C0C79">
              <w:rPr>
                <w:lang w:eastAsia="lt-LT"/>
              </w:rPr>
              <w:t xml:space="preserve">1.4. </w:t>
            </w:r>
            <w:r w:rsidR="000C0C79" w:rsidRPr="004D440C">
              <w:rPr>
                <w:lang w:eastAsia="lt-LT"/>
              </w:rPr>
              <w:t xml:space="preserve">Ar esamo regioninių pažangos priemonių rinkinio pakanka </w:t>
            </w:r>
            <w:r w:rsidR="000C0C79" w:rsidRPr="004D440C">
              <w:rPr>
                <w:iCs/>
                <w:lang w:eastAsia="lt-LT"/>
              </w:rPr>
              <w:t>RPP regioninės plėtros problemoms ir RPPl regionų plėtros problemoms spręsti?</w:t>
            </w:r>
            <w:r w:rsidR="000C0C79" w:rsidRPr="004D440C">
              <w:rPr>
                <w:bCs/>
                <w:iCs/>
                <w:lang w:eastAsia="lt-LT"/>
              </w:rPr>
              <w:t xml:space="preserve"> Jei ne, kokių </w:t>
            </w:r>
            <w:r w:rsidR="000C0C79" w:rsidRPr="004D440C">
              <w:rPr>
                <w:lang w:eastAsia="lt-LT"/>
              </w:rPr>
              <w:t>priemonių trūksta?</w:t>
            </w:r>
          </w:p>
          <w:p w14:paraId="3F40BE7F" w14:textId="47C94856" w:rsidR="00F772E3" w:rsidRPr="005E4B35" w:rsidRDefault="00CB2B11" w:rsidP="00A11EA3">
            <w:pPr>
              <w:tabs>
                <w:tab w:val="left" w:pos="1134"/>
                <w:tab w:val="left" w:pos="1276"/>
              </w:tabs>
              <w:jc w:val="both"/>
            </w:pPr>
            <w:r>
              <w:rPr>
                <w:lang w:eastAsia="lt-LT"/>
              </w:rPr>
              <w:t>9.</w:t>
            </w:r>
            <w:r w:rsidR="000C0C79">
              <w:rPr>
                <w:lang w:eastAsia="lt-LT"/>
              </w:rPr>
              <w:t>1</w:t>
            </w:r>
            <w:r w:rsidR="000C0C79" w:rsidRPr="000121C8">
              <w:rPr>
                <w:lang w:eastAsia="lt-LT"/>
              </w:rPr>
              <w:t>.5. Ar esamos RPP regioninės pažangos priemonės yra tinkamos tvariam ir subalansuotam Lietuvos teritorijos vystymui?</w:t>
            </w:r>
            <w:r w:rsidR="00F772E3" w:rsidRPr="00D875A4">
              <w:t xml:space="preserve"> </w:t>
            </w:r>
          </w:p>
        </w:tc>
      </w:tr>
      <w:tr w:rsidR="00F772E3" w:rsidRPr="00CB42C7" w14:paraId="294B7D8A" w14:textId="77777777" w:rsidTr="00A51A3A">
        <w:tc>
          <w:tcPr>
            <w:tcW w:w="3539" w:type="dxa"/>
            <w:shd w:val="clear" w:color="auto" w:fill="auto"/>
          </w:tcPr>
          <w:p w14:paraId="6B5EDB6F" w14:textId="1B167152" w:rsidR="00F772E3" w:rsidRPr="00CB42C7" w:rsidRDefault="00F772E3" w:rsidP="007D6BE0">
            <w:pPr>
              <w:jc w:val="both"/>
            </w:pPr>
            <w:r w:rsidRPr="00CB42C7">
              <w:lastRenderedPageBreak/>
              <w:t xml:space="preserve">9.2. </w:t>
            </w:r>
            <w:r w:rsidR="0045011C" w:rsidRPr="00D554D8">
              <w:rPr>
                <w:lang w:eastAsia="lt-LT"/>
              </w:rPr>
              <w:t xml:space="preserve">Įvertinti </w:t>
            </w:r>
            <w:r w:rsidR="0045011C">
              <w:rPr>
                <w:lang w:eastAsia="lt-LT"/>
              </w:rPr>
              <w:t>RPPl</w:t>
            </w:r>
            <w:r w:rsidR="0045011C" w:rsidRPr="00D554D8">
              <w:rPr>
                <w:lang w:eastAsia="lt-LT"/>
              </w:rPr>
              <w:t xml:space="preserve"> pažangos priemonių tinkamumą ir pakankamumą, siekiant </w:t>
            </w:r>
            <w:r w:rsidR="0045011C" w:rsidRPr="00BC0E75">
              <w:rPr>
                <w:bCs/>
              </w:rPr>
              <w:t>NPP 7 strateginio tikslo ir RPPl regionų plėtros tikslų</w:t>
            </w:r>
            <w:r w:rsidR="00167D44">
              <w:rPr>
                <w:bCs/>
              </w:rPr>
              <w:t>.</w:t>
            </w:r>
          </w:p>
        </w:tc>
        <w:tc>
          <w:tcPr>
            <w:tcW w:w="6252" w:type="dxa"/>
            <w:shd w:val="clear" w:color="auto" w:fill="auto"/>
          </w:tcPr>
          <w:p w14:paraId="58B5CD8D" w14:textId="263A1C09" w:rsidR="00021FDA" w:rsidRPr="00692998" w:rsidRDefault="00021FDA" w:rsidP="00021FDA">
            <w:pPr>
              <w:tabs>
                <w:tab w:val="left" w:pos="1134"/>
                <w:tab w:val="left" w:pos="1276"/>
              </w:tabs>
              <w:jc w:val="both"/>
              <w:rPr>
                <w:bCs/>
                <w:iCs/>
                <w:lang w:eastAsia="lt-LT"/>
              </w:rPr>
            </w:pPr>
            <w:r>
              <w:rPr>
                <w:bCs/>
                <w:iCs/>
                <w:lang w:eastAsia="lt-LT"/>
              </w:rPr>
              <w:t xml:space="preserve">9.2.1. Ar RPPl numatytos esminės problemų priežastys? Jei ne, kokios nenurodytos? Ar šios priežastys gali būti šalinamos per esamas regionines pažangos priemones ar plėtros programų pažangos priemones? (atsakant į šio papunkčio klausimus turi būti atlikta </w:t>
            </w:r>
            <w:r w:rsidR="00F34525">
              <w:rPr>
                <w:bCs/>
                <w:iCs/>
                <w:lang w:eastAsia="lt-LT"/>
              </w:rPr>
              <w:t>Vidaus reikalų ministerijos nurodytų</w:t>
            </w:r>
            <w:r w:rsidR="00280D0E">
              <w:rPr>
                <w:bCs/>
                <w:iCs/>
                <w:lang w:eastAsia="lt-LT"/>
              </w:rPr>
              <w:t xml:space="preserve"> </w:t>
            </w:r>
            <w:r>
              <w:rPr>
                <w:bCs/>
                <w:iCs/>
                <w:lang w:eastAsia="lt-LT"/>
              </w:rPr>
              <w:t>3 regionų plėtros planų atvejų analizė)</w:t>
            </w:r>
          </w:p>
          <w:p w14:paraId="519B6DC5" w14:textId="7570B06F" w:rsidR="00021FDA" w:rsidRDefault="00783766" w:rsidP="00021FDA">
            <w:pPr>
              <w:tabs>
                <w:tab w:val="left" w:pos="1134"/>
                <w:tab w:val="left" w:pos="1276"/>
              </w:tabs>
              <w:jc w:val="both"/>
              <w:rPr>
                <w:bCs/>
                <w:iCs/>
                <w:lang w:eastAsia="lt-LT"/>
              </w:rPr>
            </w:pPr>
            <w:r>
              <w:rPr>
                <w:bCs/>
                <w:iCs/>
                <w:lang w:eastAsia="lt-LT"/>
              </w:rPr>
              <w:t>9.</w:t>
            </w:r>
            <w:r w:rsidR="00021FDA">
              <w:rPr>
                <w:bCs/>
                <w:iCs/>
                <w:lang w:eastAsia="lt-LT"/>
              </w:rPr>
              <w:t xml:space="preserve">2.2. Ar </w:t>
            </w:r>
            <w:r>
              <w:rPr>
                <w:bCs/>
                <w:iCs/>
                <w:lang w:eastAsia="lt-LT"/>
              </w:rPr>
              <w:t>RPPl</w:t>
            </w:r>
            <w:r w:rsidR="00021FDA">
              <w:rPr>
                <w:bCs/>
                <w:iCs/>
                <w:lang w:eastAsia="lt-LT"/>
              </w:rPr>
              <w:t xml:space="preserve"> </w:t>
            </w:r>
            <w:r w:rsidR="00021FDA" w:rsidRPr="008610BC">
              <w:rPr>
                <w:bCs/>
                <w:iCs/>
                <w:lang w:eastAsia="lt-LT"/>
              </w:rPr>
              <w:t>suplanuotos pažangos priemonės (jų veiklos) mažina regioninius skirtumus</w:t>
            </w:r>
            <w:r w:rsidR="00021FDA">
              <w:rPr>
                <w:bCs/>
                <w:iCs/>
                <w:lang w:eastAsia="lt-LT"/>
              </w:rPr>
              <w:t xml:space="preserve"> ir ar </w:t>
            </w:r>
            <w:r w:rsidR="002106BF">
              <w:rPr>
                <w:bCs/>
                <w:iCs/>
                <w:lang w:eastAsia="lt-LT"/>
              </w:rPr>
              <w:t>sprendžia</w:t>
            </w:r>
            <w:r w:rsidR="00021FDA">
              <w:rPr>
                <w:bCs/>
                <w:iCs/>
                <w:lang w:eastAsia="lt-LT"/>
              </w:rPr>
              <w:t xml:space="preserve"> RPPl regionų plėtros problem</w:t>
            </w:r>
            <w:r w:rsidR="002106BF">
              <w:rPr>
                <w:bCs/>
                <w:iCs/>
                <w:lang w:eastAsia="lt-LT"/>
              </w:rPr>
              <w:t>as</w:t>
            </w:r>
            <w:r w:rsidR="00021FDA">
              <w:rPr>
                <w:bCs/>
                <w:iCs/>
                <w:lang w:eastAsia="lt-LT"/>
              </w:rPr>
              <w:t xml:space="preserve">? </w:t>
            </w:r>
            <w:r w:rsidR="00021FDA" w:rsidRPr="00503DCB">
              <w:rPr>
                <w:bCs/>
                <w:iCs/>
                <w:lang w:eastAsia="lt-LT"/>
              </w:rPr>
              <w:t xml:space="preserve">Jei </w:t>
            </w:r>
            <w:r w:rsidR="00021FDA" w:rsidRPr="00BF130B">
              <w:rPr>
                <w:bCs/>
                <w:iCs/>
                <w:lang w:eastAsia="lt-LT"/>
              </w:rPr>
              <w:t xml:space="preserve">ne, </w:t>
            </w:r>
            <w:r w:rsidR="00021FDA">
              <w:rPr>
                <w:bCs/>
                <w:iCs/>
                <w:lang w:eastAsia="lt-LT"/>
              </w:rPr>
              <w:t xml:space="preserve">kurias </w:t>
            </w:r>
            <w:r w:rsidR="00855EB1">
              <w:rPr>
                <w:bCs/>
                <w:iCs/>
                <w:lang w:eastAsia="lt-LT"/>
              </w:rPr>
              <w:t>RPPl pažangos</w:t>
            </w:r>
            <w:r w:rsidR="00021FDA">
              <w:rPr>
                <w:bCs/>
                <w:iCs/>
                <w:lang w:eastAsia="lt-LT"/>
              </w:rPr>
              <w:t xml:space="preserve"> </w:t>
            </w:r>
            <w:r w:rsidR="00021FDA" w:rsidRPr="00BF130B">
              <w:rPr>
                <w:bCs/>
                <w:iCs/>
                <w:lang w:eastAsia="lt-LT"/>
              </w:rPr>
              <w:t xml:space="preserve">priemones ir kaip tikslinga būtų tobulinti ir kokių </w:t>
            </w:r>
            <w:r w:rsidR="00855EB1">
              <w:rPr>
                <w:bCs/>
                <w:iCs/>
                <w:lang w:eastAsia="lt-LT"/>
              </w:rPr>
              <w:t xml:space="preserve">pažangos </w:t>
            </w:r>
            <w:r w:rsidR="00021FDA" w:rsidRPr="00BF130B">
              <w:rPr>
                <w:bCs/>
                <w:iCs/>
                <w:lang w:eastAsia="lt-LT"/>
              </w:rPr>
              <w:t xml:space="preserve">priemonių konkrečiuose </w:t>
            </w:r>
            <w:r w:rsidR="00855EB1">
              <w:rPr>
                <w:bCs/>
                <w:iCs/>
                <w:lang w:eastAsia="lt-LT"/>
              </w:rPr>
              <w:t>RPPl</w:t>
            </w:r>
            <w:r w:rsidR="00021FDA" w:rsidRPr="00BF130B">
              <w:rPr>
                <w:bCs/>
                <w:iCs/>
                <w:lang w:eastAsia="lt-LT"/>
              </w:rPr>
              <w:t xml:space="preserve"> trūksta</w:t>
            </w:r>
            <w:r w:rsidR="00021FDA">
              <w:rPr>
                <w:bCs/>
                <w:iCs/>
                <w:lang w:eastAsia="lt-LT"/>
              </w:rPr>
              <w:t>?</w:t>
            </w:r>
          </w:p>
          <w:p w14:paraId="59E46033" w14:textId="7F2D80C4" w:rsidR="00F772E3" w:rsidRPr="00CB42C7" w:rsidRDefault="00763BEF" w:rsidP="001C0CCA">
            <w:pPr>
              <w:tabs>
                <w:tab w:val="left" w:pos="1134"/>
                <w:tab w:val="left" w:pos="1276"/>
              </w:tabs>
              <w:jc w:val="both"/>
            </w:pPr>
            <w:r>
              <w:rPr>
                <w:lang w:eastAsia="lt-LT"/>
              </w:rPr>
              <w:t>9.</w:t>
            </w:r>
            <w:r w:rsidR="00021FDA">
              <w:rPr>
                <w:lang w:eastAsia="lt-LT"/>
              </w:rPr>
              <w:t>2.3</w:t>
            </w:r>
            <w:r w:rsidR="00021FDA" w:rsidRPr="00E23369">
              <w:rPr>
                <w:lang w:eastAsia="lt-LT"/>
              </w:rPr>
              <w:t xml:space="preserve">. Ar </w:t>
            </w:r>
            <w:r>
              <w:rPr>
                <w:lang w:eastAsia="lt-LT"/>
              </w:rPr>
              <w:t>RPPl</w:t>
            </w:r>
            <w:r w:rsidR="00021FDA" w:rsidRPr="00E23369">
              <w:rPr>
                <w:lang w:eastAsia="lt-LT"/>
              </w:rPr>
              <w:t xml:space="preserve"> suplanuotoms pažangos priemonėms </w:t>
            </w:r>
            <w:r w:rsidR="00021FDA">
              <w:rPr>
                <w:lang w:eastAsia="lt-LT"/>
              </w:rPr>
              <w:t>numatyta</w:t>
            </w:r>
            <w:r w:rsidR="00021FDA" w:rsidRPr="00E23369">
              <w:rPr>
                <w:lang w:eastAsia="lt-LT"/>
              </w:rPr>
              <w:t>s lėš</w:t>
            </w:r>
            <w:r w:rsidR="00021FDA">
              <w:rPr>
                <w:lang w:eastAsia="lt-LT"/>
              </w:rPr>
              <w:t>ų</w:t>
            </w:r>
            <w:r w:rsidR="00021FDA" w:rsidRPr="00E23369">
              <w:rPr>
                <w:lang w:eastAsia="lt-LT"/>
              </w:rPr>
              <w:t xml:space="preserve"> paskirstymas pasirenkant investavimo kryptis regionuose yra optimalus? Jei ne, prašome pateikti rekomendacijas, kaip to pasiekti</w:t>
            </w:r>
            <w:r w:rsidR="00021FDA">
              <w:rPr>
                <w:lang w:eastAsia="lt-LT"/>
              </w:rPr>
              <w:t xml:space="preserve"> (</w:t>
            </w:r>
            <w:r w:rsidR="00021FDA">
              <w:rPr>
                <w:bCs/>
                <w:iCs/>
                <w:lang w:eastAsia="lt-LT"/>
              </w:rPr>
              <w:t xml:space="preserve">atsakant į šio papunkčio klausimus turi būti atlikta </w:t>
            </w:r>
            <w:r w:rsidR="007E4071">
              <w:rPr>
                <w:bCs/>
                <w:iCs/>
                <w:lang w:eastAsia="lt-LT"/>
              </w:rPr>
              <w:t xml:space="preserve">Vidaus reikalų ministerijos </w:t>
            </w:r>
            <w:r w:rsidR="007E4071" w:rsidRPr="00493790">
              <w:rPr>
                <w:bCs/>
                <w:iCs/>
                <w:lang w:eastAsia="lt-LT"/>
              </w:rPr>
              <w:t xml:space="preserve">nurodytų </w:t>
            </w:r>
            <w:r w:rsidR="00021FDA" w:rsidRPr="00493790">
              <w:rPr>
                <w:bCs/>
                <w:iCs/>
                <w:lang w:eastAsia="lt-LT"/>
              </w:rPr>
              <w:t>2</w:t>
            </w:r>
            <w:r w:rsidR="00021FDA">
              <w:rPr>
                <w:bCs/>
                <w:iCs/>
                <w:lang w:eastAsia="lt-LT"/>
              </w:rPr>
              <w:t xml:space="preserve"> </w:t>
            </w:r>
            <w:r w:rsidR="00280D0E">
              <w:rPr>
                <w:bCs/>
                <w:iCs/>
                <w:lang w:eastAsia="lt-LT"/>
              </w:rPr>
              <w:t>RPPl</w:t>
            </w:r>
            <w:r w:rsidR="00021FDA">
              <w:rPr>
                <w:bCs/>
                <w:iCs/>
                <w:lang w:eastAsia="lt-LT"/>
              </w:rPr>
              <w:t xml:space="preserve"> atvejų analizė).</w:t>
            </w:r>
          </w:p>
        </w:tc>
      </w:tr>
      <w:tr w:rsidR="00F772E3" w:rsidRPr="00CB42C7" w14:paraId="39F224F1" w14:textId="77777777" w:rsidTr="00A51A3A">
        <w:tc>
          <w:tcPr>
            <w:tcW w:w="3539" w:type="dxa"/>
            <w:shd w:val="clear" w:color="auto" w:fill="auto"/>
          </w:tcPr>
          <w:p w14:paraId="501BD805" w14:textId="5286DE99" w:rsidR="00F772E3" w:rsidRPr="00CB42C7" w:rsidRDefault="00F772E3" w:rsidP="007D6BE0">
            <w:pPr>
              <w:jc w:val="both"/>
              <w:rPr>
                <w:bCs/>
              </w:rPr>
            </w:pPr>
            <w:r w:rsidRPr="00CB42C7">
              <w:t xml:space="preserve">9.3. </w:t>
            </w:r>
            <w:r w:rsidR="00167D44" w:rsidRPr="00CA3DCE">
              <w:rPr>
                <w:lang w:eastAsia="lt-LT"/>
              </w:rPr>
              <w:t xml:space="preserve">Įvertinti </w:t>
            </w:r>
            <w:r w:rsidR="00167D44">
              <w:rPr>
                <w:lang w:eastAsia="lt-LT"/>
              </w:rPr>
              <w:t>RPPl</w:t>
            </w:r>
            <w:r w:rsidR="00167D44" w:rsidRPr="00CA3DCE">
              <w:rPr>
                <w:lang w:eastAsia="lt-LT"/>
              </w:rPr>
              <w:t xml:space="preserve"> suplanuotų investicijų tikėtiną poveikį </w:t>
            </w:r>
            <w:r w:rsidR="00167D44" w:rsidRPr="00BC0E75">
              <w:rPr>
                <w:bCs/>
              </w:rPr>
              <w:t>RPP regioninės plėtros problem</w:t>
            </w:r>
            <w:r w:rsidR="00167D44">
              <w:rPr>
                <w:bCs/>
              </w:rPr>
              <w:t>ų</w:t>
            </w:r>
            <w:r w:rsidR="00167D44" w:rsidRPr="00BC0E75">
              <w:rPr>
                <w:bCs/>
              </w:rPr>
              <w:t xml:space="preserve"> mastui</w:t>
            </w:r>
            <w:r w:rsidR="00167D44">
              <w:rPr>
                <w:bCs/>
              </w:rPr>
              <w:t>.</w:t>
            </w:r>
          </w:p>
        </w:tc>
        <w:tc>
          <w:tcPr>
            <w:tcW w:w="6252" w:type="dxa"/>
            <w:shd w:val="clear" w:color="auto" w:fill="auto"/>
          </w:tcPr>
          <w:p w14:paraId="73268889" w14:textId="60F7C21D" w:rsidR="006960B3" w:rsidRDefault="00DA3DD4" w:rsidP="006960B3">
            <w:pPr>
              <w:tabs>
                <w:tab w:val="left" w:pos="1134"/>
                <w:tab w:val="left" w:pos="1276"/>
              </w:tabs>
              <w:jc w:val="both"/>
              <w:rPr>
                <w:bCs/>
                <w:iCs/>
                <w:lang w:eastAsia="lt-LT"/>
              </w:rPr>
            </w:pPr>
            <w:r>
              <w:rPr>
                <w:bCs/>
                <w:iCs/>
                <w:lang w:eastAsia="lt-LT"/>
              </w:rPr>
              <w:t xml:space="preserve">9.3.1. </w:t>
            </w:r>
            <w:r w:rsidR="006960B3">
              <w:rPr>
                <w:bCs/>
                <w:iCs/>
                <w:lang w:eastAsia="lt-LT"/>
              </w:rPr>
              <w:t xml:space="preserve">Koks tikėtinas RPPl pažangos priemonių poveikis RPP regioninės plėtros problemų mastui? </w:t>
            </w:r>
          </w:p>
          <w:p w14:paraId="573B1D31" w14:textId="44C1656C" w:rsidR="001B0797" w:rsidRPr="00CB42C7" w:rsidRDefault="001B0797" w:rsidP="001B0797">
            <w:pPr>
              <w:autoSpaceDE w:val="0"/>
              <w:autoSpaceDN w:val="0"/>
              <w:jc w:val="both"/>
            </w:pPr>
          </w:p>
          <w:p w14:paraId="11DBD7CA" w14:textId="58178B4B" w:rsidR="00F772E3" w:rsidRPr="00CB42C7" w:rsidRDefault="00F772E3" w:rsidP="007D6BE0">
            <w:pPr>
              <w:autoSpaceDE w:val="0"/>
              <w:autoSpaceDN w:val="0"/>
              <w:jc w:val="both"/>
            </w:pPr>
          </w:p>
        </w:tc>
      </w:tr>
      <w:tr w:rsidR="00F772E3" w:rsidRPr="00CB42C7" w14:paraId="6200B27C" w14:textId="77777777" w:rsidTr="00A51A3A">
        <w:tc>
          <w:tcPr>
            <w:tcW w:w="3539" w:type="dxa"/>
            <w:shd w:val="clear" w:color="auto" w:fill="auto"/>
          </w:tcPr>
          <w:p w14:paraId="0E868473" w14:textId="06E23C15" w:rsidR="005E08B9" w:rsidRPr="005E08B9" w:rsidRDefault="00F772E3" w:rsidP="005E08B9">
            <w:pPr>
              <w:tabs>
                <w:tab w:val="left" w:pos="1134"/>
                <w:tab w:val="left" w:pos="1276"/>
              </w:tabs>
              <w:jc w:val="both"/>
              <w:rPr>
                <w:bCs/>
                <w:iCs/>
                <w:lang w:eastAsia="lt-LT"/>
              </w:rPr>
            </w:pPr>
            <w:r w:rsidRPr="00CB42C7">
              <w:t>9.</w:t>
            </w:r>
            <w:r>
              <w:t>4</w:t>
            </w:r>
            <w:r w:rsidRPr="00CB42C7">
              <w:t xml:space="preserve">. </w:t>
            </w:r>
            <w:r w:rsidR="005E08B9" w:rsidRPr="004C425B">
              <w:rPr>
                <w:lang w:eastAsia="lt-LT"/>
              </w:rPr>
              <w:t xml:space="preserve">Pateikti </w:t>
            </w:r>
            <w:r w:rsidR="00881472" w:rsidRPr="004C425B">
              <w:rPr>
                <w:lang w:eastAsia="lt-LT"/>
              </w:rPr>
              <w:t>įžvalgas</w:t>
            </w:r>
            <w:r w:rsidR="00881472">
              <w:rPr>
                <w:bCs/>
              </w:rPr>
              <w:t xml:space="preserve"> </w:t>
            </w:r>
            <w:r w:rsidR="005E08B9" w:rsidRPr="005E08B9">
              <w:rPr>
                <w:bCs/>
              </w:rPr>
              <w:t>dėl tikslingų investavimo į regionų plėtrą krypčių ateityje (po 2027 metų)</w:t>
            </w:r>
            <w:r w:rsidR="008141F1">
              <w:rPr>
                <w:bCs/>
              </w:rPr>
              <w:t>.</w:t>
            </w:r>
          </w:p>
          <w:p w14:paraId="1980131C" w14:textId="5993F84F" w:rsidR="00F772E3" w:rsidRPr="00CB42C7" w:rsidRDefault="00F772E3" w:rsidP="007D6BE0">
            <w:pPr>
              <w:tabs>
                <w:tab w:val="left" w:pos="180"/>
                <w:tab w:val="num" w:pos="1152"/>
              </w:tabs>
              <w:jc w:val="both"/>
              <w:rPr>
                <w:bCs/>
              </w:rPr>
            </w:pPr>
          </w:p>
        </w:tc>
        <w:tc>
          <w:tcPr>
            <w:tcW w:w="6252" w:type="dxa"/>
            <w:shd w:val="clear" w:color="auto" w:fill="auto"/>
          </w:tcPr>
          <w:p w14:paraId="47075B1E" w14:textId="59E13B97" w:rsidR="00267208" w:rsidRDefault="00267208" w:rsidP="00267208">
            <w:pPr>
              <w:tabs>
                <w:tab w:val="left" w:pos="1134"/>
                <w:tab w:val="left" w:pos="1276"/>
              </w:tabs>
              <w:jc w:val="both"/>
              <w:rPr>
                <w:bCs/>
                <w:iCs/>
                <w:lang w:eastAsia="lt-LT"/>
              </w:rPr>
            </w:pPr>
            <w:r>
              <w:rPr>
                <w:bCs/>
                <w:iCs/>
                <w:lang w:eastAsia="lt-LT"/>
              </w:rPr>
              <w:t xml:space="preserve">9.4.1. Ar ekonominės, demografinės, socialinės, aplinkos, klimato tendencijos ir vykstantys politiniai, teisiniai pokyčiai gali sukelti naujų RPP neįvardintų regioninės plėtros problemų po 2027 metų? Jei taip, tai kokių? </w:t>
            </w:r>
          </w:p>
          <w:p w14:paraId="003F5DD0" w14:textId="5E3502B1" w:rsidR="00267208" w:rsidRDefault="00267208" w:rsidP="00267208">
            <w:pPr>
              <w:tabs>
                <w:tab w:val="left" w:pos="1134"/>
                <w:tab w:val="left" w:pos="1276"/>
              </w:tabs>
              <w:jc w:val="both"/>
              <w:rPr>
                <w:bCs/>
                <w:iCs/>
                <w:lang w:eastAsia="lt-LT"/>
              </w:rPr>
            </w:pPr>
            <w:r>
              <w:rPr>
                <w:bCs/>
                <w:iCs/>
                <w:lang w:eastAsia="lt-LT"/>
              </w:rPr>
              <w:t>9.4.2. Kurių investavimo sričių (regioninių pažangos priemonių) tęstinumą tikslinga užtikrinti po 2027 metų</w:t>
            </w:r>
            <w:r w:rsidR="00C60BF2">
              <w:rPr>
                <w:bCs/>
                <w:iCs/>
                <w:lang w:eastAsia="lt-LT"/>
              </w:rPr>
              <w:t xml:space="preserve"> ir</w:t>
            </w:r>
            <w:r w:rsidR="00A02487">
              <w:rPr>
                <w:bCs/>
                <w:iCs/>
                <w:lang w:eastAsia="lt-LT"/>
              </w:rPr>
              <w:t>, jei reikia, kaip tikslinga būtų jas patobulinti</w:t>
            </w:r>
            <w:r>
              <w:rPr>
                <w:bCs/>
                <w:iCs/>
                <w:lang w:eastAsia="lt-LT"/>
              </w:rPr>
              <w:t>?</w:t>
            </w:r>
          </w:p>
          <w:p w14:paraId="62228978" w14:textId="4EB4BC62" w:rsidR="00681B54" w:rsidRPr="00CB42C7" w:rsidRDefault="00BE110A" w:rsidP="00BE110A">
            <w:pPr>
              <w:tabs>
                <w:tab w:val="left" w:pos="1134"/>
                <w:tab w:val="left" w:pos="1276"/>
              </w:tabs>
              <w:jc w:val="both"/>
            </w:pPr>
            <w:r>
              <w:rPr>
                <w:bCs/>
                <w:iCs/>
                <w:lang w:eastAsia="lt-LT"/>
              </w:rPr>
              <w:lastRenderedPageBreak/>
              <w:t>9.</w:t>
            </w:r>
            <w:r w:rsidR="00267208">
              <w:rPr>
                <w:bCs/>
                <w:iCs/>
                <w:lang w:eastAsia="lt-LT"/>
              </w:rPr>
              <w:t>4.3. Kokias naujas investavimo sritis (regionin</w:t>
            </w:r>
            <w:r>
              <w:rPr>
                <w:bCs/>
                <w:iCs/>
                <w:lang w:eastAsia="lt-LT"/>
              </w:rPr>
              <w:t>e</w:t>
            </w:r>
            <w:r w:rsidR="00267208">
              <w:rPr>
                <w:bCs/>
                <w:iCs/>
                <w:lang w:eastAsia="lt-LT"/>
              </w:rPr>
              <w:t>s pažangos priemon</w:t>
            </w:r>
            <w:r>
              <w:rPr>
                <w:bCs/>
                <w:iCs/>
                <w:lang w:eastAsia="lt-LT"/>
              </w:rPr>
              <w:t>e</w:t>
            </w:r>
            <w:r w:rsidR="00267208">
              <w:rPr>
                <w:bCs/>
                <w:iCs/>
                <w:lang w:eastAsia="lt-LT"/>
              </w:rPr>
              <w:t xml:space="preserve">s) tikslinga pasirinkti po 2027 metų? </w:t>
            </w:r>
          </w:p>
        </w:tc>
      </w:tr>
      <w:tr w:rsidR="0064647F" w:rsidRPr="00CB42C7" w14:paraId="400DED81" w14:textId="77777777" w:rsidTr="00A51A3A">
        <w:tc>
          <w:tcPr>
            <w:tcW w:w="3539" w:type="dxa"/>
            <w:shd w:val="clear" w:color="auto" w:fill="auto"/>
          </w:tcPr>
          <w:p w14:paraId="368CEF0A" w14:textId="5CA7B12A" w:rsidR="0064647F" w:rsidRPr="00CB42C7" w:rsidRDefault="0064647F" w:rsidP="00766E72">
            <w:pPr>
              <w:tabs>
                <w:tab w:val="left" w:pos="1134"/>
              </w:tabs>
              <w:jc w:val="both"/>
            </w:pPr>
            <w:r>
              <w:lastRenderedPageBreak/>
              <w:t xml:space="preserve">9.5. </w:t>
            </w:r>
            <w:r w:rsidRPr="00BC0E75">
              <w:rPr>
                <w:bCs/>
              </w:rPr>
              <w:t xml:space="preserve">Įvertinti regioninių pažangos priemonių planavimo nacionalinėse plėtros programose sistemos tinkamumą, siekiant spręsti </w:t>
            </w:r>
            <w:r w:rsidRPr="00766E72">
              <w:rPr>
                <w:bCs/>
              </w:rPr>
              <w:t>RPP regioninės plėtros problemas</w:t>
            </w:r>
            <w:r w:rsidRPr="00BC0E75">
              <w:rPr>
                <w:bCs/>
              </w:rPr>
              <w:t>.</w:t>
            </w:r>
          </w:p>
        </w:tc>
        <w:tc>
          <w:tcPr>
            <w:tcW w:w="6252" w:type="dxa"/>
            <w:shd w:val="clear" w:color="auto" w:fill="auto"/>
          </w:tcPr>
          <w:p w14:paraId="57BB1B2A" w14:textId="28E974F6" w:rsidR="0064647F" w:rsidRPr="00CB42C7" w:rsidRDefault="00833C85" w:rsidP="00DA3DD4">
            <w:pPr>
              <w:autoSpaceDE w:val="0"/>
              <w:autoSpaceDN w:val="0"/>
              <w:jc w:val="both"/>
            </w:pPr>
            <w:r>
              <w:rPr>
                <w:bCs/>
                <w:iCs/>
                <w:lang w:eastAsia="lt-LT"/>
              </w:rPr>
              <w:t xml:space="preserve">9.5.1. </w:t>
            </w:r>
            <w:r w:rsidRPr="00250B0E">
              <w:rPr>
                <w:bCs/>
                <w:iCs/>
                <w:lang w:eastAsia="lt-LT"/>
              </w:rPr>
              <w:t>Ar nacionalinių plėtros programų rengimo ir Europos Sąjungos fondų investicijų programavimo sistema yra tinkama tam, kad regioninės pažangos priemonės būtų tinkamos ir pakankamos RPP regioninės plėtros problemoms spręsti? Jei ne, tai kaip ją reikėtų tobulinti?</w:t>
            </w:r>
          </w:p>
        </w:tc>
      </w:tr>
    </w:tbl>
    <w:p w14:paraId="646D87ED" w14:textId="62CEDFD5" w:rsidR="00F772E3" w:rsidRDefault="00F772E3" w:rsidP="00805579">
      <w:pPr>
        <w:tabs>
          <w:tab w:val="left" w:pos="1134"/>
          <w:tab w:val="left" w:pos="1276"/>
        </w:tabs>
        <w:ind w:firstLine="709"/>
        <w:jc w:val="both"/>
      </w:pPr>
      <w:r w:rsidRPr="004C425B">
        <w:t>9.</w:t>
      </w:r>
      <w:r w:rsidR="006C060F" w:rsidRPr="004C425B">
        <w:t>6</w:t>
      </w:r>
      <w:r w:rsidRPr="004C425B">
        <w:t>. Apibendrinęs vertinimo metu surinktus duomenis ir atsakęs į visus vertinimo klausimus, paslaugų teikėjas galutinėje vertinimo ataskaitoje turės pateikti</w:t>
      </w:r>
      <w:r w:rsidR="00CA529D" w:rsidRPr="004C425B">
        <w:t xml:space="preserve"> </w:t>
      </w:r>
      <w:r w:rsidRPr="004C425B">
        <w:t>konkrečias vertinimo išvadas</w:t>
      </w:r>
      <w:r w:rsidR="004E51B1" w:rsidRPr="004C425B">
        <w:t xml:space="preserve">, </w:t>
      </w:r>
      <w:r w:rsidR="00847778" w:rsidRPr="004C425B">
        <w:t>įžvalgas</w:t>
      </w:r>
      <w:r w:rsidRPr="004C425B">
        <w:t xml:space="preserve"> </w:t>
      </w:r>
      <w:r w:rsidR="00847778" w:rsidRPr="004C425B">
        <w:t xml:space="preserve">dėl </w:t>
      </w:r>
      <w:r w:rsidR="00847778" w:rsidRPr="004C425B">
        <w:rPr>
          <w:bCs/>
        </w:rPr>
        <w:t>investavimo į regionų plėtrą krypčių</w:t>
      </w:r>
      <w:r w:rsidR="00847778" w:rsidRPr="005E08B9">
        <w:rPr>
          <w:bCs/>
        </w:rPr>
        <w:t xml:space="preserve"> po 2027 metų</w:t>
      </w:r>
      <w:r w:rsidR="00847778">
        <w:rPr>
          <w:bCs/>
        </w:rPr>
        <w:t xml:space="preserve"> bei </w:t>
      </w:r>
      <w:r w:rsidRPr="00493790">
        <w:t>pateikti rekomendacija</w:t>
      </w:r>
      <w:r w:rsidR="00805579" w:rsidRPr="00493790">
        <w:t>s</w:t>
      </w:r>
      <w:r w:rsidR="00805579">
        <w:t>.</w:t>
      </w:r>
    </w:p>
    <w:p w14:paraId="1E0319C5" w14:textId="515BCA5B" w:rsidR="00F772E3" w:rsidRPr="008F5E71" w:rsidRDefault="00F772E3" w:rsidP="00F772E3">
      <w:pPr>
        <w:tabs>
          <w:tab w:val="num" w:pos="567"/>
          <w:tab w:val="left" w:pos="840"/>
          <w:tab w:val="left" w:pos="1560"/>
        </w:tabs>
        <w:ind w:right="-81" w:firstLine="709"/>
        <w:jc w:val="both"/>
      </w:pPr>
      <w:r w:rsidRPr="008F5E71">
        <w:t>9.</w:t>
      </w:r>
      <w:r w:rsidR="006C060F">
        <w:t>7</w:t>
      </w:r>
      <w:r w:rsidRPr="008F5E71">
        <w:t>. Vertinimo išvados</w:t>
      </w:r>
      <w:r>
        <w:t xml:space="preserve"> ir įžvalgos</w:t>
      </w:r>
      <w:r w:rsidRPr="008F5E71">
        <w:t xml:space="preserve"> turi </w:t>
      </w:r>
      <w:r w:rsidRPr="008F5E71">
        <w:rPr>
          <w:noProof/>
        </w:rPr>
        <w:t xml:space="preserve">būti nuoseklios, aiškios ir pagrįstos atliktos analizės rezultatais </w:t>
      </w:r>
      <w:r w:rsidRPr="008F5E71">
        <w:t xml:space="preserve">(identifikuojamos </w:t>
      </w:r>
      <w:r>
        <w:t>TS</w:t>
      </w:r>
      <w:r w:rsidRPr="008F5E71">
        <w:t xml:space="preserve"> 5.1 papunktyje nurodytos </w:t>
      </w:r>
      <w:r>
        <w:t>galutinės v</w:t>
      </w:r>
      <w:r w:rsidRPr="006A58DE">
        <w:t xml:space="preserve">ertinimo </w:t>
      </w:r>
      <w:r w:rsidRPr="00865E5D">
        <w:t>ataskait</w:t>
      </w:r>
      <w:r w:rsidRPr="00950FF9">
        <w:t xml:space="preserve">os </w:t>
      </w:r>
      <w:r w:rsidRPr="009B67B0">
        <w:t>tekstuose</w:t>
      </w:r>
      <w:r w:rsidRPr="00D66047">
        <w:t>).</w:t>
      </w:r>
    </w:p>
    <w:p w14:paraId="780056BB" w14:textId="41358384" w:rsidR="00F772E3" w:rsidRPr="008F5E71" w:rsidRDefault="00F772E3" w:rsidP="00F772E3">
      <w:pPr>
        <w:tabs>
          <w:tab w:val="num" w:pos="567"/>
          <w:tab w:val="left" w:pos="840"/>
          <w:tab w:val="left" w:pos="1560"/>
        </w:tabs>
        <w:ind w:right="-81" w:firstLine="709"/>
        <w:jc w:val="both"/>
      </w:pPr>
      <w:r w:rsidRPr="008F5E71">
        <w:t>9.</w:t>
      </w:r>
      <w:r w:rsidR="006C060F">
        <w:t>8</w:t>
      </w:r>
      <w:r w:rsidRPr="008F5E71">
        <w:t>. Rekomendacijos turi atitikti pripažintus kokybės standartus, t.</w:t>
      </w:r>
      <w:r>
        <w:t xml:space="preserve"> </w:t>
      </w:r>
      <w:r w:rsidRPr="008F5E71">
        <w:t xml:space="preserve">y. būti aiškios, pagrįstos, pateiktos laiku, įgyvendinamos ir veiksmingos. </w:t>
      </w:r>
    </w:p>
    <w:p w14:paraId="400C3EAB" w14:textId="3DCF2AA1" w:rsidR="00F772E3" w:rsidRPr="006A58DE" w:rsidRDefault="00F772E3" w:rsidP="00F772E3">
      <w:pPr>
        <w:tabs>
          <w:tab w:val="left" w:pos="1260"/>
        </w:tabs>
        <w:ind w:firstLine="720"/>
        <w:jc w:val="both"/>
      </w:pPr>
      <w:r w:rsidRPr="006A58DE">
        <w:t>9.</w:t>
      </w:r>
      <w:r w:rsidR="006C060F">
        <w:t>9</w:t>
      </w:r>
      <w:r w:rsidRPr="006A58DE">
        <w:t xml:space="preserve">. </w:t>
      </w:r>
      <w:r>
        <w:t>TS</w:t>
      </w:r>
      <w:r w:rsidRPr="006A58DE">
        <w:t xml:space="preserve"> 5.1 papunktyje nurodytos </w:t>
      </w:r>
      <w:r>
        <w:t>galutinės v</w:t>
      </w:r>
      <w:r w:rsidRPr="006A58DE">
        <w:t>ertinimo ataskaitos prieduose turi būti pateikta naudotų vertinimo metodų taikymą pagrindžianti informacija.</w:t>
      </w:r>
    </w:p>
    <w:p w14:paraId="30CCEDFB" w14:textId="77777777" w:rsidR="00F772E3" w:rsidRPr="00CB42C7" w:rsidRDefault="00F772E3" w:rsidP="00F772E3">
      <w:pPr>
        <w:pStyle w:val="TEKSTAS"/>
        <w:widowControl/>
        <w:tabs>
          <w:tab w:val="left" w:pos="9360"/>
        </w:tabs>
        <w:overflowPunct/>
        <w:autoSpaceDE/>
        <w:autoSpaceDN/>
        <w:adjustRightInd/>
        <w:spacing w:before="0" w:after="0"/>
        <w:ind w:firstLine="720"/>
        <w:textAlignment w:val="auto"/>
        <w:rPr>
          <w:lang w:val="lt-LT"/>
        </w:rPr>
      </w:pPr>
    </w:p>
    <w:p w14:paraId="40D27114" w14:textId="77777777" w:rsidR="00F772E3" w:rsidRPr="00CB42C7" w:rsidRDefault="00F772E3" w:rsidP="00F772E3">
      <w:pPr>
        <w:ind w:right="45" w:firstLine="720"/>
        <w:jc w:val="center"/>
        <w:rPr>
          <w:b/>
        </w:rPr>
      </w:pPr>
      <w:r w:rsidRPr="00CB42C7">
        <w:rPr>
          <w:b/>
        </w:rPr>
        <w:t>IV. KITA INFORMACIJA</w:t>
      </w:r>
    </w:p>
    <w:p w14:paraId="6448DD43" w14:textId="77777777" w:rsidR="00F772E3" w:rsidRPr="00CB42C7"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p>
    <w:p w14:paraId="5A5D3ABD" w14:textId="77777777" w:rsidR="00F772E3" w:rsidRPr="00775558" w:rsidRDefault="00F772E3" w:rsidP="00F772E3">
      <w:pPr>
        <w:pStyle w:val="TEKSTAS"/>
        <w:widowControl/>
        <w:tabs>
          <w:tab w:val="left" w:pos="9360"/>
        </w:tabs>
        <w:overflowPunct/>
        <w:autoSpaceDE/>
        <w:autoSpaceDN/>
        <w:adjustRightInd/>
        <w:spacing w:before="0" w:after="0"/>
        <w:ind w:right="45" w:firstLine="720"/>
        <w:textAlignment w:val="auto"/>
        <w:rPr>
          <w:b/>
          <w:szCs w:val="24"/>
          <w:lang w:val="lt-LT"/>
        </w:rPr>
      </w:pPr>
      <w:r w:rsidRPr="002432F5">
        <w:rPr>
          <w:b/>
          <w:szCs w:val="24"/>
          <w:lang w:val="lt-LT"/>
        </w:rPr>
        <w:t>10. Vertinimo trukmė</w:t>
      </w:r>
    </w:p>
    <w:p w14:paraId="45A357FA" w14:textId="609D8F2E" w:rsidR="00F772E3" w:rsidRPr="00360FB8"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2D01F4">
        <w:rPr>
          <w:szCs w:val="24"/>
          <w:lang w:val="lt-LT"/>
        </w:rPr>
        <w:t xml:space="preserve">10.1. </w:t>
      </w:r>
      <w:r w:rsidRPr="00E245E4">
        <w:rPr>
          <w:szCs w:val="24"/>
          <w:lang w:val="lt-LT"/>
        </w:rPr>
        <w:t xml:space="preserve">Vertinimas </w:t>
      </w:r>
      <w:r w:rsidRPr="00C754EC">
        <w:rPr>
          <w:szCs w:val="24"/>
          <w:lang w:val="lt-LT"/>
        </w:rPr>
        <w:t xml:space="preserve">turi būti atliktas </w:t>
      </w:r>
      <w:r w:rsidR="0037735B" w:rsidRPr="004C425B">
        <w:rPr>
          <w:szCs w:val="24"/>
          <w:lang w:val="lt-LT"/>
        </w:rPr>
        <w:t xml:space="preserve">iki 2026 m. </w:t>
      </w:r>
      <w:r w:rsidR="005B52F8" w:rsidRPr="004C425B">
        <w:rPr>
          <w:szCs w:val="24"/>
          <w:lang w:val="lt-LT"/>
        </w:rPr>
        <w:t>kovo</w:t>
      </w:r>
      <w:r w:rsidR="0037735B" w:rsidRPr="004C425B">
        <w:rPr>
          <w:szCs w:val="24"/>
          <w:lang w:val="lt-LT"/>
        </w:rPr>
        <w:t xml:space="preserve"> </w:t>
      </w:r>
      <w:r w:rsidR="0037735B" w:rsidRPr="00242332">
        <w:rPr>
          <w:szCs w:val="24"/>
          <w:lang w:val="lt-LT"/>
        </w:rPr>
        <w:t>1</w:t>
      </w:r>
      <w:r w:rsidR="0031735C" w:rsidRPr="00242332">
        <w:rPr>
          <w:szCs w:val="24"/>
          <w:lang w:val="lt-LT"/>
        </w:rPr>
        <w:t>5</w:t>
      </w:r>
      <w:r w:rsidR="0037735B" w:rsidRPr="004C425B">
        <w:rPr>
          <w:szCs w:val="24"/>
          <w:lang w:val="lt-LT"/>
        </w:rPr>
        <w:t xml:space="preserve"> d</w:t>
      </w:r>
      <w:r w:rsidRPr="004C425B">
        <w:rPr>
          <w:szCs w:val="24"/>
          <w:lang w:val="lt-LT"/>
        </w:rPr>
        <w:t>.</w:t>
      </w:r>
      <w:r w:rsidRPr="00360FB8">
        <w:rPr>
          <w:szCs w:val="24"/>
          <w:lang w:val="lt-LT"/>
        </w:rPr>
        <w:t xml:space="preserve"> </w:t>
      </w:r>
    </w:p>
    <w:p w14:paraId="2672DA34" w14:textId="77777777" w:rsidR="00F772E3" w:rsidRPr="00172AA3"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360FB8">
        <w:rPr>
          <w:szCs w:val="24"/>
          <w:lang w:val="lt-LT"/>
        </w:rPr>
        <w:t xml:space="preserve">10.2. </w:t>
      </w:r>
      <w:r w:rsidRPr="00062AFE">
        <w:rPr>
          <w:szCs w:val="24"/>
          <w:lang w:val="lt-LT"/>
        </w:rPr>
        <w:t>Paslaugų teikimo terminas gali būti pratęstas</w:t>
      </w:r>
      <w:r>
        <w:rPr>
          <w:szCs w:val="24"/>
          <w:lang w:val="lt-LT"/>
        </w:rPr>
        <w:t xml:space="preserve"> vieną kartą, </w:t>
      </w:r>
      <w:r w:rsidRPr="00062AFE">
        <w:rPr>
          <w:szCs w:val="24"/>
          <w:lang w:val="lt-LT"/>
        </w:rPr>
        <w:t>bet ne ilg</w:t>
      </w:r>
      <w:r>
        <w:rPr>
          <w:szCs w:val="24"/>
          <w:lang w:val="lt-LT"/>
        </w:rPr>
        <w:t xml:space="preserve">esniam </w:t>
      </w:r>
      <w:r w:rsidRPr="00062AFE">
        <w:rPr>
          <w:szCs w:val="24"/>
          <w:lang w:val="lt-LT"/>
        </w:rPr>
        <w:t xml:space="preserve">kaip </w:t>
      </w:r>
      <w:r>
        <w:rPr>
          <w:szCs w:val="24"/>
          <w:lang w:val="lt-LT"/>
        </w:rPr>
        <w:t xml:space="preserve">1 (vieno) mėnesio laikotarpiui. </w:t>
      </w:r>
    </w:p>
    <w:p w14:paraId="1F29C234" w14:textId="77777777" w:rsidR="00F772E3" w:rsidRPr="006858A2"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p>
    <w:p w14:paraId="200BF90B" w14:textId="77777777" w:rsidR="00F772E3" w:rsidRPr="00CB42C7" w:rsidRDefault="00F772E3" w:rsidP="00F772E3">
      <w:pPr>
        <w:tabs>
          <w:tab w:val="num" w:pos="1440"/>
        </w:tabs>
        <w:ind w:firstLine="720"/>
        <w:jc w:val="both"/>
        <w:rPr>
          <w:b/>
        </w:rPr>
      </w:pPr>
      <w:r w:rsidRPr="00CB42C7">
        <w:rPr>
          <w:b/>
        </w:rPr>
        <w:t>11. Vertinimo proceso pažangos kontrolė</w:t>
      </w:r>
    </w:p>
    <w:p w14:paraId="065DDEA9" w14:textId="4DE328A0" w:rsidR="00F772E3" w:rsidRDefault="00F772E3" w:rsidP="00F772E3">
      <w:pPr>
        <w:tabs>
          <w:tab w:val="num" w:pos="1440"/>
        </w:tabs>
        <w:ind w:firstLine="720"/>
        <w:jc w:val="both"/>
      </w:pPr>
      <w:r>
        <w:t xml:space="preserve">11.1. Per 10 </w:t>
      </w:r>
      <w:r w:rsidR="00F43CDE">
        <w:t xml:space="preserve">darbo </w:t>
      </w:r>
      <w:r>
        <w:t xml:space="preserve">dienų nuo </w:t>
      </w:r>
      <w:r w:rsidR="004C7E82">
        <w:t>Vertinimo</w:t>
      </w:r>
      <w:r w:rsidR="00ED52D9">
        <w:t xml:space="preserve"> paslaugų s</w:t>
      </w:r>
      <w:r>
        <w:t>utarties</w:t>
      </w:r>
      <w:r w:rsidR="003C42C2">
        <w:t xml:space="preserve"> (toliau – Sutartis)</w:t>
      </w:r>
      <w:r>
        <w:t xml:space="preserve"> įsigaliojimo dienos turi būti suorganizuotas įvadinis susitikimas, kuriame Paslaugų teikėjas su </w:t>
      </w:r>
      <w:r w:rsidR="001A45B0">
        <w:t xml:space="preserve">Vidaus reikalų </w:t>
      </w:r>
      <w:r>
        <w:t xml:space="preserve">ministerija turi aptarti planuojamas vertinimo veiklas, atsakant </w:t>
      </w:r>
      <w:r w:rsidR="00F43CDE">
        <w:t xml:space="preserve">į </w:t>
      </w:r>
      <w:r>
        <w:t xml:space="preserve">TS 9 punkte nurodytus vertinimo klausimus.  </w:t>
      </w:r>
    </w:p>
    <w:p w14:paraId="5A33ADB1" w14:textId="77777777" w:rsidR="00F772E3" w:rsidRDefault="00F772E3" w:rsidP="00F772E3">
      <w:pPr>
        <w:tabs>
          <w:tab w:val="num" w:pos="1440"/>
        </w:tabs>
        <w:ind w:firstLine="720"/>
        <w:jc w:val="both"/>
      </w:pPr>
      <w:r w:rsidRPr="00E043DC">
        <w:t>1</w:t>
      </w:r>
      <w:r>
        <w:t>1</w:t>
      </w:r>
      <w:r w:rsidRPr="00E043DC">
        <w:t>.</w:t>
      </w:r>
      <w:r>
        <w:t>2</w:t>
      </w:r>
      <w:r w:rsidRPr="00E043DC">
        <w:t xml:space="preserve">. Siekiant užtikrinti vertinimo proceso kontrolę ir pažangą, </w:t>
      </w:r>
      <w:r>
        <w:t>P</w:t>
      </w:r>
      <w:r w:rsidRPr="00E043DC">
        <w:t>aslaugų teikėjas</w:t>
      </w:r>
      <w:r>
        <w:t xml:space="preserve"> turi parengti šias ataskaitas:</w:t>
      </w:r>
    </w:p>
    <w:p w14:paraId="0B9B5744" w14:textId="2065A0B6" w:rsidR="00F772E3" w:rsidRPr="00BD1F8D" w:rsidRDefault="00F772E3" w:rsidP="00F772E3">
      <w:pPr>
        <w:tabs>
          <w:tab w:val="num" w:pos="1440"/>
        </w:tabs>
        <w:ind w:firstLine="720"/>
        <w:jc w:val="both"/>
        <w:rPr>
          <w:bCs/>
        </w:rPr>
      </w:pPr>
      <w:r>
        <w:t>11.2.1.</w:t>
      </w:r>
      <w:r w:rsidRPr="00E043DC">
        <w:t xml:space="preserve"> </w:t>
      </w:r>
      <w:r w:rsidRPr="00BD1F8D">
        <w:rPr>
          <w:bCs/>
        </w:rPr>
        <w:t>per 45 (keturiasdešimt penkias) dienas nuo Sutarties įsigaliojimo dienos įvadinę vertinimo ataskaitą, kurioje turi būti:</w:t>
      </w:r>
    </w:p>
    <w:p w14:paraId="0C524631" w14:textId="4997A988" w:rsidR="00F772E3" w:rsidRPr="00A31EF8" w:rsidRDefault="00F772E3" w:rsidP="00F772E3">
      <w:pPr>
        <w:tabs>
          <w:tab w:val="num" w:pos="1440"/>
        </w:tabs>
        <w:ind w:firstLine="720"/>
        <w:jc w:val="both"/>
      </w:pPr>
      <w:r>
        <w:rPr>
          <w:rFonts w:eastAsia="Calibri"/>
        </w:rPr>
        <w:t xml:space="preserve">11.2.1.1. aprašyta, kaip </w:t>
      </w:r>
      <w:r w:rsidR="00E9764C">
        <w:rPr>
          <w:rFonts w:eastAsia="Calibri"/>
        </w:rPr>
        <w:t>bus atliekamas vertinimas</w:t>
      </w:r>
      <w:r w:rsidR="00BE679F">
        <w:rPr>
          <w:rFonts w:eastAsia="Calibri"/>
        </w:rPr>
        <w:t xml:space="preserve"> (</w:t>
      </w:r>
      <w:r w:rsidR="00D52F5A">
        <w:rPr>
          <w:rFonts w:eastAsia="Calibri"/>
        </w:rPr>
        <w:t>aprašyta</w:t>
      </w:r>
      <w:r w:rsidR="0087602F">
        <w:rPr>
          <w:rFonts w:eastAsia="Calibri"/>
        </w:rPr>
        <w:t>, kaip bus</w:t>
      </w:r>
      <w:r w:rsidR="006849B9">
        <w:rPr>
          <w:rFonts w:eastAsia="Calibri"/>
        </w:rPr>
        <w:t xml:space="preserve"> </w:t>
      </w:r>
      <w:r w:rsidRPr="00A31EF8">
        <w:t>analizuojama intervencijų logika, nurod</w:t>
      </w:r>
      <w:r w:rsidR="00D52F5A" w:rsidRPr="00A31EF8">
        <w:t>ytos</w:t>
      </w:r>
      <w:r w:rsidRPr="00A31EF8">
        <w:t xml:space="preserve"> keliamos hipotezės, aprašyti vertinimo metodai bei </w:t>
      </w:r>
      <w:r w:rsidR="00D22167" w:rsidRPr="00A31EF8">
        <w:t xml:space="preserve">jie </w:t>
      </w:r>
      <w:r w:rsidRPr="00A31EF8">
        <w:t>susieti su vertinimo tikslais, uždaviniais ir laukiamais rezultatais</w:t>
      </w:r>
      <w:r w:rsidR="005D55A9" w:rsidRPr="00A31EF8">
        <w:t xml:space="preserve">, </w:t>
      </w:r>
      <w:r w:rsidRPr="00A31EF8">
        <w:t>nurodyta, kaip bus sprendžiama vertinimo „pločio ir gylio“ problema pagal pasiūlytą vertinimo metodiką ir kaip tai leis pasiekti vertinimo tikslus ir uždavinius</w:t>
      </w:r>
      <w:r w:rsidR="00AD4C4F" w:rsidRPr="00A31EF8">
        <w:t>)</w:t>
      </w:r>
      <w:r w:rsidRPr="00A31EF8">
        <w:t>;</w:t>
      </w:r>
    </w:p>
    <w:p w14:paraId="4B5B6AD1" w14:textId="5A4FAFFB" w:rsidR="00F772E3" w:rsidRPr="00A31EF8" w:rsidRDefault="00F772E3" w:rsidP="00F772E3">
      <w:pPr>
        <w:tabs>
          <w:tab w:val="num" w:pos="1440"/>
        </w:tabs>
        <w:ind w:firstLine="720"/>
        <w:jc w:val="both"/>
      </w:pPr>
      <w:r w:rsidRPr="00A31EF8">
        <w:t>11.2.1.</w:t>
      </w:r>
      <w:r w:rsidR="006239E5" w:rsidRPr="00A31EF8">
        <w:t>2</w:t>
      </w:r>
      <w:r w:rsidRPr="00A31EF8">
        <w:t>. pateikta aktualių strateginių dokumentų bei kitų informacijos ir duomenų šaltinių, reikalingų atsakyti į TS 9.1.1 – 9.</w:t>
      </w:r>
      <w:r w:rsidR="009D5829" w:rsidRPr="00A31EF8">
        <w:t>5.1</w:t>
      </w:r>
      <w:r w:rsidRPr="00A31EF8">
        <w:t xml:space="preserve"> papunkčiuose išdėstytus klausimus, apžvalga;</w:t>
      </w:r>
    </w:p>
    <w:p w14:paraId="45135BB9" w14:textId="3E1F0767" w:rsidR="00F772E3" w:rsidRPr="00A31EF8" w:rsidRDefault="00F772E3" w:rsidP="00F772E3">
      <w:pPr>
        <w:tabs>
          <w:tab w:val="num" w:pos="1440"/>
        </w:tabs>
        <w:ind w:firstLine="720"/>
        <w:jc w:val="both"/>
      </w:pPr>
      <w:r w:rsidRPr="00A31EF8">
        <w:t>11.2.1.</w:t>
      </w:r>
      <w:r w:rsidR="006239E5" w:rsidRPr="00A31EF8">
        <w:t>3</w:t>
      </w:r>
      <w:r w:rsidRPr="00A31EF8">
        <w:t xml:space="preserve">. pagal kiekvieną TS 9 punkte nurodytą vertinimo klausimą </w:t>
      </w:r>
      <w:r w:rsidR="00682FE6" w:rsidRPr="00A31EF8">
        <w:t xml:space="preserve">(atsižvelgiant į pateiktus vertinimo kriterijus) </w:t>
      </w:r>
      <w:r w:rsidRPr="00A31EF8">
        <w:t>pateikti, jei reikia, detalizuojantys vertinimo klausimai, aprašyta, kokiais duomenų rinkimo ir analizės metodais bus atsakoma į kiekvieną klausimą, ir pagrįsta, kodėl pasiūlyti metodai leis efektyviausiai atsakyti į vertinimo klausimus (informacija pateikta aiškiai struktūruotoje lentelėje);</w:t>
      </w:r>
    </w:p>
    <w:p w14:paraId="12B29ADB" w14:textId="476BBE61" w:rsidR="00F772E3" w:rsidRPr="00A31EF8" w:rsidRDefault="00F772E3" w:rsidP="00F772E3">
      <w:pPr>
        <w:ind w:firstLine="720"/>
        <w:jc w:val="both"/>
      </w:pPr>
      <w:r w:rsidRPr="00A31EF8">
        <w:t>11.2.1.</w:t>
      </w:r>
      <w:r w:rsidR="006239E5" w:rsidRPr="00A31EF8">
        <w:t>4</w:t>
      </w:r>
      <w:r w:rsidRPr="00A31EF8">
        <w:t xml:space="preserve">. parengtos priemonės, reikalingos </w:t>
      </w:r>
      <w:r w:rsidR="00123ECE" w:rsidRPr="00A31EF8">
        <w:t xml:space="preserve">vertinimo </w:t>
      </w:r>
      <w:r w:rsidRPr="00A31EF8">
        <w:t xml:space="preserve">metodų įgyvendinimui (interviu klausimynai, respondentų sąrašas ir </w:t>
      </w:r>
      <w:r w:rsidR="00711AAD" w:rsidRPr="00A31EF8">
        <w:t>pan</w:t>
      </w:r>
      <w:r w:rsidRPr="00A31EF8">
        <w:t xml:space="preserve">.) ir </w:t>
      </w:r>
      <w:r w:rsidR="00123ECE" w:rsidRPr="00A31EF8">
        <w:t xml:space="preserve">parengtos </w:t>
      </w:r>
      <w:r w:rsidR="00A73EFD" w:rsidRPr="00A31EF8">
        <w:t xml:space="preserve">metodikos </w:t>
      </w:r>
      <w:r w:rsidRPr="00A31EF8">
        <w:t>atvej</w:t>
      </w:r>
      <w:r w:rsidR="00123ECE" w:rsidRPr="00A31EF8">
        <w:t>ų</w:t>
      </w:r>
      <w:r w:rsidRPr="00A31EF8">
        <w:t xml:space="preserve"> </w:t>
      </w:r>
      <w:r w:rsidR="00D80959" w:rsidRPr="00A31EF8">
        <w:t>analizei</w:t>
      </w:r>
      <w:r w:rsidR="00A73EFD" w:rsidRPr="00A31EF8">
        <w:t xml:space="preserve"> atlikti</w:t>
      </w:r>
      <w:r w:rsidRPr="00A31EF8">
        <w:t>;</w:t>
      </w:r>
    </w:p>
    <w:p w14:paraId="2E44EECB" w14:textId="0B735F6A" w:rsidR="00F772E3" w:rsidRPr="00A31EF8" w:rsidRDefault="00F772E3" w:rsidP="00F772E3">
      <w:pPr>
        <w:ind w:firstLine="720"/>
        <w:jc w:val="both"/>
      </w:pPr>
      <w:r w:rsidRPr="00A31EF8">
        <w:t>11.2.1.</w:t>
      </w:r>
      <w:r w:rsidR="006239E5" w:rsidRPr="00A31EF8">
        <w:t>5</w:t>
      </w:r>
      <w:r w:rsidRPr="00A31EF8">
        <w:t xml:space="preserve"> struktūruotai ir nuosekliai nurodyti vertinimo etapai ir pateikti pagrįsti paaiškinimai, kuriame etape kiekvienas vertinimo metodas bus taikomas, kokios veiklos bus atliekamos ir kokie kiekvieno etapo rezultatai;</w:t>
      </w:r>
    </w:p>
    <w:p w14:paraId="2589B25F" w14:textId="6420269E" w:rsidR="00F772E3" w:rsidRPr="00A31EF8" w:rsidRDefault="00F772E3" w:rsidP="00F772E3">
      <w:pPr>
        <w:ind w:firstLine="720"/>
        <w:jc w:val="both"/>
      </w:pPr>
      <w:r w:rsidRPr="00A31EF8">
        <w:lastRenderedPageBreak/>
        <w:t>11.2.1.</w:t>
      </w:r>
      <w:r w:rsidR="006239E5" w:rsidRPr="00A31EF8">
        <w:t>6</w:t>
      </w:r>
      <w:r w:rsidRPr="00A31EF8">
        <w:t>. pateiktas paslaugų suteikimo tvarkaraštis, kuriame nuosekliai išdėstytos vertinimo veiklos ir metodai, nurodant jų taikymo trukmę, aiškiai ir tinkamai nurodyti tarpinių ir galutinių rezultatų pateikimo terminai ir pagrįsta, kaip bus užtikrintas terminų laikymasis;</w:t>
      </w:r>
    </w:p>
    <w:p w14:paraId="2E8CAB13" w14:textId="407675AF" w:rsidR="00F772E3" w:rsidRDefault="00F772E3" w:rsidP="00F772E3">
      <w:pPr>
        <w:ind w:firstLine="720"/>
        <w:jc w:val="both"/>
      </w:pPr>
      <w:r w:rsidRPr="00A31EF8">
        <w:t>11.2.1.</w:t>
      </w:r>
      <w:r w:rsidR="006239E5" w:rsidRPr="00A31EF8">
        <w:t>7</w:t>
      </w:r>
      <w:r w:rsidRPr="00A31EF8">
        <w:t>. nurodytas kiekvieno eksperto vaidmuo ir indėlis vertinimo procese, atliekant vertinimo veiklas (d/d) ir pagrįstas Sutarties įgyvendinamumas.</w:t>
      </w:r>
    </w:p>
    <w:p w14:paraId="658BB318" w14:textId="71AE5481" w:rsidR="00F772E3" w:rsidRPr="00275732" w:rsidRDefault="00F772E3" w:rsidP="00F772E3">
      <w:pPr>
        <w:ind w:firstLine="720"/>
        <w:jc w:val="both"/>
      </w:pPr>
      <w:r w:rsidRPr="00275732">
        <w:t xml:space="preserve">11.2.2. </w:t>
      </w:r>
      <w:r w:rsidR="00BD1F8D" w:rsidRPr="00275732">
        <w:t>i</w:t>
      </w:r>
      <w:r w:rsidRPr="00275732">
        <w:t>ki 202</w:t>
      </w:r>
      <w:r w:rsidR="00CF4779" w:rsidRPr="00275732">
        <w:t>5</w:t>
      </w:r>
      <w:r w:rsidRPr="00275732">
        <w:t xml:space="preserve"> m. </w:t>
      </w:r>
      <w:r w:rsidR="002523E4" w:rsidRPr="00275732">
        <w:t xml:space="preserve">lapkričio </w:t>
      </w:r>
      <w:r w:rsidRPr="00275732">
        <w:t xml:space="preserve">1 dienos – </w:t>
      </w:r>
      <w:r w:rsidR="009C4BB2" w:rsidRPr="00275732">
        <w:t>tarpin</w:t>
      </w:r>
      <w:r w:rsidR="0098405C" w:rsidRPr="00275732">
        <w:t>ės</w:t>
      </w:r>
      <w:r w:rsidRPr="00275732">
        <w:t xml:space="preserve"> ataskaitos projektą</w:t>
      </w:r>
      <w:r w:rsidR="00E75D52" w:rsidRPr="00275732">
        <w:t>, kuriame turi būti atlikta analizė su preliminariomis išvadomis pagal</w:t>
      </w:r>
      <w:r w:rsidR="0088181C" w:rsidRPr="00275732">
        <w:t xml:space="preserve"> </w:t>
      </w:r>
      <w:r w:rsidR="00700694" w:rsidRPr="00275732">
        <w:t>TS 9.1</w:t>
      </w:r>
      <w:r w:rsidR="00381C1D" w:rsidRPr="00275732">
        <w:t>–</w:t>
      </w:r>
      <w:r w:rsidR="00700694" w:rsidRPr="00275732">
        <w:t>9.3</w:t>
      </w:r>
      <w:r w:rsidR="00EB46F7" w:rsidRPr="00275732">
        <w:t xml:space="preserve"> papunkčiuose nurodytus klausimus</w:t>
      </w:r>
      <w:r w:rsidRPr="00275732">
        <w:t>.</w:t>
      </w:r>
    </w:p>
    <w:p w14:paraId="3B628C97" w14:textId="67A133DF" w:rsidR="00F772E3" w:rsidRDefault="00F772E3" w:rsidP="00F772E3">
      <w:pPr>
        <w:tabs>
          <w:tab w:val="num" w:pos="1440"/>
        </w:tabs>
        <w:ind w:firstLine="720"/>
        <w:jc w:val="both"/>
      </w:pPr>
      <w:r w:rsidRPr="00275732">
        <w:rPr>
          <w:bCs/>
        </w:rPr>
        <w:t xml:space="preserve">11.2.3. </w:t>
      </w:r>
      <w:r w:rsidR="00B669FD" w:rsidRPr="00275732">
        <w:rPr>
          <w:bCs/>
        </w:rPr>
        <w:t>i</w:t>
      </w:r>
      <w:r w:rsidR="004478C3" w:rsidRPr="00275732">
        <w:rPr>
          <w:bCs/>
        </w:rPr>
        <w:t xml:space="preserve">ki 2026 m. </w:t>
      </w:r>
      <w:r w:rsidR="00780595" w:rsidRPr="00275732">
        <w:rPr>
          <w:bCs/>
        </w:rPr>
        <w:t>vasario</w:t>
      </w:r>
      <w:r w:rsidR="004478C3" w:rsidRPr="00275732">
        <w:rPr>
          <w:bCs/>
        </w:rPr>
        <w:t xml:space="preserve"> 1 d.</w:t>
      </w:r>
      <w:r w:rsidRPr="00275732">
        <w:rPr>
          <w:bCs/>
        </w:rPr>
        <w:t xml:space="preserve"> – galutinės vertinimo ataskaitos projektą</w:t>
      </w:r>
      <w:r w:rsidRPr="009E6883">
        <w:rPr>
          <w:bCs/>
        </w:rPr>
        <w:t>,</w:t>
      </w:r>
      <w:r w:rsidRPr="00275732">
        <w:rPr>
          <w:b/>
        </w:rPr>
        <w:t xml:space="preserve"> </w:t>
      </w:r>
      <w:r w:rsidRPr="00275732">
        <w:rPr>
          <w:bCs/>
        </w:rPr>
        <w:t>kuriame</w:t>
      </w:r>
      <w:r w:rsidRPr="0074536D">
        <w:rPr>
          <w:bCs/>
        </w:rPr>
        <w:t xml:space="preserve"> turi būti atlikta analizė su preliminariomis išvadomis </w:t>
      </w:r>
      <w:r w:rsidR="00310A94">
        <w:rPr>
          <w:bCs/>
        </w:rPr>
        <w:t xml:space="preserve">ir rekomendacijomis </w:t>
      </w:r>
      <w:r w:rsidRPr="0074536D">
        <w:rPr>
          <w:bCs/>
        </w:rPr>
        <w:t>pagal visus TS 9 punkte nurodytus vertinimo klausimus.</w:t>
      </w:r>
      <w:r>
        <w:t xml:space="preserve"> </w:t>
      </w:r>
    </w:p>
    <w:p w14:paraId="4EB853C6" w14:textId="5CC66663" w:rsidR="00F772E3" w:rsidRDefault="00F772E3" w:rsidP="00F772E3">
      <w:pPr>
        <w:tabs>
          <w:tab w:val="num" w:pos="1440"/>
        </w:tabs>
        <w:ind w:firstLine="720"/>
        <w:jc w:val="both"/>
      </w:pPr>
      <w:r>
        <w:t>11.3.</w:t>
      </w:r>
      <w:r w:rsidRPr="00F90FD9">
        <w:t xml:space="preserve"> </w:t>
      </w:r>
      <w:r>
        <w:t xml:space="preserve">Projekto vadovas, </w:t>
      </w:r>
      <w:r w:rsidRPr="00E54F64">
        <w:t>atsaking</w:t>
      </w:r>
      <w:r>
        <w:t>as</w:t>
      </w:r>
      <w:r w:rsidRPr="00E54F64">
        <w:t xml:space="preserve"> už visapusį projekto valdymą </w:t>
      </w:r>
      <w:r>
        <w:t>paslaugų teikėjo</w:t>
      </w:r>
      <w:r w:rsidRPr="00E54F64">
        <w:t xml:space="preserve"> vardu</w:t>
      </w:r>
      <w:r>
        <w:t xml:space="preserve">, privalės dalyvauti </w:t>
      </w:r>
      <w:r w:rsidR="00797493">
        <w:t>Vidaus reikalų ministerijos</w:t>
      </w:r>
      <w:r>
        <w:t xml:space="preserve"> organizuojamuose susitikimuose vertinimo įgyvendinimo pažangai ir </w:t>
      </w:r>
      <w:r w:rsidRPr="00E54F64">
        <w:t xml:space="preserve">vertinimo projekto eigoje kylantiems klausimams </w:t>
      </w:r>
      <w:r>
        <w:t xml:space="preserve">aptarti. Pagal poreikį į susitikimus su  </w:t>
      </w:r>
      <w:r w:rsidR="00797493">
        <w:t>Vidaus reikalų ministerija</w:t>
      </w:r>
      <w:r>
        <w:t xml:space="preserve"> gali būti kviečiami ir kiti paslaugų teikėjo ekspertai.</w:t>
      </w:r>
    </w:p>
    <w:p w14:paraId="18A5E6E6" w14:textId="2BB649DC" w:rsidR="00F772E3" w:rsidRDefault="00F772E3" w:rsidP="005573A4">
      <w:pPr>
        <w:tabs>
          <w:tab w:val="num" w:pos="1440"/>
        </w:tabs>
        <w:ind w:firstLine="720"/>
        <w:jc w:val="both"/>
      </w:pPr>
      <w:r>
        <w:t>11.4. Vertinimo kokybės kontrolę vykdys</w:t>
      </w:r>
      <w:r w:rsidR="00142C85">
        <w:t xml:space="preserve"> </w:t>
      </w:r>
      <w:r w:rsidR="0048225B" w:rsidRPr="00EE588B">
        <w:t>Vidaus reikalų ministeri</w:t>
      </w:r>
      <w:r w:rsidR="00840EDB" w:rsidRPr="00EE588B">
        <w:t>jos sudaryta vertinimo priežiūros grupė</w:t>
      </w:r>
      <w:r>
        <w:t xml:space="preserve">. </w:t>
      </w:r>
      <w:r w:rsidR="005C0C4E">
        <w:t xml:space="preserve">Pagal poreikį </w:t>
      </w:r>
      <w:r w:rsidR="005573A4">
        <w:t>į ataskait</w:t>
      </w:r>
      <w:r w:rsidR="00E81108">
        <w:t>ų</w:t>
      </w:r>
      <w:r w:rsidR="005573A4">
        <w:t xml:space="preserve"> aptarimą su šia priežiūros grupe bus kviečiami </w:t>
      </w:r>
      <w:r>
        <w:t xml:space="preserve">paslaugų teikėjo ekspertai, nurodyti paslaugų teikėjo pasiūlyme, kurie turės pristatyti savo indėlį, rengiant ataskaitas, ir atsakyti į klausimus. </w:t>
      </w:r>
    </w:p>
    <w:p w14:paraId="2F97C52C" w14:textId="77777777" w:rsidR="00F772E3" w:rsidRPr="00CB42C7" w:rsidRDefault="00F772E3" w:rsidP="00F772E3">
      <w:pPr>
        <w:pStyle w:val="TEKSTAS"/>
        <w:widowControl/>
        <w:overflowPunct/>
        <w:autoSpaceDE/>
        <w:autoSpaceDN/>
        <w:adjustRightInd/>
        <w:spacing w:before="0" w:after="0"/>
        <w:ind w:right="567" w:firstLine="720"/>
        <w:textAlignment w:val="auto"/>
        <w:rPr>
          <w:b/>
          <w:szCs w:val="24"/>
          <w:lang w:val="lt-LT"/>
        </w:rPr>
      </w:pPr>
    </w:p>
    <w:p w14:paraId="6C73E4A0" w14:textId="77777777" w:rsidR="00F772E3" w:rsidRPr="00CB42C7" w:rsidRDefault="00F772E3" w:rsidP="00F772E3">
      <w:pPr>
        <w:pStyle w:val="TEKSTAS"/>
        <w:widowControl/>
        <w:overflowPunct/>
        <w:autoSpaceDE/>
        <w:autoSpaceDN/>
        <w:adjustRightInd/>
        <w:spacing w:before="0" w:after="0"/>
        <w:ind w:right="567" w:firstLine="720"/>
        <w:textAlignment w:val="auto"/>
        <w:rPr>
          <w:b/>
          <w:szCs w:val="24"/>
          <w:lang w:val="lt-LT"/>
        </w:rPr>
      </w:pPr>
      <w:r w:rsidRPr="00CB42C7">
        <w:rPr>
          <w:b/>
          <w:szCs w:val="24"/>
          <w:lang w:val="lt-LT"/>
        </w:rPr>
        <w:t xml:space="preserve">12. </w:t>
      </w:r>
      <w:r>
        <w:rPr>
          <w:b/>
          <w:szCs w:val="24"/>
          <w:lang w:val="lt-LT"/>
        </w:rPr>
        <w:t>Galutinės</w:t>
      </w:r>
      <w:r w:rsidRPr="00CB42C7">
        <w:rPr>
          <w:b/>
          <w:szCs w:val="24"/>
          <w:lang w:val="lt-LT"/>
        </w:rPr>
        <w:t xml:space="preserve"> </w:t>
      </w:r>
      <w:r>
        <w:rPr>
          <w:b/>
          <w:szCs w:val="24"/>
          <w:lang w:val="lt-LT"/>
        </w:rPr>
        <w:t>v</w:t>
      </w:r>
      <w:r w:rsidRPr="00CB42C7">
        <w:rPr>
          <w:b/>
          <w:szCs w:val="24"/>
          <w:lang w:val="lt-LT"/>
        </w:rPr>
        <w:t>ertinimo ataskaitos rengimo ir teikimo reikalavimai</w:t>
      </w:r>
    </w:p>
    <w:p w14:paraId="3516BE72" w14:textId="77777777" w:rsidR="00F772E3" w:rsidRPr="00E245E4"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CB42C7">
        <w:rPr>
          <w:szCs w:val="24"/>
          <w:lang w:val="lt-LT"/>
        </w:rPr>
        <w:t xml:space="preserve">12.1. </w:t>
      </w:r>
      <w:r>
        <w:rPr>
          <w:szCs w:val="24"/>
          <w:lang w:val="lt-LT"/>
        </w:rPr>
        <w:t>TS</w:t>
      </w:r>
      <w:r w:rsidRPr="00D875A4">
        <w:rPr>
          <w:szCs w:val="24"/>
          <w:lang w:val="lt-LT"/>
        </w:rPr>
        <w:t xml:space="preserve"> </w:t>
      </w:r>
      <w:r>
        <w:rPr>
          <w:szCs w:val="24"/>
          <w:lang w:val="lt-LT"/>
        </w:rPr>
        <w:t xml:space="preserve">5.1 </w:t>
      </w:r>
      <w:r w:rsidRPr="00CB42C7">
        <w:rPr>
          <w:szCs w:val="24"/>
          <w:lang w:val="lt-LT"/>
        </w:rPr>
        <w:t>papunk</w:t>
      </w:r>
      <w:r>
        <w:rPr>
          <w:szCs w:val="24"/>
          <w:lang w:val="lt-LT"/>
        </w:rPr>
        <w:t>tyje</w:t>
      </w:r>
      <w:r w:rsidRPr="00CB42C7">
        <w:rPr>
          <w:szCs w:val="24"/>
          <w:lang w:val="lt-LT"/>
        </w:rPr>
        <w:t xml:space="preserve"> nurodyt</w:t>
      </w:r>
      <w:r>
        <w:rPr>
          <w:szCs w:val="24"/>
          <w:lang w:val="lt-LT"/>
        </w:rPr>
        <w:t>a</w:t>
      </w:r>
      <w:r w:rsidRPr="00CB42C7">
        <w:rPr>
          <w:szCs w:val="24"/>
          <w:lang w:val="lt-LT"/>
        </w:rPr>
        <w:t xml:space="preserve"> </w:t>
      </w:r>
      <w:r>
        <w:rPr>
          <w:szCs w:val="24"/>
          <w:lang w:val="lt-LT"/>
        </w:rPr>
        <w:t>galutinė v</w:t>
      </w:r>
      <w:r w:rsidRPr="002432F5">
        <w:rPr>
          <w:szCs w:val="24"/>
          <w:lang w:val="lt-LT"/>
        </w:rPr>
        <w:t>ertinim</w:t>
      </w:r>
      <w:r>
        <w:rPr>
          <w:szCs w:val="24"/>
          <w:lang w:val="lt-LT"/>
        </w:rPr>
        <w:t>o</w:t>
      </w:r>
      <w:r w:rsidRPr="00775558">
        <w:rPr>
          <w:szCs w:val="24"/>
          <w:lang w:val="lt-LT"/>
        </w:rPr>
        <w:t xml:space="preserve"> </w:t>
      </w:r>
      <w:r w:rsidRPr="00CB42C7">
        <w:rPr>
          <w:szCs w:val="24"/>
          <w:lang w:val="lt-LT"/>
        </w:rPr>
        <w:t>ataskait</w:t>
      </w:r>
      <w:r>
        <w:rPr>
          <w:szCs w:val="24"/>
          <w:lang w:val="lt-LT"/>
        </w:rPr>
        <w:t>a</w:t>
      </w:r>
      <w:r w:rsidRPr="00CB42C7">
        <w:rPr>
          <w:szCs w:val="24"/>
          <w:lang w:val="lt-LT"/>
        </w:rPr>
        <w:t xml:space="preserve"> turi būti parengt</w:t>
      </w:r>
      <w:r>
        <w:rPr>
          <w:szCs w:val="24"/>
          <w:lang w:val="lt-LT"/>
        </w:rPr>
        <w:t>a</w:t>
      </w:r>
      <w:r w:rsidRPr="00775558">
        <w:rPr>
          <w:szCs w:val="24"/>
          <w:lang w:val="lt-LT"/>
        </w:rPr>
        <w:t xml:space="preserve"> </w:t>
      </w:r>
      <w:r w:rsidRPr="00956A0E">
        <w:rPr>
          <w:szCs w:val="24"/>
          <w:lang w:val="lt-LT"/>
        </w:rPr>
        <w:t>vadovaujantis</w:t>
      </w:r>
      <w:r w:rsidRPr="002D01F4">
        <w:rPr>
          <w:szCs w:val="24"/>
          <w:lang w:val="lt-LT"/>
        </w:rPr>
        <w:t>:</w:t>
      </w:r>
    </w:p>
    <w:p w14:paraId="4494D9AE" w14:textId="77777777" w:rsidR="00F772E3" w:rsidRPr="00CB42C7"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C754EC">
        <w:rPr>
          <w:szCs w:val="24"/>
          <w:lang w:val="lt-LT"/>
        </w:rPr>
        <w:t>12.1.1.</w:t>
      </w:r>
      <w:r w:rsidRPr="00360FB8">
        <w:rPr>
          <w:szCs w:val="24"/>
          <w:lang w:val="lt-LT"/>
        </w:rPr>
        <w:t xml:space="preserve"> ES struktūrinės paramos vertinimo ataskaitų stiliaus vadovu, paskelbtu adresu </w:t>
      </w:r>
      <w:hyperlink r:id="rId8" w:history="1">
        <w:r w:rsidRPr="00015E95">
          <w:rPr>
            <w:rStyle w:val="Hipersaitas"/>
            <w:rFonts w:eastAsiaTheme="majorEastAsia"/>
            <w:lang w:val="es-ES"/>
          </w:rPr>
          <w:t>https://2014.esinvesticijos.lt/lt/dokumentai/vertinimo-ataskaitu-rengimo-stiliaus-vadovas</w:t>
        </w:r>
      </w:hyperlink>
      <w:r>
        <w:rPr>
          <w:lang w:val="es-ES"/>
        </w:rPr>
        <w:t>.</w:t>
      </w:r>
    </w:p>
    <w:p w14:paraId="1D6FBFE1" w14:textId="77777777" w:rsidR="00F772E3" w:rsidRPr="00CB42C7" w:rsidRDefault="00F772E3" w:rsidP="00F772E3">
      <w:pPr>
        <w:pStyle w:val="TEKSTAS"/>
        <w:widowControl/>
        <w:tabs>
          <w:tab w:val="left" w:pos="9360"/>
        </w:tabs>
        <w:overflowPunct/>
        <w:autoSpaceDE/>
        <w:autoSpaceDN/>
        <w:adjustRightInd/>
        <w:spacing w:before="0" w:after="0"/>
        <w:ind w:right="45" w:firstLine="720"/>
        <w:textAlignment w:val="auto"/>
        <w:rPr>
          <w:szCs w:val="24"/>
          <w:lang w:val="lt-LT"/>
        </w:rPr>
      </w:pPr>
      <w:r w:rsidRPr="00CB42C7">
        <w:rPr>
          <w:szCs w:val="24"/>
          <w:lang w:val="lt-LT"/>
        </w:rPr>
        <w:t xml:space="preserve">12.1.2. Lietuvos ES struktūrinės paramos vertinimo standartais, paskelbtais adresu </w:t>
      </w:r>
      <w:hyperlink r:id="rId9" w:history="1">
        <w:r w:rsidRPr="00015E95">
          <w:rPr>
            <w:rStyle w:val="Hipersaitas"/>
            <w:rFonts w:eastAsiaTheme="majorEastAsia"/>
            <w:lang w:val="es-ES"/>
          </w:rPr>
          <w:t>https://2014.esinvesticijos.lt/lt/leidiniai?page=3</w:t>
        </w:r>
      </w:hyperlink>
      <w:r w:rsidRPr="00CB42C7">
        <w:rPr>
          <w:szCs w:val="24"/>
          <w:lang w:val="lt-LT"/>
        </w:rPr>
        <w:t>.</w:t>
      </w:r>
    </w:p>
    <w:p w14:paraId="6320E225" w14:textId="77777777" w:rsidR="00F772E3" w:rsidRPr="00CB42C7" w:rsidRDefault="00F772E3" w:rsidP="00F772E3">
      <w:pPr>
        <w:ind w:right="45" w:firstLine="720"/>
        <w:jc w:val="both"/>
      </w:pPr>
      <w:r w:rsidRPr="00CB42C7">
        <w:t xml:space="preserve">12.2. </w:t>
      </w:r>
      <w:r>
        <w:t>TS</w:t>
      </w:r>
      <w:r w:rsidRPr="00CB42C7">
        <w:t xml:space="preserve"> </w:t>
      </w:r>
      <w:r>
        <w:t xml:space="preserve">5.1 </w:t>
      </w:r>
      <w:r w:rsidRPr="00CB42C7">
        <w:t>papunk</w:t>
      </w:r>
      <w:r>
        <w:t>tyje</w:t>
      </w:r>
      <w:r w:rsidRPr="00CB42C7">
        <w:t xml:space="preserve"> nurodyt</w:t>
      </w:r>
      <w:r>
        <w:t>a</w:t>
      </w:r>
      <w:r w:rsidRPr="00CB42C7">
        <w:t xml:space="preserve"> </w:t>
      </w:r>
      <w:r>
        <w:t>galutinė v</w:t>
      </w:r>
      <w:r w:rsidRPr="00CB42C7">
        <w:t>ertinim</w:t>
      </w:r>
      <w:r>
        <w:t>o</w:t>
      </w:r>
      <w:r w:rsidRPr="00CB42C7">
        <w:t xml:space="preserve"> ataskait</w:t>
      </w:r>
      <w:r>
        <w:t>a</w:t>
      </w:r>
      <w:r w:rsidRPr="00CB42C7">
        <w:rPr>
          <w:b/>
        </w:rPr>
        <w:t xml:space="preserve"> </w:t>
      </w:r>
      <w:r w:rsidRPr="00CB42C7">
        <w:t>teikiam</w:t>
      </w:r>
      <w:r>
        <w:t>a</w:t>
      </w:r>
      <w:r w:rsidRPr="00CB42C7">
        <w:t xml:space="preserve"> elektroninėje versijo</w:t>
      </w:r>
      <w:r>
        <w:t>je</w:t>
      </w:r>
      <w:r w:rsidRPr="00CB42C7">
        <w:t xml:space="preserve"> (</w:t>
      </w:r>
      <w:r w:rsidRPr="00CB42C7">
        <w:rPr>
          <w:i/>
        </w:rPr>
        <w:t>doc</w:t>
      </w:r>
      <w:r w:rsidRPr="00CB42C7">
        <w:t xml:space="preserve"> formatu</w:t>
      </w:r>
      <w:r>
        <w:t xml:space="preserve"> (Word ir PDF).</w:t>
      </w:r>
    </w:p>
    <w:p w14:paraId="7F908340" w14:textId="77777777" w:rsidR="00F772E3" w:rsidRDefault="00F772E3" w:rsidP="00F772E3">
      <w:pPr>
        <w:ind w:right="45" w:firstLine="720"/>
        <w:jc w:val="both"/>
      </w:pPr>
      <w:r w:rsidRPr="00CB42C7">
        <w:t xml:space="preserve">12.3. </w:t>
      </w:r>
      <w:r>
        <w:t>Galutinėje v</w:t>
      </w:r>
      <w:r w:rsidRPr="00CB42C7">
        <w:t>ertinimo ataskaito</w:t>
      </w:r>
      <w:r>
        <w:t>je</w:t>
      </w:r>
      <w:r w:rsidRPr="00CB42C7">
        <w:t xml:space="preserve"> negali būti stiliaus ir kalbos klaidų, kalba turi būti patikrinta lietuvių kalbos redaktoriaus ir patvirtinta jo parašu.</w:t>
      </w:r>
    </w:p>
    <w:p w14:paraId="660817F9" w14:textId="77777777" w:rsidR="00F772E3" w:rsidRDefault="00F772E3" w:rsidP="00F772E3">
      <w:pPr>
        <w:ind w:right="45" w:firstLine="720"/>
        <w:jc w:val="both"/>
      </w:pPr>
      <w:r>
        <w:t xml:space="preserve">12.4. </w:t>
      </w:r>
      <w:r w:rsidRPr="00D37441">
        <w:t xml:space="preserve">Galutinėje ataskaitoje turi būti nurodyti </w:t>
      </w:r>
      <w:r>
        <w:t>pagrindiniai</w:t>
      </w:r>
      <w:r w:rsidRPr="00D37441">
        <w:t xml:space="preserve"> ekspertai, kurie atliko vertinimą</w:t>
      </w:r>
      <w:r>
        <w:t>.</w:t>
      </w:r>
    </w:p>
    <w:p w14:paraId="2E9772A0" w14:textId="7A781E58" w:rsidR="00F772E3" w:rsidRPr="00D875A4" w:rsidRDefault="00F772E3" w:rsidP="007053F2">
      <w:pPr>
        <w:ind w:right="45" w:firstLine="720"/>
        <w:jc w:val="both"/>
      </w:pPr>
      <w:r>
        <w:t xml:space="preserve">12.5. </w:t>
      </w:r>
      <w:r w:rsidRPr="00D37441">
        <w:t>Galutinės vertinimo ataskaitos prieduose turi būti pateikta naudotų vertinimo metodų taikymą pagrindžianti informacija</w:t>
      </w:r>
      <w:r>
        <w:t>.</w:t>
      </w:r>
    </w:p>
    <w:p w14:paraId="5F02D4E7" w14:textId="77777777" w:rsidR="00F772E3" w:rsidRPr="00D875A4" w:rsidRDefault="00F772E3" w:rsidP="00F772E3">
      <w:pPr>
        <w:ind w:right="45" w:firstLine="720"/>
        <w:jc w:val="both"/>
      </w:pPr>
    </w:p>
    <w:p w14:paraId="0AAE95D7" w14:textId="69785E9C" w:rsidR="00F772E3" w:rsidRPr="00D875A4" w:rsidRDefault="00F772E3" w:rsidP="00F772E3">
      <w:pPr>
        <w:ind w:right="45" w:firstLine="720"/>
        <w:jc w:val="both"/>
        <w:rPr>
          <w:b/>
          <w:bCs/>
        </w:rPr>
      </w:pPr>
      <w:r w:rsidRPr="00CB42C7">
        <w:rPr>
          <w:b/>
          <w:bCs/>
        </w:rPr>
        <w:t>1</w:t>
      </w:r>
      <w:r w:rsidR="00840B39">
        <w:rPr>
          <w:b/>
          <w:bCs/>
        </w:rPr>
        <w:t>3</w:t>
      </w:r>
      <w:r w:rsidRPr="00CB42C7">
        <w:rPr>
          <w:b/>
          <w:bCs/>
        </w:rPr>
        <w:t>. Viešinimo reikalavimai</w:t>
      </w:r>
    </w:p>
    <w:p w14:paraId="66B6FD25" w14:textId="2AAA26C6" w:rsidR="00F772E3" w:rsidRPr="00CB42C7" w:rsidRDefault="00F772E3" w:rsidP="00F772E3">
      <w:pPr>
        <w:ind w:right="45" w:firstLine="720"/>
        <w:jc w:val="both"/>
      </w:pPr>
      <w:r w:rsidRPr="00CB42C7">
        <w:t>1</w:t>
      </w:r>
      <w:r w:rsidR="00840B39">
        <w:t>3</w:t>
      </w:r>
      <w:r w:rsidRPr="00CB42C7">
        <w:t xml:space="preserve">.1. </w:t>
      </w:r>
      <w:r>
        <w:t>S</w:t>
      </w:r>
      <w:r w:rsidRPr="00CB42C7">
        <w:t xml:space="preserve">utarties įgyvendinimo dokumentuose (ataskaitose, renginių programose ir kituose dokumentuose) turi būti naudojami tinkami ES struktūrinių fondų viešinimo ženklai. </w:t>
      </w:r>
    </w:p>
    <w:p w14:paraId="151A5C72" w14:textId="41343BE9" w:rsidR="00F772E3" w:rsidRPr="00CB42C7" w:rsidRDefault="00F772E3" w:rsidP="00F772E3">
      <w:pPr>
        <w:ind w:right="45" w:firstLine="720"/>
        <w:jc w:val="both"/>
      </w:pPr>
      <w:r w:rsidRPr="00CB42C7">
        <w:t>1</w:t>
      </w:r>
      <w:r w:rsidR="00840B39">
        <w:t>3</w:t>
      </w:r>
      <w:r w:rsidRPr="00CB42C7">
        <w:t xml:space="preserve">.2. Vertinimo procese dalyvaujantys asmenys turi būti informuojami, kad </w:t>
      </w:r>
      <w:r>
        <w:t>S</w:t>
      </w:r>
      <w:r w:rsidRPr="00CB42C7">
        <w:t xml:space="preserve">utartis finansuojama iš Europos socialinio fondo, o paslaugos teikiamos </w:t>
      </w:r>
      <w:r w:rsidR="00DA0E20">
        <w:t>Vidaus reikalų</w:t>
      </w:r>
      <w:r w:rsidRPr="00CB42C7">
        <w:t xml:space="preserve"> ministerijos užsakymu. </w:t>
      </w:r>
    </w:p>
    <w:p w14:paraId="2F593963" w14:textId="77777777" w:rsidR="00F772E3" w:rsidRPr="00CB42C7" w:rsidRDefault="00F772E3" w:rsidP="00F772E3">
      <w:pPr>
        <w:ind w:right="45"/>
        <w:jc w:val="both"/>
      </w:pPr>
    </w:p>
    <w:p w14:paraId="3F993C40" w14:textId="59736A19" w:rsidR="002C4571" w:rsidRDefault="002C4571" w:rsidP="00F772E3">
      <w:pPr>
        <w:pStyle w:val="Pagrindinistekstas"/>
        <w:spacing w:after="0"/>
        <w:ind w:right="35" w:firstLine="720"/>
        <w:jc w:val="both"/>
        <w:rPr>
          <w:b/>
          <w:szCs w:val="24"/>
        </w:rPr>
      </w:pPr>
      <w:r>
        <w:rPr>
          <w:b/>
          <w:szCs w:val="24"/>
        </w:rPr>
        <w:t>1</w:t>
      </w:r>
      <w:r w:rsidR="00840B39">
        <w:rPr>
          <w:b/>
          <w:szCs w:val="24"/>
        </w:rPr>
        <w:t>4</w:t>
      </w:r>
      <w:r>
        <w:rPr>
          <w:b/>
          <w:szCs w:val="24"/>
        </w:rPr>
        <w:t>. Vertinimo paslaugoms teikti aktualūs teisės aktai</w:t>
      </w:r>
    </w:p>
    <w:p w14:paraId="6048FB93" w14:textId="6D8AE2B2" w:rsidR="00FA5BC4" w:rsidRDefault="002F69D6" w:rsidP="00F772E3">
      <w:pPr>
        <w:pStyle w:val="Pagrindinistekstas"/>
        <w:spacing w:after="0"/>
        <w:ind w:right="35" w:firstLine="720"/>
        <w:jc w:val="both"/>
        <w:rPr>
          <w:bCs/>
          <w:szCs w:val="24"/>
        </w:rPr>
      </w:pPr>
      <w:r w:rsidRPr="00B7182D">
        <w:rPr>
          <w:bCs/>
          <w:szCs w:val="24"/>
        </w:rPr>
        <w:t>1</w:t>
      </w:r>
      <w:r w:rsidR="00840B39">
        <w:rPr>
          <w:bCs/>
          <w:szCs w:val="24"/>
        </w:rPr>
        <w:t>4</w:t>
      </w:r>
      <w:r w:rsidRPr="00B7182D">
        <w:rPr>
          <w:bCs/>
          <w:szCs w:val="24"/>
        </w:rPr>
        <w:t xml:space="preserve">.1. Be TS </w:t>
      </w:r>
      <w:r w:rsidR="00060DA4" w:rsidRPr="00B7182D">
        <w:rPr>
          <w:bCs/>
          <w:szCs w:val="24"/>
        </w:rPr>
        <w:t>1</w:t>
      </w:r>
      <w:r w:rsidR="00971201">
        <w:rPr>
          <w:bCs/>
          <w:szCs w:val="24"/>
        </w:rPr>
        <w:t xml:space="preserve"> ir</w:t>
      </w:r>
      <w:r w:rsidR="00896886">
        <w:rPr>
          <w:bCs/>
          <w:szCs w:val="24"/>
        </w:rPr>
        <w:t xml:space="preserve"> 2</w:t>
      </w:r>
      <w:r w:rsidR="00357FE5">
        <w:rPr>
          <w:bCs/>
          <w:szCs w:val="24"/>
        </w:rPr>
        <w:t xml:space="preserve"> punk</w:t>
      </w:r>
      <w:r w:rsidR="00971201">
        <w:rPr>
          <w:bCs/>
          <w:szCs w:val="24"/>
        </w:rPr>
        <w:t>tuose</w:t>
      </w:r>
      <w:r w:rsidR="00357FE5">
        <w:rPr>
          <w:bCs/>
          <w:szCs w:val="24"/>
        </w:rPr>
        <w:t xml:space="preserve"> nurodytų teisės aktų, vertinimo paslaugoms teikti yra </w:t>
      </w:r>
      <w:r w:rsidR="000103C5">
        <w:rPr>
          <w:bCs/>
          <w:szCs w:val="24"/>
        </w:rPr>
        <w:t>aktualūs teisės aktai</w:t>
      </w:r>
      <w:r w:rsidR="00FA5BC4">
        <w:rPr>
          <w:bCs/>
          <w:szCs w:val="24"/>
        </w:rPr>
        <w:t>:</w:t>
      </w:r>
    </w:p>
    <w:p w14:paraId="54BE719D" w14:textId="05610043" w:rsidR="00A67C17" w:rsidRDefault="00A67C17" w:rsidP="00A67C17">
      <w:pPr>
        <w:pStyle w:val="Pagrindinistekstas"/>
        <w:spacing w:after="0"/>
        <w:ind w:right="35" w:firstLine="720"/>
        <w:jc w:val="both"/>
        <w:rPr>
          <w:bCs/>
          <w:szCs w:val="24"/>
        </w:rPr>
      </w:pPr>
      <w:r>
        <w:rPr>
          <w:bCs/>
          <w:szCs w:val="24"/>
        </w:rPr>
        <w:t>1</w:t>
      </w:r>
      <w:r w:rsidR="00840B39">
        <w:rPr>
          <w:bCs/>
          <w:szCs w:val="24"/>
        </w:rPr>
        <w:t>4</w:t>
      </w:r>
      <w:r>
        <w:rPr>
          <w:bCs/>
          <w:szCs w:val="24"/>
        </w:rPr>
        <w:t xml:space="preserve">.1.1. Lietuvos Respublikos Vyriausybės </w:t>
      </w:r>
      <w:r w:rsidR="00D674E6" w:rsidRPr="00D674E6">
        <w:rPr>
          <w:bCs/>
          <w:szCs w:val="24"/>
        </w:rPr>
        <w:t xml:space="preserve">2023 m. liepos 31 d. </w:t>
      </w:r>
      <w:r w:rsidR="00D674E6">
        <w:rPr>
          <w:bCs/>
          <w:szCs w:val="24"/>
        </w:rPr>
        <w:t xml:space="preserve">nutarimas </w:t>
      </w:r>
      <w:r w:rsidR="00D674E6" w:rsidRPr="00D674E6">
        <w:rPr>
          <w:bCs/>
          <w:szCs w:val="24"/>
        </w:rPr>
        <w:t>Nr. 612</w:t>
      </w:r>
      <w:r w:rsidR="00D674E6">
        <w:rPr>
          <w:bCs/>
          <w:szCs w:val="24"/>
        </w:rPr>
        <w:t xml:space="preserve"> ,,Dėl </w:t>
      </w:r>
      <w:r w:rsidR="00785A1E" w:rsidRPr="00785A1E">
        <w:rPr>
          <w:bCs/>
          <w:szCs w:val="24"/>
        </w:rPr>
        <w:t>2021–2027 metų Europos Sąjungos fondų investicijų programos</w:t>
      </w:r>
      <w:r w:rsidR="00785A1E">
        <w:rPr>
          <w:bCs/>
          <w:szCs w:val="24"/>
        </w:rPr>
        <w:t xml:space="preserve"> ir </w:t>
      </w:r>
      <w:r w:rsidR="00785A1E" w:rsidRPr="00785A1E">
        <w:rPr>
          <w:bCs/>
          <w:szCs w:val="24"/>
        </w:rPr>
        <w:t>Ekonomikos gaivinimo ir atsparumo didinimo plano „Naujos kartos Lietuva“</w:t>
      </w:r>
      <w:r w:rsidR="00785A1E">
        <w:rPr>
          <w:bCs/>
          <w:szCs w:val="24"/>
        </w:rPr>
        <w:t xml:space="preserve"> </w:t>
      </w:r>
      <w:r w:rsidR="006F4A77">
        <w:rPr>
          <w:bCs/>
          <w:szCs w:val="24"/>
        </w:rPr>
        <w:t>Lietuvai skirtų lėšų paskirstymo“;</w:t>
      </w:r>
    </w:p>
    <w:p w14:paraId="171DED81" w14:textId="271BFE51" w:rsidR="000103C5" w:rsidRDefault="00A67C17" w:rsidP="00F772E3">
      <w:pPr>
        <w:pStyle w:val="Pagrindinistekstas"/>
        <w:spacing w:after="0"/>
        <w:ind w:right="35" w:firstLine="720"/>
        <w:jc w:val="both"/>
        <w:rPr>
          <w:bCs/>
          <w:szCs w:val="24"/>
        </w:rPr>
      </w:pPr>
      <w:r>
        <w:rPr>
          <w:bCs/>
          <w:szCs w:val="24"/>
        </w:rPr>
        <w:t>1</w:t>
      </w:r>
      <w:r w:rsidR="00840B39">
        <w:rPr>
          <w:bCs/>
          <w:szCs w:val="24"/>
        </w:rPr>
        <w:t>4</w:t>
      </w:r>
      <w:r>
        <w:rPr>
          <w:bCs/>
          <w:szCs w:val="24"/>
        </w:rPr>
        <w:t>.1.2. teisės aktai,</w:t>
      </w:r>
      <w:r w:rsidR="009A5435">
        <w:rPr>
          <w:bCs/>
          <w:szCs w:val="24"/>
        </w:rPr>
        <w:t xml:space="preserve"> nurodyti </w:t>
      </w:r>
      <w:r w:rsidR="00BF6BE9">
        <w:rPr>
          <w:bCs/>
          <w:szCs w:val="24"/>
        </w:rPr>
        <w:t xml:space="preserve">Vidaus reikalų ministerijos interneto svetainėje adresu </w:t>
      </w:r>
      <w:hyperlink r:id="rId10" w:history="1">
        <w:r w:rsidR="00BF6BE9" w:rsidRPr="00734EA2">
          <w:rPr>
            <w:rStyle w:val="Hipersaitas"/>
            <w:bCs/>
            <w:szCs w:val="24"/>
          </w:rPr>
          <w:t>https://vrm.lrv.lt/lt/veiklos-sritys/regionu-pletra/regionu-pletros-planai/teises-aktai-5/</w:t>
        </w:r>
      </w:hyperlink>
      <w:r w:rsidR="00BF6BE9">
        <w:rPr>
          <w:bCs/>
          <w:szCs w:val="24"/>
        </w:rPr>
        <w:t xml:space="preserve"> ir adresu </w:t>
      </w:r>
      <w:hyperlink r:id="rId11" w:history="1">
        <w:r w:rsidR="00FA5BC4" w:rsidRPr="00734EA2">
          <w:rPr>
            <w:rStyle w:val="Hipersaitas"/>
            <w:bCs/>
            <w:szCs w:val="24"/>
          </w:rPr>
          <w:t>https://vrm.lrv.lt/lt/veiklos-sritys/regionu-pletra/regionu-pletros-planai/patvirtinti-regionu-pletros-planai/</w:t>
        </w:r>
      </w:hyperlink>
      <w:r w:rsidR="00FA5BC4">
        <w:rPr>
          <w:bCs/>
          <w:szCs w:val="24"/>
        </w:rPr>
        <w:t xml:space="preserve"> .</w:t>
      </w:r>
    </w:p>
    <w:p w14:paraId="04C7B60A" w14:textId="658E46FA" w:rsidR="002C4571" w:rsidRPr="00B7182D" w:rsidRDefault="002C4571" w:rsidP="00F772E3">
      <w:pPr>
        <w:pStyle w:val="Pagrindinistekstas"/>
        <w:spacing w:after="0"/>
        <w:ind w:right="35" w:firstLine="720"/>
        <w:jc w:val="both"/>
        <w:rPr>
          <w:bCs/>
          <w:szCs w:val="24"/>
        </w:rPr>
      </w:pPr>
    </w:p>
    <w:p w14:paraId="0CFB58BE" w14:textId="088A2CC7" w:rsidR="00F772E3" w:rsidRPr="00CB42C7" w:rsidRDefault="00F772E3" w:rsidP="00F772E3">
      <w:pPr>
        <w:pStyle w:val="Pagrindinistekstas"/>
        <w:spacing w:after="0"/>
        <w:ind w:right="35" w:firstLine="720"/>
        <w:jc w:val="both"/>
        <w:rPr>
          <w:b/>
          <w:szCs w:val="24"/>
        </w:rPr>
      </w:pPr>
      <w:r w:rsidRPr="002432F5">
        <w:rPr>
          <w:b/>
          <w:szCs w:val="24"/>
        </w:rPr>
        <w:t>1</w:t>
      </w:r>
      <w:r w:rsidR="00840B39">
        <w:rPr>
          <w:b/>
          <w:szCs w:val="24"/>
        </w:rPr>
        <w:t>5</w:t>
      </w:r>
      <w:r w:rsidRPr="00956A0E">
        <w:rPr>
          <w:b/>
          <w:szCs w:val="24"/>
        </w:rPr>
        <w:t xml:space="preserve">. </w:t>
      </w:r>
      <w:r w:rsidR="00C23997">
        <w:rPr>
          <w:b/>
          <w:szCs w:val="24"/>
        </w:rPr>
        <w:t>V</w:t>
      </w:r>
      <w:r w:rsidRPr="00E245E4">
        <w:rPr>
          <w:b/>
          <w:szCs w:val="24"/>
        </w:rPr>
        <w:t xml:space="preserve">ertinimo </w:t>
      </w:r>
      <w:r w:rsidR="00C23997">
        <w:rPr>
          <w:b/>
          <w:szCs w:val="24"/>
        </w:rPr>
        <w:t xml:space="preserve">paslaugoms teikti aktuali </w:t>
      </w:r>
      <w:r w:rsidRPr="00E245E4">
        <w:rPr>
          <w:b/>
          <w:szCs w:val="24"/>
        </w:rPr>
        <w:t>informacija</w:t>
      </w:r>
    </w:p>
    <w:p w14:paraId="21883955" w14:textId="54E8AD83" w:rsidR="00F772E3" w:rsidRPr="00CB42C7" w:rsidRDefault="00F772E3" w:rsidP="00F772E3">
      <w:pPr>
        <w:ind w:right="35" w:firstLine="720"/>
        <w:jc w:val="both"/>
      </w:pPr>
      <w:r w:rsidRPr="00CB42C7">
        <w:t>1</w:t>
      </w:r>
      <w:r w:rsidR="00840B39">
        <w:t>5</w:t>
      </w:r>
      <w:r w:rsidRPr="00CB42C7">
        <w:t>.1. Informacija apie ES fondų investicijų vertinimą Lietuvoje yra pateikiama interneto</w:t>
      </w:r>
      <w:r>
        <w:t xml:space="preserve"> </w:t>
      </w:r>
      <w:r w:rsidRPr="00CB42C7">
        <w:t>tinklap</w:t>
      </w:r>
      <w:r>
        <w:t>yje</w:t>
      </w:r>
      <w:r w:rsidRPr="00CB42C7">
        <w:t xml:space="preserve">: </w:t>
      </w:r>
      <w:hyperlink r:id="rId12" w:history="1">
        <w:r w:rsidRPr="00015E95">
          <w:rPr>
            <w:rStyle w:val="Hipersaitas"/>
            <w:rFonts w:eastAsiaTheme="majorEastAsia"/>
          </w:rPr>
          <w:t>https://2014.esinvesticijos.lt/lt//rezultatai-ir-statistika/es_panaudojamumo_vertinimas</w:t>
        </w:r>
      </w:hyperlink>
      <w:r w:rsidR="00BC20B0">
        <w:rPr>
          <w:rStyle w:val="Hipersaitas"/>
          <w:rFonts w:eastAsiaTheme="majorEastAsia"/>
        </w:rPr>
        <w:t>;</w:t>
      </w:r>
      <w:r w:rsidRPr="00CB42C7">
        <w:t xml:space="preserve"> </w:t>
      </w:r>
    </w:p>
    <w:p w14:paraId="020C3039" w14:textId="5F2B3474" w:rsidR="00F772E3" w:rsidRPr="00CB42C7" w:rsidRDefault="00F772E3" w:rsidP="00F772E3">
      <w:pPr>
        <w:ind w:right="35" w:firstLine="720"/>
        <w:jc w:val="both"/>
      </w:pPr>
      <w:r w:rsidRPr="00CB42C7">
        <w:t>1</w:t>
      </w:r>
      <w:r w:rsidR="005C2E07">
        <w:t>5</w:t>
      </w:r>
      <w:r w:rsidRPr="00CB42C7">
        <w:t xml:space="preserve">.2. </w:t>
      </w:r>
      <w:r>
        <w:t>EK</w:t>
      </w:r>
      <w:r w:rsidRPr="00CB42C7">
        <w:t xml:space="preserve"> yra parengusi </w:t>
      </w:r>
      <w:r w:rsidRPr="00CB42C7">
        <w:rPr>
          <w:bCs/>
        </w:rPr>
        <w:t>metodologines gaires</w:t>
      </w:r>
      <w:r w:rsidRPr="00CB42C7">
        <w:t xml:space="preserve"> įvairiais ES fondų paramos programų vertinimo metodologiniais ir procedūriniais klausimais, kurios pateikiamos šiuose interneto tinklapiuose: </w:t>
      </w:r>
      <w:hyperlink r:id="rId13" w:history="1">
        <w:r w:rsidRPr="00CB42C7">
          <w:rPr>
            <w:rStyle w:val="Hipersaitas"/>
            <w:rFonts w:eastAsiaTheme="majorEastAsia"/>
          </w:rPr>
          <w:t>http://ec.europa.eu/regional_policy/en/policy/evaluations/guidance/</w:t>
        </w:r>
      </w:hyperlink>
      <w:r w:rsidR="00BC20B0">
        <w:rPr>
          <w:rStyle w:val="Hipersaitas"/>
          <w:rFonts w:eastAsiaTheme="majorEastAsia"/>
        </w:rPr>
        <w:t xml:space="preserve"> </w:t>
      </w:r>
    </w:p>
    <w:p w14:paraId="28A2B2FB" w14:textId="02AA32FC" w:rsidR="00F772E3" w:rsidRPr="00690651" w:rsidRDefault="00690651" w:rsidP="00F772E3">
      <w:pPr>
        <w:ind w:right="35" w:firstLine="720"/>
        <w:jc w:val="both"/>
        <w:rPr>
          <w:bCs/>
        </w:rPr>
      </w:pPr>
      <w:hyperlink r:id="rId14" w:history="1">
        <w:r w:rsidRPr="00734EA2">
          <w:rPr>
            <w:rStyle w:val="Hipersaitas"/>
          </w:rPr>
          <w:t>http://ec.europa.eu/social/keyDocuments.jsp?advSearchKey=evaluation+guidlines&amp;mode=advancedSubmit&amp;langId=en&amp;search.x=21&amp;search.y=14</w:t>
        </w:r>
      </w:hyperlink>
      <w:r w:rsidRPr="00690651">
        <w:rPr>
          <w:bCs/>
        </w:rPr>
        <w:t>;</w:t>
      </w:r>
    </w:p>
    <w:p w14:paraId="04B90A7A" w14:textId="5C62304D" w:rsidR="00F772E3" w:rsidRPr="00CB42C7" w:rsidRDefault="00F772E3" w:rsidP="00F772E3">
      <w:pPr>
        <w:ind w:right="35" w:firstLine="720"/>
        <w:jc w:val="both"/>
      </w:pPr>
      <w:r w:rsidRPr="00CB42C7">
        <w:t>1</w:t>
      </w:r>
      <w:r w:rsidR="005C2E07">
        <w:t>5</w:t>
      </w:r>
      <w:r w:rsidRPr="00CB42C7">
        <w:t xml:space="preserve">.3. </w:t>
      </w:r>
      <w:r>
        <w:t>EK</w:t>
      </w:r>
      <w:r w:rsidRPr="00CB42C7">
        <w:t xml:space="preserve"> yra parengusi interaktyvų socialinės ir ekonominės raidos vertinimo žinyną EVALSED, kuris yra šiame interneto tinklapyje: </w:t>
      </w:r>
      <w:hyperlink r:id="rId15" w:history="1">
        <w:r w:rsidRPr="00CB42C7">
          <w:rPr>
            <w:rStyle w:val="Hipersaitas"/>
            <w:rFonts w:eastAsiaTheme="majorEastAsia"/>
          </w:rPr>
          <w:t>http://ec.europa.eu/regional_policy/sources/docgener/evaluation/guide/guide_evalsed.pdf</w:t>
        </w:r>
      </w:hyperlink>
      <w:r w:rsidR="00690651" w:rsidRPr="00690651">
        <w:rPr>
          <w:bCs/>
        </w:rPr>
        <w:t>;</w:t>
      </w:r>
    </w:p>
    <w:p w14:paraId="49D392C8" w14:textId="6C46B5EF" w:rsidR="00F772E3" w:rsidRPr="00CB42C7" w:rsidRDefault="00F772E3" w:rsidP="00F772E3">
      <w:pPr>
        <w:ind w:right="35" w:firstLine="720"/>
        <w:jc w:val="both"/>
        <w:rPr>
          <w:color w:val="0000FF"/>
          <w:u w:val="single"/>
        </w:rPr>
      </w:pPr>
      <w:r w:rsidRPr="00CB42C7">
        <w:t>1</w:t>
      </w:r>
      <w:r w:rsidR="005C2E07">
        <w:t>5</w:t>
      </w:r>
      <w:r w:rsidRPr="00CB42C7">
        <w:t xml:space="preserve">.4. Informacija apie ES fondų vertinimą pateikiama 2010 m. atnaujintose Finansų ministerijos vertinimo gairėse „ES struktūrinės paramos vertinimas: metodinės gairės, 2010“ adresu: </w:t>
      </w:r>
      <w:hyperlink r:id="rId16" w:history="1">
        <w:r w:rsidRPr="00015E95">
          <w:rPr>
            <w:rStyle w:val="Hipersaitas"/>
            <w:rFonts w:eastAsiaTheme="majorEastAsia"/>
          </w:rPr>
          <w:t>https://2014.esinvesticijos.lt/lt/dokumentai/es-strukturines-paramos-vertinimas-metodines-gaires-2010</w:t>
        </w:r>
      </w:hyperlink>
      <w:r w:rsidR="00690651" w:rsidRPr="00690651">
        <w:rPr>
          <w:bCs/>
        </w:rPr>
        <w:t>;</w:t>
      </w:r>
      <w:r w:rsidRPr="00690651">
        <w:rPr>
          <w:u w:val="single"/>
        </w:rPr>
        <w:t xml:space="preserve"> </w:t>
      </w:r>
    </w:p>
    <w:p w14:paraId="54B2DFCB" w14:textId="7A430753" w:rsidR="00F772E3" w:rsidRPr="00CB42C7" w:rsidRDefault="00F772E3" w:rsidP="00F772E3">
      <w:pPr>
        <w:ind w:right="35" w:firstLine="720"/>
        <w:jc w:val="both"/>
        <w:rPr>
          <w:rStyle w:val="Hipersaitas"/>
          <w:rFonts w:eastAsiaTheme="majorEastAsia"/>
        </w:rPr>
      </w:pPr>
      <w:r w:rsidRPr="00D875A4">
        <w:t>1</w:t>
      </w:r>
      <w:r w:rsidR="005C2E07">
        <w:t>5</w:t>
      </w:r>
      <w:r w:rsidRPr="00CB42C7">
        <w:t xml:space="preserve">.5. Informacija apie ES paramos vertinimą taip pat pateikiama 2015 m. atnaujintuose Finansų ministerijos vertinimo gairėse „ES fondų investicijų vertinimo metodinės gairės“ adresu: </w:t>
      </w:r>
      <w:hyperlink r:id="rId17" w:history="1">
        <w:r w:rsidRPr="00015E95">
          <w:rPr>
            <w:rStyle w:val="Hipersaitas"/>
            <w:rFonts w:eastAsiaTheme="majorEastAsia"/>
          </w:rPr>
          <w:t>https://2014.esinvesticijos.lt/lt/dokumentai//es-fondu-investiciju-vertinimo-metodines-gaires</w:t>
        </w:r>
      </w:hyperlink>
      <w:r w:rsidR="00690651" w:rsidRPr="00690651">
        <w:rPr>
          <w:bCs/>
        </w:rPr>
        <w:t>;</w:t>
      </w:r>
    </w:p>
    <w:p w14:paraId="6D40401E" w14:textId="6D7EA6E8" w:rsidR="00F772E3" w:rsidRDefault="00F772E3" w:rsidP="00F772E3">
      <w:pPr>
        <w:ind w:right="35" w:firstLine="720"/>
        <w:jc w:val="both"/>
        <w:rPr>
          <w:bCs/>
        </w:rPr>
      </w:pPr>
      <w:r w:rsidRPr="00CB42C7">
        <w:t>1</w:t>
      </w:r>
      <w:r w:rsidR="005C2E07">
        <w:t>5</w:t>
      </w:r>
      <w:r w:rsidRPr="00CB42C7">
        <w:t xml:space="preserve">.6. Informacija apie </w:t>
      </w:r>
      <w:r>
        <w:rPr>
          <w:bCs/>
        </w:rPr>
        <w:t>IP ir jos įgyvendinimą</w:t>
      </w:r>
      <w:r w:rsidRPr="00CB42C7">
        <w:rPr>
          <w:bCs/>
        </w:rPr>
        <w:t xml:space="preserve"> </w:t>
      </w:r>
      <w:r>
        <w:rPr>
          <w:bCs/>
        </w:rPr>
        <w:t xml:space="preserve">pateikiama interneto tinklapyje </w:t>
      </w:r>
      <w:hyperlink r:id="rId18" w:history="1">
        <w:r w:rsidRPr="00015E95">
          <w:rPr>
            <w:rStyle w:val="Hipersaitas"/>
            <w:rFonts w:eastAsiaTheme="majorEastAsia"/>
            <w:bCs/>
          </w:rPr>
          <w:t>https://www.esinvesticijos.lt/</w:t>
        </w:r>
      </w:hyperlink>
      <w:r w:rsidR="00690651" w:rsidRPr="00690651">
        <w:rPr>
          <w:bCs/>
        </w:rPr>
        <w:t>;</w:t>
      </w:r>
    </w:p>
    <w:p w14:paraId="7626524E" w14:textId="79639448" w:rsidR="008C29D1" w:rsidRDefault="00AA4620" w:rsidP="00F772E3">
      <w:pPr>
        <w:ind w:right="35" w:firstLine="720"/>
        <w:jc w:val="both"/>
        <w:rPr>
          <w:bCs/>
        </w:rPr>
      </w:pPr>
      <w:r>
        <w:rPr>
          <w:bCs/>
        </w:rPr>
        <w:t>1</w:t>
      </w:r>
      <w:r w:rsidR="002F69D6">
        <w:rPr>
          <w:bCs/>
        </w:rPr>
        <w:t>6</w:t>
      </w:r>
      <w:r>
        <w:rPr>
          <w:bCs/>
        </w:rPr>
        <w:t xml:space="preserve">.7. </w:t>
      </w:r>
      <w:r w:rsidR="000A659D">
        <w:rPr>
          <w:bCs/>
        </w:rPr>
        <w:t>Informacija apie RPP</w:t>
      </w:r>
      <w:r w:rsidR="00C370FF">
        <w:rPr>
          <w:bCs/>
        </w:rPr>
        <w:t xml:space="preserve"> ir jos įgyvendinimą pateikiama Vidaus reikalų ministerijos svetainėje </w:t>
      </w:r>
      <w:r w:rsidR="00566390">
        <w:rPr>
          <w:bCs/>
        </w:rPr>
        <w:t xml:space="preserve">adresu: </w:t>
      </w:r>
      <w:hyperlink r:id="rId19" w:history="1">
        <w:r w:rsidR="00BC20B0" w:rsidRPr="00734EA2">
          <w:rPr>
            <w:rStyle w:val="Hipersaitas"/>
            <w:bCs/>
          </w:rPr>
          <w:t>https://vrm.lrv.lt/lt/veiklos-sritys/regionu-pletra/regionu-pletros-programa/</w:t>
        </w:r>
      </w:hyperlink>
      <w:r w:rsidR="00BC20B0">
        <w:rPr>
          <w:bCs/>
        </w:rPr>
        <w:t>;</w:t>
      </w:r>
    </w:p>
    <w:p w14:paraId="5BAF48DC" w14:textId="64200158" w:rsidR="00C73D37" w:rsidRDefault="00690651" w:rsidP="0062366B">
      <w:pPr>
        <w:ind w:right="35" w:firstLine="720"/>
        <w:jc w:val="both"/>
        <w:rPr>
          <w:bCs/>
        </w:rPr>
      </w:pPr>
      <w:r>
        <w:rPr>
          <w:bCs/>
        </w:rPr>
        <w:t>1</w:t>
      </w:r>
      <w:r w:rsidR="005C2E07">
        <w:rPr>
          <w:bCs/>
        </w:rPr>
        <w:t>5</w:t>
      </w:r>
      <w:r>
        <w:rPr>
          <w:bCs/>
        </w:rPr>
        <w:t>.</w:t>
      </w:r>
      <w:r w:rsidR="002F69D6">
        <w:rPr>
          <w:bCs/>
        </w:rPr>
        <w:t>8</w:t>
      </w:r>
      <w:r>
        <w:rPr>
          <w:bCs/>
        </w:rPr>
        <w:t xml:space="preserve">. Informacija apie RPPl </w:t>
      </w:r>
      <w:r w:rsidR="00AC37D9">
        <w:rPr>
          <w:bCs/>
        </w:rPr>
        <w:t xml:space="preserve">ir jų </w:t>
      </w:r>
      <w:r w:rsidR="0072612D">
        <w:rPr>
          <w:bCs/>
        </w:rPr>
        <w:t>įgyvendinimą pateikiama</w:t>
      </w:r>
      <w:r w:rsidR="0062366B">
        <w:rPr>
          <w:bCs/>
        </w:rPr>
        <w:t xml:space="preserve"> r</w:t>
      </w:r>
      <w:r w:rsidR="002D1171">
        <w:rPr>
          <w:bCs/>
        </w:rPr>
        <w:t>egionų plėtros tarybų interneto svetainėse</w:t>
      </w:r>
      <w:r w:rsidR="00AB2278">
        <w:rPr>
          <w:bCs/>
        </w:rPr>
        <w:t xml:space="preserve"> adresais: </w:t>
      </w:r>
    </w:p>
    <w:p w14:paraId="1B59B0F2" w14:textId="77777777" w:rsidR="00C73D37" w:rsidRDefault="00C73D37" w:rsidP="00C73D37">
      <w:pPr>
        <w:ind w:left="709" w:right="35" w:firstLine="11"/>
        <w:jc w:val="both"/>
        <w:rPr>
          <w:bCs/>
        </w:rPr>
      </w:pPr>
      <w:hyperlink r:id="rId20" w:history="1">
        <w:r w:rsidRPr="00734EA2">
          <w:rPr>
            <w:rStyle w:val="Hipersaitas"/>
            <w:bCs/>
          </w:rPr>
          <w:t>https://alytausregionas.lt/veikla/planavimo-ir-igyvendinimo-dokumentai/</w:t>
        </w:r>
      </w:hyperlink>
      <w:r w:rsidR="00AB2278">
        <w:rPr>
          <w:bCs/>
        </w:rPr>
        <w:t xml:space="preserve">, </w:t>
      </w:r>
      <w:hyperlink r:id="rId21" w:history="1">
        <w:r w:rsidR="001F600C" w:rsidRPr="00734EA2">
          <w:rPr>
            <w:rStyle w:val="Hipersaitas"/>
            <w:bCs/>
          </w:rPr>
          <w:t>https://kaunoregionas.lt/regiono-pletra/2022-2030-m-regiono-pletros-planas/</w:t>
        </w:r>
      </w:hyperlink>
      <w:r w:rsidR="001F600C">
        <w:rPr>
          <w:bCs/>
        </w:rPr>
        <w:t xml:space="preserve">, </w:t>
      </w:r>
      <w:hyperlink r:id="rId22" w:history="1">
        <w:r w:rsidR="004C785B" w:rsidRPr="00734EA2">
          <w:rPr>
            <w:rStyle w:val="Hipersaitas"/>
            <w:bCs/>
          </w:rPr>
          <w:t>https://klaipedosregionas.lt/tarybos-veikla/regiono-pletra/regiono-petros-planas/</w:t>
        </w:r>
      </w:hyperlink>
      <w:r w:rsidR="004C785B">
        <w:rPr>
          <w:bCs/>
        </w:rPr>
        <w:t xml:space="preserve">, </w:t>
      </w:r>
      <w:hyperlink r:id="rId23" w:history="1">
        <w:r w:rsidR="008E6325" w:rsidRPr="00734EA2">
          <w:rPr>
            <w:rStyle w:val="Hipersaitas"/>
            <w:bCs/>
          </w:rPr>
          <w:t>https://marijampolesregionas.lt/planavimo-dokumentai/regiono-pletros-planas/</w:t>
        </w:r>
      </w:hyperlink>
      <w:r w:rsidR="008E6325">
        <w:rPr>
          <w:bCs/>
        </w:rPr>
        <w:t xml:space="preserve">, </w:t>
      </w:r>
      <w:hyperlink r:id="rId24" w:history="1">
        <w:r w:rsidR="000362C5" w:rsidRPr="00734EA2">
          <w:rPr>
            <w:rStyle w:val="Hipersaitas"/>
            <w:bCs/>
          </w:rPr>
          <w:t>https://panevezioregionas.lt/regiono-pletra/regiono-pletros-planas/</w:t>
        </w:r>
      </w:hyperlink>
      <w:r w:rsidR="000362C5">
        <w:rPr>
          <w:bCs/>
        </w:rPr>
        <w:t xml:space="preserve">, </w:t>
      </w:r>
      <w:hyperlink r:id="rId25" w:history="1">
        <w:r w:rsidR="007E4076" w:rsidRPr="00734EA2">
          <w:rPr>
            <w:rStyle w:val="Hipersaitas"/>
            <w:bCs/>
          </w:rPr>
          <w:t>https://siauliuregionas.lt/regiono-pletra-2/veiklos-sritis/</w:t>
        </w:r>
      </w:hyperlink>
      <w:r w:rsidR="007E4076">
        <w:rPr>
          <w:bCs/>
        </w:rPr>
        <w:t xml:space="preserve">, </w:t>
      </w:r>
    </w:p>
    <w:p w14:paraId="5F2E522C" w14:textId="77777777" w:rsidR="00C73D37" w:rsidRDefault="00C73D37" w:rsidP="00C73D37">
      <w:pPr>
        <w:ind w:left="709" w:right="35" w:firstLine="11"/>
        <w:jc w:val="both"/>
        <w:rPr>
          <w:bCs/>
        </w:rPr>
      </w:pPr>
      <w:hyperlink r:id="rId26" w:history="1">
        <w:r w:rsidRPr="00734EA2">
          <w:rPr>
            <w:rStyle w:val="Hipersaitas"/>
            <w:bCs/>
          </w:rPr>
          <w:t>https://tauragesregionas.lt/planavimo-dokumentai/regiono-pletros-planas-2022-2030-m/</w:t>
        </w:r>
      </w:hyperlink>
      <w:r w:rsidR="00A72986">
        <w:rPr>
          <w:bCs/>
        </w:rPr>
        <w:t xml:space="preserve">, </w:t>
      </w:r>
      <w:hyperlink r:id="rId27" w:history="1">
        <w:r w:rsidR="00A72986" w:rsidRPr="00734EA2">
          <w:rPr>
            <w:rStyle w:val="Hipersaitas"/>
            <w:bCs/>
          </w:rPr>
          <w:t>https://telsiuregionas.lt/tarybos-veikla/regiono-pletra/</w:t>
        </w:r>
      </w:hyperlink>
      <w:r w:rsidR="00A72986">
        <w:rPr>
          <w:bCs/>
        </w:rPr>
        <w:t xml:space="preserve">, </w:t>
      </w:r>
    </w:p>
    <w:p w14:paraId="2A347EC2" w14:textId="08D7911B" w:rsidR="002D1171" w:rsidRDefault="00C73D37" w:rsidP="00C73D37">
      <w:pPr>
        <w:ind w:left="709" w:right="35" w:firstLine="11"/>
        <w:jc w:val="both"/>
        <w:rPr>
          <w:bCs/>
        </w:rPr>
      </w:pPr>
      <w:hyperlink r:id="rId28" w:history="1">
        <w:r w:rsidRPr="00734EA2">
          <w:rPr>
            <w:rStyle w:val="Hipersaitas"/>
            <w:bCs/>
          </w:rPr>
          <w:t>https://utenosregionas.lt/regiono-pletra/2022-2030-pl/</w:t>
        </w:r>
      </w:hyperlink>
      <w:r w:rsidR="00827B06">
        <w:rPr>
          <w:bCs/>
        </w:rPr>
        <w:t xml:space="preserve">, </w:t>
      </w:r>
      <w:hyperlink r:id="rId29" w:history="1">
        <w:r w:rsidR="00BB585A" w:rsidRPr="00734EA2">
          <w:rPr>
            <w:rStyle w:val="Hipersaitas"/>
            <w:bCs/>
          </w:rPr>
          <w:t>https://vilniausregionas.lt/regionas/regiono-pletros-planas/</w:t>
        </w:r>
      </w:hyperlink>
      <w:r w:rsidR="00BB585A">
        <w:rPr>
          <w:bCs/>
        </w:rPr>
        <w:t>.</w:t>
      </w:r>
    </w:p>
    <w:p w14:paraId="523D9234" w14:textId="77777777" w:rsidR="008F6421" w:rsidRDefault="008F6421" w:rsidP="00476E04">
      <w:pPr>
        <w:ind w:right="45" w:firstLine="720"/>
        <w:jc w:val="both"/>
        <w:rPr>
          <w:bCs/>
        </w:rPr>
      </w:pPr>
    </w:p>
    <w:p w14:paraId="110A74EA" w14:textId="531EC7F5" w:rsidR="00476E04" w:rsidRPr="008F6421" w:rsidRDefault="00476E04" w:rsidP="00476E04">
      <w:pPr>
        <w:ind w:right="45" w:firstLine="720"/>
        <w:jc w:val="both"/>
        <w:rPr>
          <w:b/>
        </w:rPr>
      </w:pPr>
      <w:r w:rsidRPr="008F6421">
        <w:rPr>
          <w:b/>
        </w:rPr>
        <w:t>1</w:t>
      </w:r>
      <w:r w:rsidR="005C2E07">
        <w:rPr>
          <w:b/>
        </w:rPr>
        <w:t>6</w:t>
      </w:r>
      <w:r w:rsidRPr="008F6421">
        <w:rPr>
          <w:b/>
        </w:rPr>
        <w:t>. Žaliasis pirkimas</w:t>
      </w:r>
    </w:p>
    <w:p w14:paraId="4239A9A6" w14:textId="4EE58525" w:rsidR="00EF1686" w:rsidRPr="00CF5DD7" w:rsidRDefault="00E836ED" w:rsidP="00EF1686">
      <w:pPr>
        <w:pStyle w:val="Numeravimas11"/>
        <w:ind w:firstLine="709"/>
        <w:rPr>
          <w:lang w:val="lt-LT"/>
        </w:rPr>
      </w:pPr>
      <w:r w:rsidRPr="00B10FEB">
        <w:t>1</w:t>
      </w:r>
      <w:r w:rsidR="005C2E07">
        <w:t>6</w:t>
      </w:r>
      <w:r w:rsidRPr="00B10FEB">
        <w:t>.1.</w:t>
      </w:r>
      <w:r>
        <w:rPr>
          <w:b/>
          <w:bCs/>
        </w:rPr>
        <w:t xml:space="preserve"> </w:t>
      </w:r>
      <w:r w:rsidR="002E4437">
        <w:rPr>
          <w:color w:val="000000"/>
        </w:rPr>
        <w:t xml:space="preserve">2022–2030 </w:t>
      </w:r>
      <w:r w:rsidR="002E4437" w:rsidRPr="00EE588B">
        <w:rPr>
          <w:color w:val="000000"/>
          <w:lang w:val="lt-LT"/>
        </w:rPr>
        <w:t xml:space="preserve">metų </w:t>
      </w:r>
      <w:r w:rsidR="002E4437" w:rsidRPr="00EE588B">
        <w:rPr>
          <w:lang w:val="lt-LT" w:eastAsia="lt-LT"/>
        </w:rPr>
        <w:t xml:space="preserve">Regionų plėtros programos </w:t>
      </w:r>
      <w:r w:rsidR="006300B5" w:rsidRPr="00EE588B">
        <w:rPr>
          <w:lang w:val="lt-LT" w:eastAsia="lt-LT"/>
        </w:rPr>
        <w:t>įgyvendinimo pažangos (tarpini</w:t>
      </w:r>
      <w:r w:rsidR="00B10FEB" w:rsidRPr="00EE588B">
        <w:rPr>
          <w:lang w:val="lt-LT" w:eastAsia="lt-LT"/>
        </w:rPr>
        <w:t>o</w:t>
      </w:r>
      <w:r w:rsidR="006300B5" w:rsidRPr="00EE588B">
        <w:rPr>
          <w:lang w:val="lt-LT" w:eastAsia="lt-LT"/>
        </w:rPr>
        <w:t xml:space="preserve">) vertinimo </w:t>
      </w:r>
      <w:r w:rsidR="00B10FEB" w:rsidRPr="00EE588B">
        <w:rPr>
          <w:lang w:val="lt-LT" w:eastAsia="lt-LT"/>
        </w:rPr>
        <w:t xml:space="preserve">paslaugų pirkimas yra </w:t>
      </w:r>
      <w:r w:rsidR="00EF1686" w:rsidRPr="00EE588B">
        <w:rPr>
          <w:lang w:val="lt-LT"/>
        </w:rPr>
        <w:t>žaliasis pirkimas</w:t>
      </w:r>
      <w:r w:rsidR="00EF1686" w:rsidRPr="00CF5DD7">
        <w:rPr>
          <w:lang w:val="lt-LT"/>
        </w:rPr>
        <w:t xml:space="preserve"> pagal Aplinkos apsaugos kriterij</w:t>
      </w:r>
      <w:r w:rsidR="00EF1686" w:rsidRPr="00CF5DD7">
        <w:rPr>
          <w:rFonts w:hint="eastAsia"/>
          <w:lang w:val="lt-LT"/>
        </w:rPr>
        <w:t>ų</w:t>
      </w:r>
      <w:r w:rsidR="00EF1686" w:rsidRPr="00CF5DD7">
        <w:rPr>
          <w:lang w:val="lt-LT"/>
        </w:rPr>
        <w:t xml:space="preserve"> taikymo, vykdant žaliuosius pirki</w:t>
      </w:r>
      <w:r w:rsidR="00EF1686">
        <w:rPr>
          <w:lang w:val="lt-LT"/>
        </w:rPr>
        <w:t>mus, tvarkos aprašo, patvirtinto</w:t>
      </w:r>
      <w:r w:rsidR="00EF1686" w:rsidRPr="00CF5DD7">
        <w:rPr>
          <w:lang w:val="lt-LT"/>
        </w:rPr>
        <w:t xml:space="preserve"> Lietuvos Respublikos aplinkos ministro 2011 m. birželio 28 d. </w:t>
      </w:r>
      <w:r w:rsidR="00EF1686" w:rsidRPr="00CF5DD7">
        <w:rPr>
          <w:rFonts w:hint="eastAsia"/>
          <w:lang w:val="lt-LT"/>
        </w:rPr>
        <w:t>į</w:t>
      </w:r>
      <w:r w:rsidR="00EF1686" w:rsidRPr="00CF5DD7">
        <w:rPr>
          <w:lang w:val="lt-LT"/>
        </w:rPr>
        <w:t>sakym</w:t>
      </w:r>
      <w:r w:rsidR="00EF1686">
        <w:rPr>
          <w:lang w:val="lt-LT"/>
        </w:rPr>
        <w:t>u</w:t>
      </w:r>
      <w:r w:rsidR="00EF1686" w:rsidRPr="00CF5DD7">
        <w:rPr>
          <w:lang w:val="lt-LT"/>
        </w:rPr>
        <w:t xml:space="preserve"> Nr. D1-508 </w:t>
      </w:r>
      <w:r w:rsidR="00EF1686">
        <w:rPr>
          <w:lang w:val="lt-LT"/>
        </w:rPr>
        <w:t>„</w:t>
      </w:r>
      <w:r w:rsidR="00EF1686" w:rsidRPr="00CF5DD7">
        <w:rPr>
          <w:lang w:val="lt-LT"/>
        </w:rPr>
        <w:t>D</w:t>
      </w:r>
      <w:r w:rsidR="00EF1686" w:rsidRPr="00CF5DD7">
        <w:rPr>
          <w:rFonts w:hint="eastAsia"/>
          <w:lang w:val="lt-LT"/>
        </w:rPr>
        <w:t>ė</w:t>
      </w:r>
      <w:r w:rsidR="00EF1686" w:rsidRPr="00CF5DD7">
        <w:rPr>
          <w:lang w:val="lt-LT"/>
        </w:rPr>
        <w:t>l Aplinkos apsaugos kriterij</w:t>
      </w:r>
      <w:r w:rsidR="00EF1686" w:rsidRPr="00CF5DD7">
        <w:rPr>
          <w:rFonts w:hint="eastAsia"/>
          <w:lang w:val="lt-LT"/>
        </w:rPr>
        <w:t>ų</w:t>
      </w:r>
      <w:r w:rsidR="00EF1686" w:rsidRPr="00CF5DD7">
        <w:rPr>
          <w:lang w:val="lt-LT"/>
        </w:rPr>
        <w:t xml:space="preserve"> taikymo, vykdant žaliuosius pirki</w:t>
      </w:r>
      <w:r w:rsidR="00EF1686">
        <w:rPr>
          <w:lang w:val="lt-LT"/>
        </w:rPr>
        <w:t xml:space="preserve">mus, tvarkos aprašo patvirtinimo“, </w:t>
      </w:r>
      <w:r w:rsidR="00EF1686" w:rsidRPr="00CF5DD7">
        <w:rPr>
          <w:lang w:val="lt-LT"/>
        </w:rPr>
        <w:t>4.</w:t>
      </w:r>
      <w:r w:rsidR="00EF1686">
        <w:t>4.3</w:t>
      </w:r>
      <w:r w:rsidR="00EF1686" w:rsidRPr="00CF5DD7">
        <w:rPr>
          <w:lang w:val="lt-LT"/>
        </w:rPr>
        <w:t xml:space="preserve"> </w:t>
      </w:r>
      <w:r w:rsidR="00EF1686">
        <w:rPr>
          <w:lang w:val="lt-LT"/>
        </w:rPr>
        <w:t>pa</w:t>
      </w:r>
      <w:r w:rsidR="00EF1686" w:rsidRPr="00CF5DD7">
        <w:rPr>
          <w:lang w:val="lt-LT"/>
        </w:rPr>
        <w:t>punkt</w:t>
      </w:r>
      <w:r w:rsidR="00EF1686">
        <w:rPr>
          <w:lang w:val="lt-LT"/>
        </w:rPr>
        <w:t xml:space="preserve">į </w:t>
      </w:r>
      <w:r w:rsidR="00EF1686" w:rsidRPr="00CF5DD7">
        <w:rPr>
          <w:lang w:val="lt-LT"/>
        </w:rPr>
        <w:t>(</w:t>
      </w:r>
      <w:r w:rsidR="00EF1686" w:rsidRPr="00CF5DD7">
        <w:rPr>
          <w:color w:val="000000"/>
          <w:lang w:val="lt-LT"/>
        </w:rPr>
        <w:t>perkama tik nematerialaus pobūdžio (intelektinė) ar kitokia paslauga, nesusijusi su materialaus objekto sukūrimu, kurios teikimo metu nėra numatomas reikšmingas neigiamas poveikis aplinkai, nesukuriamas taršos šaltinis ir negeneruojamos atliekos).</w:t>
      </w:r>
    </w:p>
    <w:p w14:paraId="42342A34" w14:textId="392E20DE" w:rsidR="00E836ED" w:rsidRPr="00476E04" w:rsidRDefault="00E836ED" w:rsidP="00476E04">
      <w:pPr>
        <w:ind w:right="45" w:firstLine="720"/>
        <w:jc w:val="both"/>
        <w:rPr>
          <w:b/>
          <w:bCs/>
        </w:rPr>
      </w:pPr>
    </w:p>
    <w:p w14:paraId="2365F3F0" w14:textId="3C5983FD" w:rsidR="004F3989" w:rsidRPr="00FC7885" w:rsidRDefault="00F772E3" w:rsidP="004853C4">
      <w:pPr>
        <w:spacing w:line="300" w:lineRule="exact"/>
        <w:ind w:right="35"/>
        <w:jc w:val="center"/>
        <w:rPr>
          <w:bCs/>
        </w:rPr>
      </w:pPr>
      <w:r w:rsidRPr="00FC7885">
        <w:rPr>
          <w:bCs/>
        </w:rPr>
        <w:t>___________________________</w:t>
      </w:r>
    </w:p>
    <w:sectPr w:rsidR="004F3989" w:rsidRPr="00FC7885" w:rsidSect="00F772E3">
      <w:headerReference w:type="even" r:id="rId30"/>
      <w:headerReference w:type="default" r:id="rId31"/>
      <w:headerReference w:type="first" r:id="rId32"/>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31BF" w14:textId="77777777" w:rsidR="00B62AB4" w:rsidRDefault="00B62AB4">
      <w:r>
        <w:separator/>
      </w:r>
    </w:p>
  </w:endnote>
  <w:endnote w:type="continuationSeparator" w:id="0">
    <w:p w14:paraId="1C8A573A" w14:textId="77777777" w:rsidR="00B62AB4" w:rsidRDefault="00B6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BEC36" w14:textId="77777777" w:rsidR="00B62AB4" w:rsidRDefault="00B62AB4">
      <w:r>
        <w:separator/>
      </w:r>
    </w:p>
  </w:footnote>
  <w:footnote w:type="continuationSeparator" w:id="0">
    <w:p w14:paraId="1C83FF47" w14:textId="77777777" w:rsidR="00B62AB4" w:rsidRDefault="00B62AB4">
      <w:r>
        <w:continuationSeparator/>
      </w:r>
    </w:p>
  </w:footnote>
  <w:footnote w:id="1">
    <w:p w14:paraId="50A79C59" w14:textId="07065256" w:rsidR="00CE4F6E" w:rsidRDefault="00CE4F6E" w:rsidP="00CE4F6E">
      <w:pPr>
        <w:pStyle w:val="Puslapioinaostekstas"/>
        <w:jc w:val="both"/>
      </w:pPr>
      <w:r>
        <w:rPr>
          <w:rStyle w:val="Puslapioinaosnuoroda"/>
        </w:rPr>
        <w:footnoteRef/>
      </w:r>
      <w:r>
        <w:t xml:space="preserve"> Patvirtinta Lietuvos Respublikos Vyriausybės </w:t>
      </w:r>
      <w:r>
        <w:rPr>
          <w:color w:val="000000"/>
        </w:rPr>
        <w:t>2021 m. balandžio 28 d. nutarimu Nr. 292</w:t>
      </w:r>
      <w:r>
        <w:t xml:space="preserve"> </w:t>
      </w:r>
      <w:r>
        <w:rPr>
          <w:bCs/>
        </w:rPr>
        <w:t>,,Dėl Strateginio valdymo metodikos patvirtinimo“.</w:t>
      </w:r>
    </w:p>
  </w:footnote>
  <w:footnote w:id="2">
    <w:p w14:paraId="4F6437DD" w14:textId="65CD3B05" w:rsidR="00F3752B" w:rsidRDefault="00F3752B" w:rsidP="00CE4F6E">
      <w:pPr>
        <w:pStyle w:val="Puslapioinaostekstas"/>
        <w:jc w:val="both"/>
      </w:pPr>
      <w:r>
        <w:rPr>
          <w:rStyle w:val="Puslapioinaosnuoroda"/>
        </w:rPr>
        <w:footnoteRef/>
      </w:r>
      <w:r>
        <w:t xml:space="preserve"> Patvirtintas </w:t>
      </w:r>
      <w:r w:rsidRPr="00250A04">
        <w:rPr>
          <w:bCs/>
        </w:rPr>
        <w:t>Lietuvos Respublikos finansų ministro 2021 m. birželio 28 d. Nr. įsakymu 1K-227 ,,Dėl Strateginio valdymo metodikos taikymo“</w:t>
      </w:r>
      <w:r w:rsidR="00CE4F6E">
        <w:rPr>
          <w:bCs/>
        </w:rPr>
        <w:t>.</w:t>
      </w:r>
    </w:p>
  </w:footnote>
  <w:footnote w:id="3">
    <w:p w14:paraId="2CBA9E1F" w14:textId="5AAA4768" w:rsidR="00047E18" w:rsidRDefault="00047E18" w:rsidP="00701A23">
      <w:pPr>
        <w:pStyle w:val="Puslapioinaostekstas"/>
        <w:jc w:val="both"/>
      </w:pPr>
      <w:r>
        <w:rPr>
          <w:rStyle w:val="Puslapioinaosnuoroda"/>
        </w:rPr>
        <w:footnoteRef/>
      </w:r>
      <w:r>
        <w:t xml:space="preserve"> Patvirtinta </w:t>
      </w:r>
      <w:r w:rsidR="00667EC5">
        <w:t xml:space="preserve">Lietuvos Respublikos finansų ministro </w:t>
      </w:r>
      <w:r w:rsidR="001F2E78">
        <w:rPr>
          <w:color w:val="000000"/>
        </w:rPr>
        <w:t>2022 m. birželio </w:t>
      </w:r>
      <w:r w:rsidR="001F2E78">
        <w:rPr>
          <w:color w:val="000000"/>
          <w:lang w:val="es-ES"/>
        </w:rPr>
        <w:t>22</w:t>
      </w:r>
      <w:r w:rsidR="001F2E78">
        <w:rPr>
          <w:color w:val="000000"/>
        </w:rPr>
        <w:t xml:space="preserve"> d. įsakymu Nr. 1K-237 ,,Dėl </w:t>
      </w:r>
      <w:r w:rsidR="00316161">
        <w:rPr>
          <w:color w:val="000000"/>
        </w:rPr>
        <w:t>2021–2027 metų Europos Sąjungos fondų investicijų programos ir Ekonomikos gaivinimo ir atsparumo didinimo plano „Naujos kartos Lietuva“ įgyvendinimo.</w:t>
      </w:r>
    </w:p>
  </w:footnote>
  <w:footnote w:id="4">
    <w:p w14:paraId="0C5310A3" w14:textId="4B50F09D" w:rsidR="00D707F2" w:rsidRDefault="00D707F2" w:rsidP="00701A23">
      <w:pPr>
        <w:pStyle w:val="Puslapioinaostekstas"/>
        <w:jc w:val="both"/>
      </w:pPr>
      <w:r>
        <w:rPr>
          <w:rStyle w:val="Puslapioinaosnuoroda"/>
        </w:rPr>
        <w:footnoteRef/>
      </w:r>
      <w:r>
        <w:t xml:space="preserve"> Patvirtinta Lietuvos Respublikos vidaus reikalų ministro </w:t>
      </w:r>
      <w:r w:rsidR="00701A23" w:rsidRPr="00701A23">
        <w:t xml:space="preserve">2023 m. sausio 19 d. </w:t>
      </w:r>
      <w:r w:rsidR="00701A23">
        <w:t xml:space="preserve">įsakymu </w:t>
      </w:r>
      <w:r w:rsidR="00701A23" w:rsidRPr="00701A23">
        <w:t>Nr. 1V-30</w:t>
      </w:r>
      <w:r w:rsidR="00701A23">
        <w:t xml:space="preserve"> ,,Dėl </w:t>
      </w:r>
      <w:r w:rsidR="00701A23" w:rsidRPr="00701A23">
        <w:t>Tvarios miesto plėtros strategijų ir funkcinių zonų strategijų rengimo ir įgyvendinimo stebėsenos tvarkos apraš</w:t>
      </w:r>
      <w:r w:rsidR="00701A23">
        <w:t>o patvirtinimo“.</w:t>
      </w:r>
    </w:p>
  </w:footnote>
  <w:footnote w:id="5">
    <w:p w14:paraId="3F126126" w14:textId="3078DB73" w:rsidR="000D69A0" w:rsidRDefault="000D69A0">
      <w:pPr>
        <w:pStyle w:val="Puslapioinaostekstas"/>
      </w:pPr>
      <w:r>
        <w:rPr>
          <w:rStyle w:val="Puslapioinaosnuoroda"/>
        </w:rPr>
        <w:footnoteRef/>
      </w:r>
      <w:r w:rsidR="000F33B8">
        <w:t>.</w:t>
      </w:r>
      <w:r w:rsidR="000F33B8" w:rsidRPr="000F33B8">
        <w:rPr>
          <w:lang w:eastAsia="lt-LT"/>
        </w:rPr>
        <w:t xml:space="preserve"> </w:t>
      </w:r>
      <w:r w:rsidR="000F33B8">
        <w:rPr>
          <w:lang w:eastAsia="lt-LT"/>
        </w:rPr>
        <w:t xml:space="preserve">Patvirtinta Lietuvos Respublikos Vyriausybės </w:t>
      </w:r>
      <w:r w:rsidR="000F33B8">
        <w:rPr>
          <w:color w:val="000000"/>
        </w:rPr>
        <w:t>2022 m. birželio 29 d. nutarimu Nr. 713</w:t>
      </w:r>
      <w:r w:rsidR="000F33B8" w:rsidRPr="00CA3DCE">
        <w:rPr>
          <w:lang w:eastAsia="lt-LT"/>
        </w:rPr>
        <w:t xml:space="preserve"> </w:t>
      </w:r>
      <w:r w:rsidR="000F33B8">
        <w:rPr>
          <w:lang w:eastAsia="lt-LT"/>
        </w:rPr>
        <w:t xml:space="preserve">,,Dėl </w:t>
      </w:r>
      <w:r w:rsidR="000F33B8">
        <w:rPr>
          <w:color w:val="000000"/>
        </w:rPr>
        <w:t xml:space="preserve">2022–2030 metų </w:t>
      </w:r>
      <w:r w:rsidR="000F33B8" w:rsidRPr="00CA3DCE">
        <w:rPr>
          <w:lang w:eastAsia="lt-LT"/>
        </w:rPr>
        <w:t>Regionų plėtros programo</w:t>
      </w:r>
      <w:r w:rsidR="000F33B8">
        <w:rPr>
          <w:lang w:eastAsia="lt-LT"/>
        </w:rPr>
        <w:t>s patvirtinimo“.</w:t>
      </w:r>
    </w:p>
  </w:footnote>
  <w:footnote w:id="6">
    <w:p w14:paraId="3A979273" w14:textId="77777777" w:rsidR="00115FF2" w:rsidRDefault="00115FF2" w:rsidP="00115FF2">
      <w:pPr>
        <w:pStyle w:val="Puslapioinaostekstas"/>
        <w:jc w:val="both"/>
      </w:pPr>
      <w:r>
        <w:rPr>
          <w:rStyle w:val="Puslapioinaosnuoroda"/>
        </w:rPr>
        <w:footnoteRef/>
      </w:r>
      <w:r>
        <w:t xml:space="preserve"> Patvirtintas  Lietuvos Respublikos </w:t>
      </w:r>
      <w:r>
        <w:rPr>
          <w:color w:val="000000"/>
        </w:rPr>
        <w:t>Vyriausybės 2020 m. rugsėjo 9 d. nutarimu Nr. 998</w:t>
      </w:r>
      <w:r>
        <w:rPr>
          <w:color w:val="000000"/>
          <w:szCs w:val="24"/>
        </w:rPr>
        <w:t xml:space="preserve">7 </w:t>
      </w:r>
      <w:r>
        <w:rPr>
          <w:color w:val="000000"/>
        </w:rPr>
        <w:t xml:space="preserve">,,Dėl </w:t>
      </w:r>
      <w:r w:rsidRPr="00A55E53">
        <w:t>2021–2030 metų nacionalinio pažangos plano patvirtinimo“</w:t>
      </w:r>
      <w:r>
        <w:t>.</w:t>
      </w:r>
    </w:p>
  </w:footnote>
  <w:footnote w:id="7">
    <w:p w14:paraId="00C7B5BC" w14:textId="613E655F" w:rsidR="00BF2839" w:rsidRDefault="00BF2839">
      <w:pPr>
        <w:pStyle w:val="Puslapioinaostekstas"/>
      </w:pPr>
      <w:r>
        <w:rPr>
          <w:rStyle w:val="Puslapioinaosnuoroda"/>
        </w:rPr>
        <w:footnoteRef/>
      </w:r>
      <w:r>
        <w:t xml:space="preserve"> </w:t>
      </w:r>
      <w:r w:rsidR="00C06C65">
        <w:t>Vyriausybės strateginės analizės centro (STRATA) vertinimo ataskaita ,,</w:t>
      </w:r>
      <w:r w:rsidR="009B2001" w:rsidRPr="009B2001">
        <w:t>2021–2030 m. nacionalinio pažangos plano tikslų intervencijų logikos vertinimas: 1, 2, 5, 7, 8 ir 9 tikslai</w:t>
      </w:r>
      <w:r w:rsidR="009B2001">
        <w:t xml:space="preserve">“, skelbiama </w:t>
      </w:r>
      <w:r w:rsidR="00E9293F">
        <w:t xml:space="preserve">interneto svetainėje adresu: </w:t>
      </w:r>
      <w:r w:rsidR="00E9293F" w:rsidRPr="00E9293F">
        <w:t>https://strata.gov.lt/veikla/tyrimai/</w:t>
      </w:r>
      <w:r w:rsidR="00E9293F">
        <w:t>.</w:t>
      </w:r>
    </w:p>
  </w:footnote>
  <w:footnote w:id="8">
    <w:p w14:paraId="51E86E86" w14:textId="21AC81A9" w:rsidR="00400AA8" w:rsidRDefault="00400AA8">
      <w:pPr>
        <w:pStyle w:val="Puslapioinaostekstas"/>
      </w:pPr>
      <w:r>
        <w:rPr>
          <w:rStyle w:val="Puslapioinaosnuoroda"/>
        </w:rPr>
        <w:footnoteRef/>
      </w:r>
      <w:r>
        <w:t xml:space="preserve"> </w:t>
      </w:r>
      <w:r w:rsidR="000F33B8">
        <w:t xml:space="preserve">Ataskaita skelbiama Lietuvos Respublikos valstybės kontrolės interneto svetainėje adresu: </w:t>
      </w:r>
      <w:hyperlink r:id="rId1" w:history="1">
        <w:r w:rsidR="000F33B8" w:rsidRPr="005C11FE">
          <w:rPr>
            <w:rStyle w:val="Hipersaitas"/>
          </w:rPr>
          <w:t>https://www.valstybeskontrole.lt/LT/Product/All?v=1</w:t>
        </w:r>
      </w:hyperlink>
      <w:r w:rsidR="000F33B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445B" w14:textId="77777777" w:rsidR="00D55146" w:rsidRDefault="00381C1D" w:rsidP="00A519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4A17A6" w14:textId="77777777" w:rsidR="00D55146" w:rsidRDefault="00D551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5A4F" w14:textId="77777777" w:rsidR="00D55146" w:rsidRDefault="00381C1D" w:rsidP="00A519D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00F04BC4" w14:textId="77777777" w:rsidR="00D55146" w:rsidRDefault="00D5514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Look w:val="04A0" w:firstRow="1" w:lastRow="0" w:firstColumn="1" w:lastColumn="0" w:noHBand="0" w:noVBand="1"/>
    </w:tblPr>
    <w:tblGrid>
      <w:gridCol w:w="9962"/>
    </w:tblGrid>
    <w:tr w:rsidR="000D7A18" w:rsidRPr="00F946E3" w14:paraId="6544B5C3" w14:textId="77777777" w:rsidTr="00D238C0">
      <w:trPr>
        <w:trHeight w:val="274"/>
      </w:trPr>
      <w:tc>
        <w:tcPr>
          <w:tcW w:w="5000" w:type="pct"/>
          <w:tcBorders>
            <w:top w:val="single" w:sz="4" w:space="0" w:color="156082" w:themeColor="accent1"/>
            <w:left w:val="single" w:sz="4" w:space="0" w:color="156082" w:themeColor="accent1"/>
            <w:bottom w:val="single" w:sz="4" w:space="0" w:color="156082" w:themeColor="accent1"/>
            <w:right w:val="single" w:sz="4" w:space="0" w:color="156082" w:themeColor="accent1"/>
          </w:tcBorders>
          <w:shd w:val="clear" w:color="auto" w:fill="156082" w:themeFill="accent1"/>
          <w:vAlign w:val="center"/>
          <w:hideMark/>
        </w:tcPr>
        <w:p w14:paraId="6838C75A" w14:textId="77777777" w:rsidR="000D7A18" w:rsidRPr="00F946E3" w:rsidRDefault="000D7A18" w:rsidP="000D7A18">
          <w:pPr>
            <w:jc w:val="left"/>
            <w:rPr>
              <w:rFonts w:ascii="Calibri Light" w:hAnsi="Calibri Light" w:cs="Calibri Light"/>
              <w:b/>
              <w:sz w:val="20"/>
              <w:szCs w:val="20"/>
            </w:rPr>
          </w:pPr>
          <w:r>
            <w:rPr>
              <w:rFonts w:ascii="Calibri Light" w:hAnsi="Calibri Light" w:cs="Calibri Light"/>
              <w:b/>
              <w:color w:val="FFFFFF" w:themeColor="background1"/>
              <w:sz w:val="20"/>
              <w:szCs w:val="20"/>
            </w:rPr>
            <w:t>IŠTEKLIŲ AGENTŪRA</w:t>
          </w:r>
          <w:r w:rsidRPr="00F946E3">
            <w:rPr>
              <w:rFonts w:ascii="Calibri Light" w:hAnsi="Calibri Light" w:cs="Calibri Light"/>
              <w:b/>
              <w:color w:val="FFFFFF" w:themeColor="background1"/>
              <w:sz w:val="20"/>
              <w:szCs w:val="20"/>
            </w:rPr>
            <w:t xml:space="preserve"> &gt; PIRKIMO DOKUMENTAI (PD) &gt; TECHNINĖ SPECIFIKACIJA (TS)</w:t>
          </w:r>
        </w:p>
      </w:tc>
    </w:tr>
  </w:tbl>
  <w:p w14:paraId="58945E32" w14:textId="77777777" w:rsidR="000D7A18" w:rsidRDefault="000D7A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2128"/>
    <w:multiLevelType w:val="multilevel"/>
    <w:tmpl w:val="A4B0A7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6236A0"/>
    <w:multiLevelType w:val="multilevel"/>
    <w:tmpl w:val="8D649CE4"/>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38C59B2"/>
    <w:multiLevelType w:val="multilevel"/>
    <w:tmpl w:val="9D1A7618"/>
    <w:lvl w:ilvl="0">
      <w:start w:val="1"/>
      <w:numFmt w:val="decimal"/>
      <w:lvlText w:val="%1."/>
      <w:lvlJc w:val="left"/>
      <w:pPr>
        <w:ind w:left="1108" w:hanging="540"/>
      </w:pPr>
      <w:rPr>
        <w:rFonts w:hint="default"/>
      </w:rPr>
    </w:lvl>
    <w:lvl w:ilvl="1">
      <w:start w:val="1"/>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2C270251"/>
    <w:multiLevelType w:val="multilevel"/>
    <w:tmpl w:val="E690D4E0"/>
    <w:lvl w:ilvl="0">
      <w:start w:val="7"/>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231E1E"/>
    <w:multiLevelType w:val="multilevel"/>
    <w:tmpl w:val="327C4EC2"/>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9FF3913"/>
    <w:multiLevelType w:val="multilevel"/>
    <w:tmpl w:val="A4B0A79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7A795C"/>
    <w:multiLevelType w:val="multilevel"/>
    <w:tmpl w:val="FBD4BC28"/>
    <w:lvl w:ilvl="0">
      <w:start w:val="1"/>
      <w:numFmt w:val="decimal"/>
      <w:lvlText w:val="%1."/>
      <w:lvlJc w:val="left"/>
      <w:pPr>
        <w:tabs>
          <w:tab w:val="num" w:pos="1069"/>
        </w:tabs>
        <w:ind w:left="1069"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AB66F57"/>
    <w:multiLevelType w:val="multilevel"/>
    <w:tmpl w:val="7696C54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7275299">
    <w:abstractNumId w:val="6"/>
  </w:num>
  <w:num w:numId="2" w16cid:durableId="1154561768">
    <w:abstractNumId w:val="3"/>
  </w:num>
  <w:num w:numId="3" w16cid:durableId="2010399364">
    <w:abstractNumId w:val="5"/>
  </w:num>
  <w:num w:numId="4" w16cid:durableId="683946518">
    <w:abstractNumId w:val="0"/>
  </w:num>
  <w:num w:numId="5" w16cid:durableId="1589120389">
    <w:abstractNumId w:val="4"/>
  </w:num>
  <w:num w:numId="6" w16cid:durableId="2038311253">
    <w:abstractNumId w:val="7"/>
  </w:num>
  <w:num w:numId="7" w16cid:durableId="559945657">
    <w:abstractNumId w:val="1"/>
  </w:num>
  <w:num w:numId="8" w16cid:durableId="1790855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E3"/>
    <w:rsid w:val="000019DD"/>
    <w:rsid w:val="00004844"/>
    <w:rsid w:val="000059C0"/>
    <w:rsid w:val="00007D38"/>
    <w:rsid w:val="000103C5"/>
    <w:rsid w:val="00014D1D"/>
    <w:rsid w:val="000150F7"/>
    <w:rsid w:val="00021CB4"/>
    <w:rsid w:val="00021FDA"/>
    <w:rsid w:val="000359BD"/>
    <w:rsid w:val="000362C5"/>
    <w:rsid w:val="00036906"/>
    <w:rsid w:val="000376BE"/>
    <w:rsid w:val="00040F71"/>
    <w:rsid w:val="00047480"/>
    <w:rsid w:val="00047E18"/>
    <w:rsid w:val="00060DA4"/>
    <w:rsid w:val="000618D2"/>
    <w:rsid w:val="00062A66"/>
    <w:rsid w:val="00063C08"/>
    <w:rsid w:val="00064F6F"/>
    <w:rsid w:val="000650FB"/>
    <w:rsid w:val="0006529A"/>
    <w:rsid w:val="00067ED5"/>
    <w:rsid w:val="00071FF6"/>
    <w:rsid w:val="00074923"/>
    <w:rsid w:val="00081B91"/>
    <w:rsid w:val="000938D3"/>
    <w:rsid w:val="00096B33"/>
    <w:rsid w:val="000A0488"/>
    <w:rsid w:val="000A110C"/>
    <w:rsid w:val="000A21F4"/>
    <w:rsid w:val="000A2291"/>
    <w:rsid w:val="000A3EA3"/>
    <w:rsid w:val="000A4D2C"/>
    <w:rsid w:val="000A5E65"/>
    <w:rsid w:val="000A659D"/>
    <w:rsid w:val="000B1992"/>
    <w:rsid w:val="000B31BD"/>
    <w:rsid w:val="000B497D"/>
    <w:rsid w:val="000B498D"/>
    <w:rsid w:val="000C0C79"/>
    <w:rsid w:val="000D28DD"/>
    <w:rsid w:val="000D2EBE"/>
    <w:rsid w:val="000D69A0"/>
    <w:rsid w:val="000D7A18"/>
    <w:rsid w:val="000F3374"/>
    <w:rsid w:val="000F33B8"/>
    <w:rsid w:val="000F664D"/>
    <w:rsid w:val="001006D4"/>
    <w:rsid w:val="001103D5"/>
    <w:rsid w:val="00115FF2"/>
    <w:rsid w:val="00116878"/>
    <w:rsid w:val="00123ECE"/>
    <w:rsid w:val="00133A24"/>
    <w:rsid w:val="00142C85"/>
    <w:rsid w:val="00144567"/>
    <w:rsid w:val="0015007B"/>
    <w:rsid w:val="00153488"/>
    <w:rsid w:val="0015412C"/>
    <w:rsid w:val="00156E6D"/>
    <w:rsid w:val="00161B67"/>
    <w:rsid w:val="00163BC5"/>
    <w:rsid w:val="00167D44"/>
    <w:rsid w:val="00167E63"/>
    <w:rsid w:val="001758D9"/>
    <w:rsid w:val="001762AF"/>
    <w:rsid w:val="00177113"/>
    <w:rsid w:val="00177E3B"/>
    <w:rsid w:val="00180BB8"/>
    <w:rsid w:val="0018430C"/>
    <w:rsid w:val="00186D8A"/>
    <w:rsid w:val="001A065C"/>
    <w:rsid w:val="001A45B0"/>
    <w:rsid w:val="001A6BB3"/>
    <w:rsid w:val="001A773D"/>
    <w:rsid w:val="001B0797"/>
    <w:rsid w:val="001B122E"/>
    <w:rsid w:val="001C0CCA"/>
    <w:rsid w:val="001C371D"/>
    <w:rsid w:val="001D44B4"/>
    <w:rsid w:val="001D5102"/>
    <w:rsid w:val="001D6151"/>
    <w:rsid w:val="001D7CEA"/>
    <w:rsid w:val="001D7FEC"/>
    <w:rsid w:val="001E21B1"/>
    <w:rsid w:val="001E3250"/>
    <w:rsid w:val="001E3C55"/>
    <w:rsid w:val="001E54A2"/>
    <w:rsid w:val="001F2E78"/>
    <w:rsid w:val="001F600C"/>
    <w:rsid w:val="002014DA"/>
    <w:rsid w:val="00201D5B"/>
    <w:rsid w:val="002047C8"/>
    <w:rsid w:val="002106BF"/>
    <w:rsid w:val="00212A76"/>
    <w:rsid w:val="00213356"/>
    <w:rsid w:val="00213CF6"/>
    <w:rsid w:val="0021410B"/>
    <w:rsid w:val="00227BEA"/>
    <w:rsid w:val="0023431E"/>
    <w:rsid w:val="00235D05"/>
    <w:rsid w:val="00242096"/>
    <w:rsid w:val="00242332"/>
    <w:rsid w:val="00245AA2"/>
    <w:rsid w:val="00250A04"/>
    <w:rsid w:val="0025232B"/>
    <w:rsid w:val="002523E4"/>
    <w:rsid w:val="00256DF5"/>
    <w:rsid w:val="00261811"/>
    <w:rsid w:val="00262C31"/>
    <w:rsid w:val="0026419B"/>
    <w:rsid w:val="00267208"/>
    <w:rsid w:val="00275732"/>
    <w:rsid w:val="00276FC1"/>
    <w:rsid w:val="00277474"/>
    <w:rsid w:val="00280D0E"/>
    <w:rsid w:val="00295C52"/>
    <w:rsid w:val="002974B1"/>
    <w:rsid w:val="002A1F78"/>
    <w:rsid w:val="002A3845"/>
    <w:rsid w:val="002A4557"/>
    <w:rsid w:val="002A6DAB"/>
    <w:rsid w:val="002A704E"/>
    <w:rsid w:val="002B0A6F"/>
    <w:rsid w:val="002B2321"/>
    <w:rsid w:val="002C0B51"/>
    <w:rsid w:val="002C2426"/>
    <w:rsid w:val="002C4571"/>
    <w:rsid w:val="002D0667"/>
    <w:rsid w:val="002D1171"/>
    <w:rsid w:val="002D35B7"/>
    <w:rsid w:val="002D3BC3"/>
    <w:rsid w:val="002D4CEA"/>
    <w:rsid w:val="002D5A57"/>
    <w:rsid w:val="002E0491"/>
    <w:rsid w:val="002E4437"/>
    <w:rsid w:val="002F0D9E"/>
    <w:rsid w:val="002F2826"/>
    <w:rsid w:val="002F69D6"/>
    <w:rsid w:val="002F6EA2"/>
    <w:rsid w:val="0030079B"/>
    <w:rsid w:val="00303D15"/>
    <w:rsid w:val="00310A94"/>
    <w:rsid w:val="00310DE8"/>
    <w:rsid w:val="003133B6"/>
    <w:rsid w:val="0031395E"/>
    <w:rsid w:val="00316161"/>
    <w:rsid w:val="00316E93"/>
    <w:rsid w:val="0031735C"/>
    <w:rsid w:val="00321F3F"/>
    <w:rsid w:val="00326959"/>
    <w:rsid w:val="00331031"/>
    <w:rsid w:val="00337131"/>
    <w:rsid w:val="0034461B"/>
    <w:rsid w:val="003448B9"/>
    <w:rsid w:val="0034751A"/>
    <w:rsid w:val="00357FE5"/>
    <w:rsid w:val="00361DF3"/>
    <w:rsid w:val="003647D9"/>
    <w:rsid w:val="003647EB"/>
    <w:rsid w:val="00366EFC"/>
    <w:rsid w:val="003675D1"/>
    <w:rsid w:val="00371CAB"/>
    <w:rsid w:val="00372481"/>
    <w:rsid w:val="0037250E"/>
    <w:rsid w:val="0037735B"/>
    <w:rsid w:val="00381C1D"/>
    <w:rsid w:val="003833CE"/>
    <w:rsid w:val="003863C1"/>
    <w:rsid w:val="003A4FBF"/>
    <w:rsid w:val="003A6C29"/>
    <w:rsid w:val="003A7B69"/>
    <w:rsid w:val="003B21B9"/>
    <w:rsid w:val="003B2BE1"/>
    <w:rsid w:val="003B4B6D"/>
    <w:rsid w:val="003C42C2"/>
    <w:rsid w:val="003C61D0"/>
    <w:rsid w:val="003D0DDE"/>
    <w:rsid w:val="003D1949"/>
    <w:rsid w:val="003D5FEC"/>
    <w:rsid w:val="003D6A08"/>
    <w:rsid w:val="003E1224"/>
    <w:rsid w:val="003E271C"/>
    <w:rsid w:val="003F134B"/>
    <w:rsid w:val="003F13C3"/>
    <w:rsid w:val="003F5229"/>
    <w:rsid w:val="003F636B"/>
    <w:rsid w:val="003F73D6"/>
    <w:rsid w:val="00400AA8"/>
    <w:rsid w:val="004051D7"/>
    <w:rsid w:val="004072F4"/>
    <w:rsid w:val="00407B1A"/>
    <w:rsid w:val="00423591"/>
    <w:rsid w:val="00425ACE"/>
    <w:rsid w:val="00427E0D"/>
    <w:rsid w:val="00444826"/>
    <w:rsid w:val="004478C3"/>
    <w:rsid w:val="0045011C"/>
    <w:rsid w:val="00451A3C"/>
    <w:rsid w:val="00451BDF"/>
    <w:rsid w:val="004548B3"/>
    <w:rsid w:val="00461DFB"/>
    <w:rsid w:val="004679BC"/>
    <w:rsid w:val="00472078"/>
    <w:rsid w:val="004733C1"/>
    <w:rsid w:val="00475A41"/>
    <w:rsid w:val="00476E04"/>
    <w:rsid w:val="00477E9C"/>
    <w:rsid w:val="0048225B"/>
    <w:rsid w:val="00482F41"/>
    <w:rsid w:val="004853C4"/>
    <w:rsid w:val="00492B08"/>
    <w:rsid w:val="00493790"/>
    <w:rsid w:val="00497768"/>
    <w:rsid w:val="004A62FA"/>
    <w:rsid w:val="004C1B09"/>
    <w:rsid w:val="004C3458"/>
    <w:rsid w:val="004C425B"/>
    <w:rsid w:val="004C4335"/>
    <w:rsid w:val="004C5D48"/>
    <w:rsid w:val="004C785B"/>
    <w:rsid w:val="004C78DC"/>
    <w:rsid w:val="004C7E82"/>
    <w:rsid w:val="004D440C"/>
    <w:rsid w:val="004E2869"/>
    <w:rsid w:val="004E51B1"/>
    <w:rsid w:val="004E5E12"/>
    <w:rsid w:val="004E6333"/>
    <w:rsid w:val="004E78DA"/>
    <w:rsid w:val="004F272D"/>
    <w:rsid w:val="004F3086"/>
    <w:rsid w:val="004F3989"/>
    <w:rsid w:val="004F4B61"/>
    <w:rsid w:val="00503039"/>
    <w:rsid w:val="005037A5"/>
    <w:rsid w:val="00511B8C"/>
    <w:rsid w:val="00517D96"/>
    <w:rsid w:val="00523897"/>
    <w:rsid w:val="00526873"/>
    <w:rsid w:val="00531C16"/>
    <w:rsid w:val="00533E62"/>
    <w:rsid w:val="00543A58"/>
    <w:rsid w:val="00545F60"/>
    <w:rsid w:val="00555EB7"/>
    <w:rsid w:val="00556E17"/>
    <w:rsid w:val="005573A4"/>
    <w:rsid w:val="00560E50"/>
    <w:rsid w:val="00565A2E"/>
    <w:rsid w:val="00566390"/>
    <w:rsid w:val="00566B81"/>
    <w:rsid w:val="00571629"/>
    <w:rsid w:val="00571A81"/>
    <w:rsid w:val="00571F7A"/>
    <w:rsid w:val="00572960"/>
    <w:rsid w:val="00575868"/>
    <w:rsid w:val="0057762A"/>
    <w:rsid w:val="00581AE4"/>
    <w:rsid w:val="00583AF1"/>
    <w:rsid w:val="00590EDA"/>
    <w:rsid w:val="00595CFD"/>
    <w:rsid w:val="00597F17"/>
    <w:rsid w:val="005A205D"/>
    <w:rsid w:val="005A2937"/>
    <w:rsid w:val="005A3F8A"/>
    <w:rsid w:val="005B52F8"/>
    <w:rsid w:val="005B598E"/>
    <w:rsid w:val="005C0C4E"/>
    <w:rsid w:val="005C2E07"/>
    <w:rsid w:val="005C5ACA"/>
    <w:rsid w:val="005C5B6E"/>
    <w:rsid w:val="005C5C7C"/>
    <w:rsid w:val="005D4A52"/>
    <w:rsid w:val="005D55A9"/>
    <w:rsid w:val="005D6E6B"/>
    <w:rsid w:val="005E08B9"/>
    <w:rsid w:val="005E364A"/>
    <w:rsid w:val="005E5401"/>
    <w:rsid w:val="005E6BE0"/>
    <w:rsid w:val="005E7053"/>
    <w:rsid w:val="005F4512"/>
    <w:rsid w:val="00602304"/>
    <w:rsid w:val="006124BB"/>
    <w:rsid w:val="0062366B"/>
    <w:rsid w:val="006239E5"/>
    <w:rsid w:val="006300B5"/>
    <w:rsid w:val="00635356"/>
    <w:rsid w:val="00635F15"/>
    <w:rsid w:val="00642238"/>
    <w:rsid w:val="006453D3"/>
    <w:rsid w:val="0064647F"/>
    <w:rsid w:val="0065426B"/>
    <w:rsid w:val="00667C24"/>
    <w:rsid w:val="00667EC5"/>
    <w:rsid w:val="00681B54"/>
    <w:rsid w:val="00682FE6"/>
    <w:rsid w:val="00683617"/>
    <w:rsid w:val="0068462A"/>
    <w:rsid w:val="006849B9"/>
    <w:rsid w:val="00690651"/>
    <w:rsid w:val="006960B3"/>
    <w:rsid w:val="006A217A"/>
    <w:rsid w:val="006B3876"/>
    <w:rsid w:val="006C060F"/>
    <w:rsid w:val="006C6477"/>
    <w:rsid w:val="006D7F87"/>
    <w:rsid w:val="006E32A8"/>
    <w:rsid w:val="006E4AA6"/>
    <w:rsid w:val="006E6902"/>
    <w:rsid w:val="006E69B3"/>
    <w:rsid w:val="006F12CF"/>
    <w:rsid w:val="006F231A"/>
    <w:rsid w:val="006F2E9B"/>
    <w:rsid w:val="006F4A77"/>
    <w:rsid w:val="006F739D"/>
    <w:rsid w:val="00700694"/>
    <w:rsid w:val="0070134C"/>
    <w:rsid w:val="00701A23"/>
    <w:rsid w:val="0070400D"/>
    <w:rsid w:val="007053F2"/>
    <w:rsid w:val="00710040"/>
    <w:rsid w:val="0071036D"/>
    <w:rsid w:val="00710C64"/>
    <w:rsid w:val="00711AAD"/>
    <w:rsid w:val="00714C10"/>
    <w:rsid w:val="00715E29"/>
    <w:rsid w:val="00723BA9"/>
    <w:rsid w:val="0072612D"/>
    <w:rsid w:val="00730C75"/>
    <w:rsid w:val="00733762"/>
    <w:rsid w:val="00742718"/>
    <w:rsid w:val="007467D6"/>
    <w:rsid w:val="00747348"/>
    <w:rsid w:val="00747BF5"/>
    <w:rsid w:val="007516D7"/>
    <w:rsid w:val="00763BEF"/>
    <w:rsid w:val="0076617A"/>
    <w:rsid w:val="00766E72"/>
    <w:rsid w:val="00773194"/>
    <w:rsid w:val="00773708"/>
    <w:rsid w:val="00776B28"/>
    <w:rsid w:val="0077773C"/>
    <w:rsid w:val="0077797A"/>
    <w:rsid w:val="00780595"/>
    <w:rsid w:val="00782D82"/>
    <w:rsid w:val="00783766"/>
    <w:rsid w:val="00785A1E"/>
    <w:rsid w:val="00786F7C"/>
    <w:rsid w:val="00787949"/>
    <w:rsid w:val="007934A6"/>
    <w:rsid w:val="007935F4"/>
    <w:rsid w:val="0079551B"/>
    <w:rsid w:val="00795909"/>
    <w:rsid w:val="00796549"/>
    <w:rsid w:val="00797493"/>
    <w:rsid w:val="007A273C"/>
    <w:rsid w:val="007A7545"/>
    <w:rsid w:val="007B03A3"/>
    <w:rsid w:val="007B0C73"/>
    <w:rsid w:val="007B29DB"/>
    <w:rsid w:val="007B3749"/>
    <w:rsid w:val="007B4545"/>
    <w:rsid w:val="007B46F2"/>
    <w:rsid w:val="007B605B"/>
    <w:rsid w:val="007B65DF"/>
    <w:rsid w:val="007C041D"/>
    <w:rsid w:val="007C0CE5"/>
    <w:rsid w:val="007C380E"/>
    <w:rsid w:val="007D4FE9"/>
    <w:rsid w:val="007D635F"/>
    <w:rsid w:val="007E4071"/>
    <w:rsid w:val="007E4076"/>
    <w:rsid w:val="007E55C8"/>
    <w:rsid w:val="007F4EC2"/>
    <w:rsid w:val="007F6E50"/>
    <w:rsid w:val="00800697"/>
    <w:rsid w:val="00800DB5"/>
    <w:rsid w:val="008021F5"/>
    <w:rsid w:val="00805579"/>
    <w:rsid w:val="00807A7C"/>
    <w:rsid w:val="008109B4"/>
    <w:rsid w:val="00810EB1"/>
    <w:rsid w:val="008141F1"/>
    <w:rsid w:val="008145B9"/>
    <w:rsid w:val="00827B06"/>
    <w:rsid w:val="00831C5E"/>
    <w:rsid w:val="00833C85"/>
    <w:rsid w:val="00840B39"/>
    <w:rsid w:val="00840EDB"/>
    <w:rsid w:val="00847778"/>
    <w:rsid w:val="00847F02"/>
    <w:rsid w:val="00852587"/>
    <w:rsid w:val="00855EB1"/>
    <w:rsid w:val="00861AD8"/>
    <w:rsid w:val="00862623"/>
    <w:rsid w:val="00870BF3"/>
    <w:rsid w:val="00872607"/>
    <w:rsid w:val="00872A09"/>
    <w:rsid w:val="00872B1A"/>
    <w:rsid w:val="0087602F"/>
    <w:rsid w:val="008765AF"/>
    <w:rsid w:val="00876A83"/>
    <w:rsid w:val="00881472"/>
    <w:rsid w:val="0088181C"/>
    <w:rsid w:val="0088198D"/>
    <w:rsid w:val="008822ED"/>
    <w:rsid w:val="00886911"/>
    <w:rsid w:val="00896886"/>
    <w:rsid w:val="00897B5A"/>
    <w:rsid w:val="008A0633"/>
    <w:rsid w:val="008A2390"/>
    <w:rsid w:val="008C0F93"/>
    <w:rsid w:val="008C2094"/>
    <w:rsid w:val="008C29D1"/>
    <w:rsid w:val="008C4508"/>
    <w:rsid w:val="008C7F0B"/>
    <w:rsid w:val="008D127D"/>
    <w:rsid w:val="008D2053"/>
    <w:rsid w:val="008E134E"/>
    <w:rsid w:val="008E475B"/>
    <w:rsid w:val="008E556F"/>
    <w:rsid w:val="008E6325"/>
    <w:rsid w:val="008F2FD7"/>
    <w:rsid w:val="008F5D0C"/>
    <w:rsid w:val="008F6421"/>
    <w:rsid w:val="008F670E"/>
    <w:rsid w:val="00904CF9"/>
    <w:rsid w:val="00907B74"/>
    <w:rsid w:val="00910A84"/>
    <w:rsid w:val="00913E09"/>
    <w:rsid w:val="00915F09"/>
    <w:rsid w:val="00916858"/>
    <w:rsid w:val="00917449"/>
    <w:rsid w:val="009242EB"/>
    <w:rsid w:val="0093001F"/>
    <w:rsid w:val="009337CF"/>
    <w:rsid w:val="0094106D"/>
    <w:rsid w:val="00941C01"/>
    <w:rsid w:val="0095353B"/>
    <w:rsid w:val="00957975"/>
    <w:rsid w:val="00962974"/>
    <w:rsid w:val="00963EC5"/>
    <w:rsid w:val="0096435A"/>
    <w:rsid w:val="00964AC0"/>
    <w:rsid w:val="0096683F"/>
    <w:rsid w:val="009702DD"/>
    <w:rsid w:val="00971201"/>
    <w:rsid w:val="00975FAD"/>
    <w:rsid w:val="00977A19"/>
    <w:rsid w:val="0098405C"/>
    <w:rsid w:val="009863F8"/>
    <w:rsid w:val="00987E82"/>
    <w:rsid w:val="0099575F"/>
    <w:rsid w:val="00996AA9"/>
    <w:rsid w:val="009A5435"/>
    <w:rsid w:val="009A70B2"/>
    <w:rsid w:val="009B1D39"/>
    <w:rsid w:val="009B2001"/>
    <w:rsid w:val="009B6944"/>
    <w:rsid w:val="009C4BB2"/>
    <w:rsid w:val="009D22AA"/>
    <w:rsid w:val="009D2FAB"/>
    <w:rsid w:val="009D53C0"/>
    <w:rsid w:val="009D5829"/>
    <w:rsid w:val="009D5CE1"/>
    <w:rsid w:val="009E1F76"/>
    <w:rsid w:val="009E6883"/>
    <w:rsid w:val="009F08F5"/>
    <w:rsid w:val="009F31E4"/>
    <w:rsid w:val="00A00D6D"/>
    <w:rsid w:val="00A02487"/>
    <w:rsid w:val="00A060F2"/>
    <w:rsid w:val="00A07AAD"/>
    <w:rsid w:val="00A07C58"/>
    <w:rsid w:val="00A1032E"/>
    <w:rsid w:val="00A11EA3"/>
    <w:rsid w:val="00A20D2D"/>
    <w:rsid w:val="00A21378"/>
    <w:rsid w:val="00A21671"/>
    <w:rsid w:val="00A24028"/>
    <w:rsid w:val="00A3024A"/>
    <w:rsid w:val="00A31EF8"/>
    <w:rsid w:val="00A323DB"/>
    <w:rsid w:val="00A33031"/>
    <w:rsid w:val="00A3642A"/>
    <w:rsid w:val="00A4197A"/>
    <w:rsid w:val="00A4457A"/>
    <w:rsid w:val="00A46CB9"/>
    <w:rsid w:val="00A51A3A"/>
    <w:rsid w:val="00A55E53"/>
    <w:rsid w:val="00A573B2"/>
    <w:rsid w:val="00A57835"/>
    <w:rsid w:val="00A6336D"/>
    <w:rsid w:val="00A64ADD"/>
    <w:rsid w:val="00A67C17"/>
    <w:rsid w:val="00A72986"/>
    <w:rsid w:val="00A73EFD"/>
    <w:rsid w:val="00A74B48"/>
    <w:rsid w:val="00AA4620"/>
    <w:rsid w:val="00AA4D67"/>
    <w:rsid w:val="00AB2278"/>
    <w:rsid w:val="00AC37D9"/>
    <w:rsid w:val="00AC51B6"/>
    <w:rsid w:val="00AC769C"/>
    <w:rsid w:val="00AD375F"/>
    <w:rsid w:val="00AD4C4F"/>
    <w:rsid w:val="00AD54BD"/>
    <w:rsid w:val="00AD6C23"/>
    <w:rsid w:val="00AE090D"/>
    <w:rsid w:val="00AE14E7"/>
    <w:rsid w:val="00AE6B2A"/>
    <w:rsid w:val="00AE6B44"/>
    <w:rsid w:val="00AE6FD1"/>
    <w:rsid w:val="00AE7918"/>
    <w:rsid w:val="00AF2923"/>
    <w:rsid w:val="00AF4734"/>
    <w:rsid w:val="00AF7A7B"/>
    <w:rsid w:val="00B0051F"/>
    <w:rsid w:val="00B01437"/>
    <w:rsid w:val="00B048AD"/>
    <w:rsid w:val="00B10708"/>
    <w:rsid w:val="00B10FEB"/>
    <w:rsid w:val="00B12DCF"/>
    <w:rsid w:val="00B12E6C"/>
    <w:rsid w:val="00B16C0F"/>
    <w:rsid w:val="00B245FC"/>
    <w:rsid w:val="00B248DF"/>
    <w:rsid w:val="00B26D17"/>
    <w:rsid w:val="00B5095C"/>
    <w:rsid w:val="00B521FF"/>
    <w:rsid w:val="00B54209"/>
    <w:rsid w:val="00B54F3A"/>
    <w:rsid w:val="00B579AF"/>
    <w:rsid w:val="00B62AB4"/>
    <w:rsid w:val="00B669FD"/>
    <w:rsid w:val="00B70684"/>
    <w:rsid w:val="00B70AA1"/>
    <w:rsid w:val="00B7182D"/>
    <w:rsid w:val="00B7349B"/>
    <w:rsid w:val="00B76593"/>
    <w:rsid w:val="00B776F6"/>
    <w:rsid w:val="00B86EE5"/>
    <w:rsid w:val="00B9119C"/>
    <w:rsid w:val="00B91E88"/>
    <w:rsid w:val="00BA6CD6"/>
    <w:rsid w:val="00BB05CB"/>
    <w:rsid w:val="00BB1D03"/>
    <w:rsid w:val="00BB585A"/>
    <w:rsid w:val="00BB5F12"/>
    <w:rsid w:val="00BB7768"/>
    <w:rsid w:val="00BC0E75"/>
    <w:rsid w:val="00BC151C"/>
    <w:rsid w:val="00BC20B0"/>
    <w:rsid w:val="00BD1F8D"/>
    <w:rsid w:val="00BD3832"/>
    <w:rsid w:val="00BE0ECF"/>
    <w:rsid w:val="00BE110A"/>
    <w:rsid w:val="00BE4B7F"/>
    <w:rsid w:val="00BE60CC"/>
    <w:rsid w:val="00BE65B8"/>
    <w:rsid w:val="00BE65CF"/>
    <w:rsid w:val="00BE679F"/>
    <w:rsid w:val="00BF2839"/>
    <w:rsid w:val="00BF530E"/>
    <w:rsid w:val="00BF6BE9"/>
    <w:rsid w:val="00C02A63"/>
    <w:rsid w:val="00C02E18"/>
    <w:rsid w:val="00C042B6"/>
    <w:rsid w:val="00C04602"/>
    <w:rsid w:val="00C06C65"/>
    <w:rsid w:val="00C130B9"/>
    <w:rsid w:val="00C13DFE"/>
    <w:rsid w:val="00C150E9"/>
    <w:rsid w:val="00C16CF6"/>
    <w:rsid w:val="00C23997"/>
    <w:rsid w:val="00C32C0D"/>
    <w:rsid w:val="00C33B20"/>
    <w:rsid w:val="00C3661A"/>
    <w:rsid w:val="00C370FF"/>
    <w:rsid w:val="00C40142"/>
    <w:rsid w:val="00C40DA0"/>
    <w:rsid w:val="00C42BB5"/>
    <w:rsid w:val="00C4473B"/>
    <w:rsid w:val="00C45018"/>
    <w:rsid w:val="00C47887"/>
    <w:rsid w:val="00C53680"/>
    <w:rsid w:val="00C566DF"/>
    <w:rsid w:val="00C60BF2"/>
    <w:rsid w:val="00C64578"/>
    <w:rsid w:val="00C65911"/>
    <w:rsid w:val="00C71DA8"/>
    <w:rsid w:val="00C72DE5"/>
    <w:rsid w:val="00C73912"/>
    <w:rsid w:val="00C73D37"/>
    <w:rsid w:val="00C741AE"/>
    <w:rsid w:val="00C747CB"/>
    <w:rsid w:val="00C81493"/>
    <w:rsid w:val="00C83A58"/>
    <w:rsid w:val="00C85893"/>
    <w:rsid w:val="00C86A66"/>
    <w:rsid w:val="00C90349"/>
    <w:rsid w:val="00C91957"/>
    <w:rsid w:val="00CA010D"/>
    <w:rsid w:val="00CA529D"/>
    <w:rsid w:val="00CA5A65"/>
    <w:rsid w:val="00CA79DE"/>
    <w:rsid w:val="00CB0DB1"/>
    <w:rsid w:val="00CB2B11"/>
    <w:rsid w:val="00CB3A7B"/>
    <w:rsid w:val="00CB4CC9"/>
    <w:rsid w:val="00CC0A43"/>
    <w:rsid w:val="00CC1836"/>
    <w:rsid w:val="00CC2139"/>
    <w:rsid w:val="00CC5B54"/>
    <w:rsid w:val="00CC6ADB"/>
    <w:rsid w:val="00CD1CE2"/>
    <w:rsid w:val="00CD3850"/>
    <w:rsid w:val="00CD44AB"/>
    <w:rsid w:val="00CD61D4"/>
    <w:rsid w:val="00CD718D"/>
    <w:rsid w:val="00CE4F6E"/>
    <w:rsid w:val="00CF3A58"/>
    <w:rsid w:val="00CF4779"/>
    <w:rsid w:val="00CF5CA2"/>
    <w:rsid w:val="00CF6014"/>
    <w:rsid w:val="00CF793B"/>
    <w:rsid w:val="00D03261"/>
    <w:rsid w:val="00D038C7"/>
    <w:rsid w:val="00D04AC5"/>
    <w:rsid w:val="00D04EBD"/>
    <w:rsid w:val="00D12C2E"/>
    <w:rsid w:val="00D1520F"/>
    <w:rsid w:val="00D22167"/>
    <w:rsid w:val="00D24E1F"/>
    <w:rsid w:val="00D34D69"/>
    <w:rsid w:val="00D35169"/>
    <w:rsid w:val="00D4505A"/>
    <w:rsid w:val="00D45986"/>
    <w:rsid w:val="00D511B7"/>
    <w:rsid w:val="00D52F5A"/>
    <w:rsid w:val="00D544E1"/>
    <w:rsid w:val="00D55146"/>
    <w:rsid w:val="00D63B0A"/>
    <w:rsid w:val="00D64940"/>
    <w:rsid w:val="00D64F00"/>
    <w:rsid w:val="00D674E6"/>
    <w:rsid w:val="00D707F2"/>
    <w:rsid w:val="00D76C2F"/>
    <w:rsid w:val="00D80959"/>
    <w:rsid w:val="00D85A4A"/>
    <w:rsid w:val="00D93B6F"/>
    <w:rsid w:val="00D94210"/>
    <w:rsid w:val="00D95698"/>
    <w:rsid w:val="00D969B9"/>
    <w:rsid w:val="00D97F41"/>
    <w:rsid w:val="00DA0E20"/>
    <w:rsid w:val="00DA0FFF"/>
    <w:rsid w:val="00DA3DD4"/>
    <w:rsid w:val="00DA4537"/>
    <w:rsid w:val="00DA67D7"/>
    <w:rsid w:val="00DA6EFB"/>
    <w:rsid w:val="00DB0AF4"/>
    <w:rsid w:val="00DB79B4"/>
    <w:rsid w:val="00DC2268"/>
    <w:rsid w:val="00DE6C66"/>
    <w:rsid w:val="00DF1DE4"/>
    <w:rsid w:val="00DF21A3"/>
    <w:rsid w:val="00DF5375"/>
    <w:rsid w:val="00DF59F2"/>
    <w:rsid w:val="00E03761"/>
    <w:rsid w:val="00E06E47"/>
    <w:rsid w:val="00E07283"/>
    <w:rsid w:val="00E14C2C"/>
    <w:rsid w:val="00E1738C"/>
    <w:rsid w:val="00E23E3E"/>
    <w:rsid w:val="00E31D25"/>
    <w:rsid w:val="00E322B5"/>
    <w:rsid w:val="00E330AB"/>
    <w:rsid w:val="00E37EEA"/>
    <w:rsid w:val="00E40407"/>
    <w:rsid w:val="00E41638"/>
    <w:rsid w:val="00E43826"/>
    <w:rsid w:val="00E5422F"/>
    <w:rsid w:val="00E57021"/>
    <w:rsid w:val="00E62079"/>
    <w:rsid w:val="00E62C7E"/>
    <w:rsid w:val="00E65828"/>
    <w:rsid w:val="00E72367"/>
    <w:rsid w:val="00E75D52"/>
    <w:rsid w:val="00E7659D"/>
    <w:rsid w:val="00E81108"/>
    <w:rsid w:val="00E836ED"/>
    <w:rsid w:val="00E91859"/>
    <w:rsid w:val="00E9293F"/>
    <w:rsid w:val="00E94037"/>
    <w:rsid w:val="00E94842"/>
    <w:rsid w:val="00E94B4B"/>
    <w:rsid w:val="00E94D6D"/>
    <w:rsid w:val="00E96FE2"/>
    <w:rsid w:val="00E9764C"/>
    <w:rsid w:val="00E97D2E"/>
    <w:rsid w:val="00EA4769"/>
    <w:rsid w:val="00EB380A"/>
    <w:rsid w:val="00EB46F7"/>
    <w:rsid w:val="00EB7E32"/>
    <w:rsid w:val="00EC3891"/>
    <w:rsid w:val="00EC5C12"/>
    <w:rsid w:val="00EC796C"/>
    <w:rsid w:val="00ED52D9"/>
    <w:rsid w:val="00ED54FD"/>
    <w:rsid w:val="00ED585A"/>
    <w:rsid w:val="00ED6BAD"/>
    <w:rsid w:val="00EE0A60"/>
    <w:rsid w:val="00EE3E47"/>
    <w:rsid w:val="00EE5470"/>
    <w:rsid w:val="00EE588B"/>
    <w:rsid w:val="00EF1686"/>
    <w:rsid w:val="00EF629E"/>
    <w:rsid w:val="00F00666"/>
    <w:rsid w:val="00F01A50"/>
    <w:rsid w:val="00F01F1F"/>
    <w:rsid w:val="00F02CAF"/>
    <w:rsid w:val="00F106F4"/>
    <w:rsid w:val="00F11DAE"/>
    <w:rsid w:val="00F13F90"/>
    <w:rsid w:val="00F158B9"/>
    <w:rsid w:val="00F15EF6"/>
    <w:rsid w:val="00F21902"/>
    <w:rsid w:val="00F21BE2"/>
    <w:rsid w:val="00F24231"/>
    <w:rsid w:val="00F30B90"/>
    <w:rsid w:val="00F31EEA"/>
    <w:rsid w:val="00F3346B"/>
    <w:rsid w:val="00F34525"/>
    <w:rsid w:val="00F3752B"/>
    <w:rsid w:val="00F377E1"/>
    <w:rsid w:val="00F43CDE"/>
    <w:rsid w:val="00F51182"/>
    <w:rsid w:val="00F55CB8"/>
    <w:rsid w:val="00F56DE5"/>
    <w:rsid w:val="00F61CA9"/>
    <w:rsid w:val="00F722D6"/>
    <w:rsid w:val="00F75AA3"/>
    <w:rsid w:val="00F772E3"/>
    <w:rsid w:val="00F832DC"/>
    <w:rsid w:val="00F92007"/>
    <w:rsid w:val="00F93D03"/>
    <w:rsid w:val="00FA1A62"/>
    <w:rsid w:val="00FA5BC4"/>
    <w:rsid w:val="00FA7075"/>
    <w:rsid w:val="00FB6A97"/>
    <w:rsid w:val="00FC31C0"/>
    <w:rsid w:val="00FC7885"/>
    <w:rsid w:val="00FD0B18"/>
    <w:rsid w:val="00FD0B8F"/>
    <w:rsid w:val="00FD0E89"/>
    <w:rsid w:val="00FD65B4"/>
    <w:rsid w:val="00FD76DB"/>
    <w:rsid w:val="00FD7F01"/>
    <w:rsid w:val="00FE4763"/>
    <w:rsid w:val="00FF251A"/>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2B89"/>
  <w15:chartTrackingRefBased/>
  <w15:docId w15:val="{10E4F1FE-F8AD-4EB1-9260-C3A66396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2E3"/>
    <w:pPr>
      <w:spacing w:after="0" w:line="240" w:lineRule="auto"/>
    </w:pPr>
    <w:rPr>
      <w:rFonts w:ascii="Times New Roman" w:eastAsia="Times New Roman" w:hAnsi="Times New Roman" w:cs="Times New Roman"/>
      <w:kern w:val="0"/>
      <w:sz w:val="24"/>
      <w:szCs w:val="24"/>
      <w:lang w:val="lt-LT"/>
      <w14:ligatures w14:val="none"/>
    </w:rPr>
  </w:style>
  <w:style w:type="paragraph" w:styleId="Antrat1">
    <w:name w:val="heading 1"/>
    <w:basedOn w:val="prastasis"/>
    <w:next w:val="prastasis"/>
    <w:link w:val="Antrat1Diagrama"/>
    <w:qFormat/>
    <w:rsid w:val="00F77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F77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F772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F772E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F772E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F772E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F772E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772E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F772E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772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772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772E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772E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772E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772E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772E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772E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772E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772E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772E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772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772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772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772E3"/>
    <w:rPr>
      <w:i/>
      <w:iCs/>
      <w:color w:val="404040" w:themeColor="text1" w:themeTint="BF"/>
    </w:rPr>
  </w:style>
  <w:style w:type="paragraph" w:styleId="Sraopastraipa">
    <w:name w:val="List Paragraph"/>
    <w:basedOn w:val="prastasis"/>
    <w:uiPriority w:val="34"/>
    <w:qFormat/>
    <w:rsid w:val="00F772E3"/>
    <w:pPr>
      <w:ind w:left="720"/>
      <w:contextualSpacing/>
    </w:pPr>
  </w:style>
  <w:style w:type="character" w:styleId="Rykuspabraukimas">
    <w:name w:val="Intense Emphasis"/>
    <w:basedOn w:val="Numatytasispastraiposriftas"/>
    <w:uiPriority w:val="21"/>
    <w:qFormat/>
    <w:rsid w:val="00F772E3"/>
    <w:rPr>
      <w:i/>
      <w:iCs/>
      <w:color w:val="0F4761" w:themeColor="accent1" w:themeShade="BF"/>
    </w:rPr>
  </w:style>
  <w:style w:type="paragraph" w:styleId="Iskirtacitata">
    <w:name w:val="Intense Quote"/>
    <w:basedOn w:val="prastasis"/>
    <w:next w:val="prastasis"/>
    <w:link w:val="IskirtacitataDiagrama"/>
    <w:uiPriority w:val="30"/>
    <w:qFormat/>
    <w:rsid w:val="00F77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772E3"/>
    <w:rPr>
      <w:i/>
      <w:iCs/>
      <w:color w:val="0F4761" w:themeColor="accent1" w:themeShade="BF"/>
    </w:rPr>
  </w:style>
  <w:style w:type="character" w:styleId="Rykinuoroda">
    <w:name w:val="Intense Reference"/>
    <w:basedOn w:val="Numatytasispastraiposriftas"/>
    <w:uiPriority w:val="32"/>
    <w:qFormat/>
    <w:rsid w:val="00F772E3"/>
    <w:rPr>
      <w:b/>
      <w:bCs/>
      <w:smallCaps/>
      <w:color w:val="0F4761" w:themeColor="accent1" w:themeShade="BF"/>
      <w:spacing w:val="5"/>
    </w:rPr>
  </w:style>
  <w:style w:type="character" w:styleId="Hipersaitas">
    <w:name w:val="Hyperlink"/>
    <w:rsid w:val="00F772E3"/>
    <w:rPr>
      <w:color w:val="0000FF"/>
      <w:u w:val="single"/>
    </w:rPr>
  </w:style>
  <w:style w:type="paragraph" w:styleId="Pagrindinistekstas">
    <w:name w:val="Body Text"/>
    <w:basedOn w:val="prastasis"/>
    <w:link w:val="PagrindinistekstasDiagrama"/>
    <w:rsid w:val="00F772E3"/>
    <w:pPr>
      <w:spacing w:after="120"/>
    </w:pPr>
    <w:rPr>
      <w:szCs w:val="20"/>
      <w:lang w:eastAsia="lt-LT"/>
    </w:rPr>
  </w:style>
  <w:style w:type="character" w:customStyle="1" w:styleId="PagrindinistekstasDiagrama">
    <w:name w:val="Pagrindinis tekstas Diagrama"/>
    <w:basedOn w:val="Numatytasispastraiposriftas"/>
    <w:link w:val="Pagrindinistekstas"/>
    <w:rsid w:val="00F772E3"/>
    <w:rPr>
      <w:rFonts w:ascii="Times New Roman" w:eastAsia="Times New Roman" w:hAnsi="Times New Roman" w:cs="Times New Roman"/>
      <w:kern w:val="0"/>
      <w:sz w:val="24"/>
      <w:szCs w:val="20"/>
      <w:lang w:val="lt-LT" w:eastAsia="lt-LT"/>
      <w14:ligatures w14:val="none"/>
    </w:rPr>
  </w:style>
  <w:style w:type="paragraph" w:customStyle="1" w:styleId="TEKSTAS">
    <w:name w:val="TEKSTAS"/>
    <w:basedOn w:val="prastasis"/>
    <w:rsid w:val="00F772E3"/>
    <w:pPr>
      <w:widowControl w:val="0"/>
      <w:overflowPunct w:val="0"/>
      <w:autoSpaceDE w:val="0"/>
      <w:autoSpaceDN w:val="0"/>
      <w:adjustRightInd w:val="0"/>
      <w:spacing w:before="60" w:after="60"/>
      <w:jc w:val="both"/>
      <w:textAlignment w:val="baseline"/>
    </w:pPr>
    <w:rPr>
      <w:szCs w:val="20"/>
      <w:lang w:val="en-GB"/>
    </w:rPr>
  </w:style>
  <w:style w:type="paragraph" w:styleId="Antrats">
    <w:name w:val="header"/>
    <w:basedOn w:val="prastasis"/>
    <w:link w:val="AntratsDiagrama"/>
    <w:rsid w:val="00F772E3"/>
    <w:pPr>
      <w:tabs>
        <w:tab w:val="center" w:pos="4819"/>
        <w:tab w:val="right" w:pos="9638"/>
      </w:tabs>
    </w:pPr>
  </w:style>
  <w:style w:type="character" w:customStyle="1" w:styleId="AntratsDiagrama">
    <w:name w:val="Antraštės Diagrama"/>
    <w:basedOn w:val="Numatytasispastraiposriftas"/>
    <w:link w:val="Antrats"/>
    <w:rsid w:val="00F772E3"/>
    <w:rPr>
      <w:rFonts w:ascii="Times New Roman" w:eastAsia="Times New Roman" w:hAnsi="Times New Roman" w:cs="Times New Roman"/>
      <w:kern w:val="0"/>
      <w:sz w:val="24"/>
      <w:szCs w:val="24"/>
      <w:lang w:val="lt-LT"/>
      <w14:ligatures w14:val="none"/>
    </w:rPr>
  </w:style>
  <w:style w:type="character" w:styleId="Puslapionumeris">
    <w:name w:val="page number"/>
    <w:basedOn w:val="Numatytasispastraiposriftas"/>
    <w:rsid w:val="00F772E3"/>
  </w:style>
  <w:style w:type="paragraph" w:customStyle="1" w:styleId="Hyperlink1">
    <w:name w:val="Hyperlink1"/>
    <w:rsid w:val="00F772E3"/>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styleId="Komentaronuoroda">
    <w:name w:val="annotation reference"/>
    <w:basedOn w:val="Numatytasispastraiposriftas"/>
    <w:uiPriority w:val="99"/>
    <w:semiHidden/>
    <w:unhideWhenUsed/>
    <w:rsid w:val="00B10708"/>
    <w:rPr>
      <w:sz w:val="16"/>
      <w:szCs w:val="16"/>
    </w:rPr>
  </w:style>
  <w:style w:type="paragraph" w:styleId="Komentarotekstas">
    <w:name w:val="annotation text"/>
    <w:basedOn w:val="prastasis"/>
    <w:link w:val="KomentarotekstasDiagrama"/>
    <w:uiPriority w:val="99"/>
    <w:unhideWhenUsed/>
    <w:rsid w:val="00B10708"/>
    <w:rPr>
      <w:sz w:val="20"/>
      <w:szCs w:val="20"/>
    </w:rPr>
  </w:style>
  <w:style w:type="character" w:customStyle="1" w:styleId="KomentarotekstasDiagrama">
    <w:name w:val="Komentaro tekstas Diagrama"/>
    <w:basedOn w:val="Numatytasispastraiposriftas"/>
    <w:link w:val="Komentarotekstas"/>
    <w:uiPriority w:val="99"/>
    <w:rsid w:val="00B10708"/>
    <w:rPr>
      <w:rFonts w:ascii="Times New Roman" w:eastAsia="Times New Roman" w:hAnsi="Times New Roman" w:cs="Times New Roman"/>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10708"/>
    <w:rPr>
      <w:b/>
      <w:bCs/>
    </w:rPr>
  </w:style>
  <w:style w:type="character" w:customStyle="1" w:styleId="KomentarotemaDiagrama">
    <w:name w:val="Komentaro tema Diagrama"/>
    <w:basedOn w:val="KomentarotekstasDiagrama"/>
    <w:link w:val="Komentarotema"/>
    <w:uiPriority w:val="99"/>
    <w:semiHidden/>
    <w:rsid w:val="00B10708"/>
    <w:rPr>
      <w:rFonts w:ascii="Times New Roman" w:eastAsia="Times New Roman" w:hAnsi="Times New Roman" w:cs="Times New Roman"/>
      <w:b/>
      <w:bCs/>
      <w:kern w:val="0"/>
      <w:sz w:val="20"/>
      <w:szCs w:val="20"/>
      <w:lang w:val="lt-LT"/>
      <w14:ligatures w14:val="none"/>
    </w:rPr>
  </w:style>
  <w:style w:type="character" w:styleId="Neapdorotaspaminjimas">
    <w:name w:val="Unresolved Mention"/>
    <w:basedOn w:val="Numatytasispastraiposriftas"/>
    <w:uiPriority w:val="99"/>
    <w:semiHidden/>
    <w:unhideWhenUsed/>
    <w:rsid w:val="00BC20B0"/>
    <w:rPr>
      <w:color w:val="605E5C"/>
      <w:shd w:val="clear" w:color="auto" w:fill="E1DFDD"/>
    </w:rPr>
  </w:style>
  <w:style w:type="paragraph" w:styleId="Puslapioinaostekstas">
    <w:name w:val="footnote text"/>
    <w:basedOn w:val="prastasis"/>
    <w:link w:val="PuslapioinaostekstasDiagrama"/>
    <w:uiPriority w:val="99"/>
    <w:semiHidden/>
    <w:unhideWhenUsed/>
    <w:rsid w:val="00AE7918"/>
    <w:rPr>
      <w:sz w:val="20"/>
      <w:szCs w:val="20"/>
    </w:rPr>
  </w:style>
  <w:style w:type="character" w:customStyle="1" w:styleId="PuslapioinaostekstasDiagrama">
    <w:name w:val="Puslapio išnašos tekstas Diagrama"/>
    <w:basedOn w:val="Numatytasispastraiposriftas"/>
    <w:link w:val="Puslapioinaostekstas"/>
    <w:uiPriority w:val="99"/>
    <w:semiHidden/>
    <w:rsid w:val="00AE7918"/>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uiPriority w:val="99"/>
    <w:semiHidden/>
    <w:unhideWhenUsed/>
    <w:rsid w:val="00AE7918"/>
    <w:rPr>
      <w:vertAlign w:val="superscript"/>
    </w:rPr>
  </w:style>
  <w:style w:type="paragraph" w:customStyle="1" w:styleId="Numeravimas11">
    <w:name w:val="Numeravimas 1.1."/>
    <w:basedOn w:val="prastasis"/>
    <w:qFormat/>
    <w:rsid w:val="00EF1686"/>
    <w:pPr>
      <w:jc w:val="both"/>
    </w:pPr>
    <w:rPr>
      <w:snapToGrid w:val="0"/>
      <w:szCs w:val="20"/>
      <w:lang w:val="en-US"/>
    </w:rPr>
  </w:style>
  <w:style w:type="paragraph" w:styleId="Pataisymai">
    <w:name w:val="Revision"/>
    <w:hidden/>
    <w:uiPriority w:val="99"/>
    <w:semiHidden/>
    <w:rsid w:val="00747348"/>
    <w:pPr>
      <w:spacing w:after="0" w:line="240" w:lineRule="auto"/>
    </w:pPr>
    <w:rPr>
      <w:rFonts w:ascii="Times New Roman" w:eastAsia="Times New Roman" w:hAnsi="Times New Roman" w:cs="Times New Roman"/>
      <w:kern w:val="0"/>
      <w:sz w:val="24"/>
      <w:szCs w:val="24"/>
      <w:lang w:val="lt-LT"/>
      <w14:ligatures w14:val="none"/>
    </w:rPr>
  </w:style>
  <w:style w:type="paragraph" w:styleId="Porat">
    <w:name w:val="footer"/>
    <w:basedOn w:val="prastasis"/>
    <w:link w:val="PoratDiagrama"/>
    <w:uiPriority w:val="99"/>
    <w:unhideWhenUsed/>
    <w:rsid w:val="000D7A18"/>
    <w:pPr>
      <w:tabs>
        <w:tab w:val="center" w:pos="4819"/>
        <w:tab w:val="right" w:pos="9638"/>
      </w:tabs>
    </w:pPr>
  </w:style>
  <w:style w:type="character" w:customStyle="1" w:styleId="PoratDiagrama">
    <w:name w:val="Poraštė Diagrama"/>
    <w:basedOn w:val="Numatytasispastraiposriftas"/>
    <w:link w:val="Porat"/>
    <w:uiPriority w:val="99"/>
    <w:rsid w:val="000D7A18"/>
    <w:rPr>
      <w:rFonts w:ascii="Times New Roman" w:eastAsia="Times New Roman" w:hAnsi="Times New Roman" w:cs="Times New Roman"/>
      <w:kern w:val="0"/>
      <w:sz w:val="24"/>
      <w:szCs w:val="24"/>
      <w:lang w:val="lt-LT"/>
      <w14:ligatures w14:val="none"/>
    </w:rPr>
  </w:style>
  <w:style w:type="table" w:styleId="Lentelstinklelis">
    <w:name w:val="Table Grid"/>
    <w:basedOn w:val="prastojilentel"/>
    <w:uiPriority w:val="99"/>
    <w:rsid w:val="000D7A18"/>
    <w:pPr>
      <w:spacing w:after="0" w:line="240" w:lineRule="auto"/>
      <w:jc w:val="both"/>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c.europa.eu/regional_policy/en/policy/evaluations/guidance/" TargetMode="External"/><Relationship Id="rId18" Type="http://schemas.openxmlformats.org/officeDocument/2006/relationships/hyperlink" Target="https://www.esinvesticijos.lt/" TargetMode="External"/><Relationship Id="rId26" Type="http://schemas.openxmlformats.org/officeDocument/2006/relationships/hyperlink" Target="https://tauragesregionas.lt/planavimo-dokumentai/regiono-pletros-planas-2022-2030-m/" TargetMode="External"/><Relationship Id="rId3" Type="http://schemas.openxmlformats.org/officeDocument/2006/relationships/styles" Target="styles.xml"/><Relationship Id="rId21" Type="http://schemas.openxmlformats.org/officeDocument/2006/relationships/hyperlink" Target="https://kaunoregionas.lt/regiono-pletra/2022-2030-m-regiono-pletros-plana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2014.esinvesticijos.lt/lt//rezultatai-ir-statistika/es_panaudojamumo_vertinimas" TargetMode="External"/><Relationship Id="rId17" Type="http://schemas.openxmlformats.org/officeDocument/2006/relationships/hyperlink" Target="https://2014.esinvesticijos.lt/lt/dokumentai//es-fondu-investiciju-vertinimo-metodines-gaires" TargetMode="External"/><Relationship Id="rId25" Type="http://schemas.openxmlformats.org/officeDocument/2006/relationships/hyperlink" Target="https://siauliuregionas.lt/regiono-pletra-2/veiklos-srit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2014.esinvesticijos.lt/lt/dokumentai/es-strukturines-paramos-vertinimas-metodines-gaires-2010" TargetMode="External"/><Relationship Id="rId20" Type="http://schemas.openxmlformats.org/officeDocument/2006/relationships/hyperlink" Target="https://alytausregionas.lt/veikla/planavimo-ir-igyvendinimo-dokumentai/" TargetMode="External"/><Relationship Id="rId29" Type="http://schemas.openxmlformats.org/officeDocument/2006/relationships/hyperlink" Target="https://vilniausregionas.lt/regionas/regiono-pletros-plan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rm.lrv.lt/lt/veiklos-sritys/regionu-pletra/regionu-pletros-planai/patvirtinti-regionu-pletros-planai/" TargetMode="External"/><Relationship Id="rId24" Type="http://schemas.openxmlformats.org/officeDocument/2006/relationships/hyperlink" Target="https://panevezioregionas.lt/regiono-pletra/regiono-pletros-planas/"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c.europa.eu/regional_policy/sources/docgener/evaluation/guide/guide_evalsed.pdf" TargetMode="External"/><Relationship Id="rId23" Type="http://schemas.openxmlformats.org/officeDocument/2006/relationships/hyperlink" Target="https://marijampolesregionas.lt/planavimo-dokumentai/regiono-pletros-planas/" TargetMode="External"/><Relationship Id="rId28" Type="http://schemas.openxmlformats.org/officeDocument/2006/relationships/hyperlink" Target="https://utenosregionas.lt/regiono-pletra/2022-2030-pl/" TargetMode="External"/><Relationship Id="rId10" Type="http://schemas.openxmlformats.org/officeDocument/2006/relationships/hyperlink" Target="https://vrm.lrv.lt/lt/veiklos-sritys/regionu-pletra/regionu-pletros-planai/teises-aktai-5/" TargetMode="External"/><Relationship Id="rId19" Type="http://schemas.openxmlformats.org/officeDocument/2006/relationships/hyperlink" Target="https://vrm.lrv.lt/lt/veiklos-sritys/regionu-pletra/regionu-pletros-programa/"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2014.esinvesticijos.lt/lt/leidiniai?page=3" TargetMode="External"/><Relationship Id="rId14" Type="http://schemas.openxmlformats.org/officeDocument/2006/relationships/hyperlink" Target="http://ec.europa.eu/social/keyDocuments.jsp?advSearchKey=evaluation+guidlines&amp;mode=advancedSubmit&amp;langId=en&amp;search.x=21&amp;search.y=14" TargetMode="External"/><Relationship Id="rId22" Type="http://schemas.openxmlformats.org/officeDocument/2006/relationships/hyperlink" Target="https://klaipedosregionas.lt/tarybos-veikla/regiono-pletra/regiono-petros-planas/" TargetMode="External"/><Relationship Id="rId27" Type="http://schemas.openxmlformats.org/officeDocument/2006/relationships/hyperlink" Target="https://telsiuregionas.lt/tarybos-veikla/regiono-pletra/" TargetMode="External"/><Relationship Id="rId30" Type="http://schemas.openxmlformats.org/officeDocument/2006/relationships/header" Target="header1.xml"/><Relationship Id="rId8" Type="http://schemas.openxmlformats.org/officeDocument/2006/relationships/hyperlink" Target="https://2014.esinvesticijos.lt/lt/dokumentai/vertinimo-ataskaitu-rengimo-stiliaus-vadov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alstybeskontrole.lt/LT/Product/All?v=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144EA-FCF3-4F06-A5FF-C21D4E44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15787</Words>
  <Characters>9000</Characters>
  <Application>Microsoft Office Word</Application>
  <DocSecurity>0</DocSecurity>
  <Lines>75</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Šarkauskaitė</dc:creator>
  <cp:lastModifiedBy>Rasa Malijauskienė</cp:lastModifiedBy>
  <cp:revision>16</cp:revision>
  <dcterms:created xsi:type="dcterms:W3CDTF">2025-01-09T14:09:00Z</dcterms:created>
  <dcterms:modified xsi:type="dcterms:W3CDTF">2025-01-16T11:58:00Z</dcterms:modified>
</cp:coreProperties>
</file>