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3302" w14:textId="77777777" w:rsidR="00E2169B" w:rsidRDefault="00E2169B" w:rsidP="00E2169B">
      <w:pPr>
        <w:jc w:val="right"/>
        <w:rPr>
          <w:rFonts w:eastAsia="Arial Unicode MS" w:cs="Arial Unicode MS"/>
          <w:bCs/>
          <w:sz w:val="24"/>
          <w:szCs w:val="24"/>
          <w:lang w:val="lt-LT" w:eastAsia="lt-LT"/>
        </w:rPr>
      </w:pPr>
      <w:r w:rsidRPr="00E2169B">
        <w:rPr>
          <w:rFonts w:eastAsia="Arial Unicode MS" w:cs="Arial Unicode MS"/>
          <w:bCs/>
          <w:sz w:val="24"/>
          <w:szCs w:val="24"/>
          <w:lang w:val="lt-LT" w:eastAsia="lt-LT"/>
        </w:rPr>
        <w:t>Pirkimo sąlygų 4 priedas „Pasiūlymo forma“</w:t>
      </w:r>
    </w:p>
    <w:p w14:paraId="2661D33E" w14:textId="77777777" w:rsidR="00E2169B" w:rsidRDefault="00E2169B" w:rsidP="009A4FC4">
      <w:pPr>
        <w:jc w:val="center"/>
        <w:rPr>
          <w:rFonts w:eastAsia="Arial Unicode MS" w:cs="Arial Unicode MS"/>
          <w:bCs/>
          <w:sz w:val="24"/>
          <w:szCs w:val="24"/>
          <w:lang w:val="lt-LT" w:eastAsia="lt-LT"/>
        </w:rPr>
      </w:pPr>
    </w:p>
    <w:p w14:paraId="063B8707" w14:textId="77777777" w:rsidR="00EE0A4D" w:rsidRDefault="00EE0A4D" w:rsidP="009A4FC4">
      <w:pPr>
        <w:jc w:val="center"/>
        <w:rPr>
          <w:sz w:val="18"/>
          <w:szCs w:val="18"/>
          <w:lang w:val="lt-LT"/>
        </w:rPr>
      </w:pPr>
    </w:p>
    <w:p w14:paraId="27F2E542" w14:textId="6A70D8D6"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1FAAF3DF" w14:textId="77777777" w:rsidR="00F23718" w:rsidRDefault="00F23718" w:rsidP="000D294F">
      <w:pPr>
        <w:jc w:val="center"/>
        <w:rPr>
          <w:b/>
          <w:sz w:val="24"/>
          <w:szCs w:val="32"/>
        </w:rPr>
      </w:pPr>
    </w:p>
    <w:p w14:paraId="3C4AA225" w14:textId="2CED1E2A" w:rsidR="000D294F" w:rsidRPr="000D294F" w:rsidRDefault="000D294F" w:rsidP="000D294F">
      <w:pPr>
        <w:jc w:val="center"/>
        <w:rPr>
          <w:b/>
          <w:sz w:val="24"/>
          <w:szCs w:val="32"/>
        </w:rPr>
      </w:pPr>
      <w:r w:rsidRPr="000D294F">
        <w:rPr>
          <w:b/>
          <w:sz w:val="24"/>
          <w:szCs w:val="32"/>
        </w:rPr>
        <w:t>PASIŪLYMAS</w:t>
      </w:r>
    </w:p>
    <w:p w14:paraId="6E905AB6" w14:textId="77777777" w:rsidR="006D21E3" w:rsidRDefault="000D294F" w:rsidP="00B0476D">
      <w:pPr>
        <w:widowControl w:val="0"/>
        <w:jc w:val="center"/>
        <w:rPr>
          <w:b/>
          <w:bCs/>
          <w:color w:val="000000"/>
          <w:sz w:val="24"/>
          <w:szCs w:val="32"/>
          <w:lang w:eastAsia="lt-LT"/>
        </w:rPr>
      </w:pPr>
      <w:r w:rsidRPr="000D294F">
        <w:rPr>
          <w:b/>
          <w:bCs/>
          <w:color w:val="000000"/>
          <w:sz w:val="24"/>
          <w:szCs w:val="32"/>
          <w:lang w:eastAsia="lt-LT"/>
        </w:rPr>
        <w:t xml:space="preserve">DĖL </w:t>
      </w:r>
      <w:r w:rsidR="00B0476D">
        <w:rPr>
          <w:b/>
          <w:bCs/>
          <w:color w:val="000000"/>
          <w:sz w:val="24"/>
          <w:szCs w:val="32"/>
          <w:lang w:eastAsia="lt-LT"/>
        </w:rPr>
        <w:t xml:space="preserve">KAZLŲ RŪDOS </w:t>
      </w:r>
      <w:r w:rsidR="006D21E3">
        <w:rPr>
          <w:b/>
          <w:bCs/>
          <w:color w:val="000000"/>
          <w:sz w:val="24"/>
          <w:szCs w:val="32"/>
          <w:lang w:eastAsia="lt-LT"/>
        </w:rPr>
        <w:t xml:space="preserve">JURGIO DOVYDAIČIO VIEŠOSIOS BIBLIOTEKOS </w:t>
      </w:r>
    </w:p>
    <w:p w14:paraId="163B29B4" w14:textId="16880F6E" w:rsidR="000D294F" w:rsidRPr="000D294F" w:rsidRDefault="006D21E3" w:rsidP="00B0476D">
      <w:pPr>
        <w:widowControl w:val="0"/>
        <w:jc w:val="center"/>
        <w:rPr>
          <w:b/>
          <w:caps/>
          <w:spacing w:val="-4"/>
          <w:sz w:val="36"/>
          <w:szCs w:val="36"/>
        </w:rPr>
      </w:pPr>
      <w:r>
        <w:rPr>
          <w:b/>
          <w:bCs/>
          <w:color w:val="000000"/>
          <w:sz w:val="24"/>
          <w:szCs w:val="32"/>
          <w:lang w:eastAsia="lt-LT"/>
        </w:rPr>
        <w:t xml:space="preserve">(VYTAUTO G. </w:t>
      </w:r>
      <w:r w:rsidR="00B0476D">
        <w:rPr>
          <w:b/>
          <w:bCs/>
          <w:color w:val="000000"/>
          <w:sz w:val="24"/>
          <w:szCs w:val="32"/>
          <w:lang w:eastAsia="lt-LT"/>
        </w:rPr>
        <w:t xml:space="preserve"> </w:t>
      </w:r>
      <w:r>
        <w:rPr>
          <w:b/>
          <w:bCs/>
          <w:color w:val="000000"/>
          <w:sz w:val="24"/>
          <w:szCs w:val="32"/>
          <w:lang w:eastAsia="lt-LT"/>
        </w:rPr>
        <w:t xml:space="preserve">21, KAZLŲ RŪDA) </w:t>
      </w:r>
      <w:r w:rsidR="00B0476D">
        <w:rPr>
          <w:b/>
          <w:bCs/>
          <w:color w:val="000000"/>
          <w:sz w:val="24"/>
          <w:szCs w:val="32"/>
          <w:lang w:eastAsia="lt-LT"/>
        </w:rPr>
        <w:t>PATALP</w:t>
      </w:r>
      <w:r w:rsidR="002A6DA8">
        <w:rPr>
          <w:b/>
          <w:bCs/>
          <w:color w:val="000000"/>
          <w:sz w:val="24"/>
          <w:szCs w:val="32"/>
          <w:lang w:eastAsia="lt-LT"/>
        </w:rPr>
        <w:t>Ų</w:t>
      </w:r>
      <w:r w:rsidR="00B0476D">
        <w:rPr>
          <w:b/>
          <w:bCs/>
          <w:color w:val="000000"/>
          <w:sz w:val="24"/>
          <w:szCs w:val="32"/>
          <w:lang w:eastAsia="lt-LT"/>
        </w:rPr>
        <w:t xml:space="preserve"> REMONTO DARBŲ PIRKIMO</w:t>
      </w:r>
    </w:p>
    <w:p w14:paraId="6D06EBCC" w14:textId="0E283501"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Default="00171B55" w:rsidP="00901430">
      <w:pPr>
        <w:tabs>
          <w:tab w:val="left" w:pos="1080"/>
        </w:tabs>
        <w:ind w:firstLine="720"/>
        <w:jc w:val="both"/>
        <w:rPr>
          <w:sz w:val="22"/>
          <w:szCs w:val="22"/>
          <w:lang w:val="lt-LT" w:eastAsia="lt-LT"/>
        </w:rPr>
      </w:pPr>
    </w:p>
    <w:p w14:paraId="66C10935" w14:textId="77777777" w:rsidR="00197CDB" w:rsidRPr="00901430" w:rsidRDefault="00197CDB"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29CBB60B" w14:textId="0CCC9182" w:rsidR="004F20FB" w:rsidRPr="00BB00F2" w:rsidRDefault="004F20FB" w:rsidP="00745E97">
      <w:pPr>
        <w:jc w:val="both"/>
        <w:rPr>
          <w:sz w:val="24"/>
          <w:szCs w:val="24"/>
          <w:lang w:val="lt-LT" w:eastAsia="lt-LT"/>
        </w:rPr>
      </w:pP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77777777" w:rsidR="00427538" w:rsidRPr="00165085" w:rsidRDefault="00427538" w:rsidP="00165085">
            <w:pPr>
              <w:rPr>
                <w:sz w:val="24"/>
                <w:szCs w:val="32"/>
                <w:lang w:val="lt-LT"/>
              </w:rPr>
            </w:pPr>
            <w:r w:rsidRPr="00165085">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7777777" w:rsidR="00427538" w:rsidRPr="00165085" w:rsidRDefault="00427538" w:rsidP="00165085">
            <w:pPr>
              <w:rPr>
                <w:sz w:val="24"/>
                <w:szCs w:val="32"/>
                <w:lang w:val="lt-LT"/>
              </w:rPr>
            </w:pPr>
            <w:r w:rsidRPr="00165085">
              <w:rPr>
                <w:sz w:val="24"/>
                <w:szCs w:val="32"/>
                <w:lang w:val="lt-LT"/>
              </w:rPr>
              <w:t>Kaina, EUR su PVM</w:t>
            </w:r>
          </w:p>
        </w:tc>
      </w:tr>
      <w:tr w:rsidR="00BB5970" w:rsidRPr="00165085" w14:paraId="7E821C5D" w14:textId="77777777" w:rsidTr="00197CDB">
        <w:trPr>
          <w:trHeight w:val="568"/>
        </w:trPr>
        <w:tc>
          <w:tcPr>
            <w:tcW w:w="644" w:type="dxa"/>
            <w:tcBorders>
              <w:top w:val="single" w:sz="4" w:space="0" w:color="auto"/>
              <w:left w:val="single" w:sz="4" w:space="0" w:color="auto"/>
              <w:bottom w:val="single" w:sz="4" w:space="0" w:color="auto"/>
              <w:right w:val="nil"/>
            </w:tcBorders>
          </w:tcPr>
          <w:p w14:paraId="2D289426" w14:textId="50A773CE" w:rsidR="00BB5970" w:rsidRPr="00165085" w:rsidRDefault="00BB5970" w:rsidP="00165085">
            <w:pPr>
              <w:jc w:val="both"/>
              <w:rPr>
                <w:sz w:val="24"/>
                <w:szCs w:val="32"/>
                <w:lang w:val="lt-LT"/>
              </w:rPr>
            </w:pPr>
            <w:r>
              <w:rPr>
                <w:sz w:val="24"/>
                <w:szCs w:val="32"/>
                <w:lang w:val="lt-LT"/>
              </w:rPr>
              <w:t>1.</w:t>
            </w:r>
          </w:p>
        </w:tc>
        <w:tc>
          <w:tcPr>
            <w:tcW w:w="5156" w:type="dxa"/>
            <w:tcBorders>
              <w:top w:val="single" w:sz="4" w:space="0" w:color="auto"/>
              <w:left w:val="single" w:sz="2" w:space="0" w:color="000000"/>
              <w:bottom w:val="single" w:sz="4" w:space="0" w:color="auto"/>
              <w:right w:val="nil"/>
            </w:tcBorders>
          </w:tcPr>
          <w:p w14:paraId="08C843A9" w14:textId="3A723841" w:rsidR="00BB5970" w:rsidRPr="00165085" w:rsidRDefault="00BB5970" w:rsidP="00165085">
            <w:pPr>
              <w:jc w:val="both"/>
              <w:rPr>
                <w:noProof/>
                <w:sz w:val="24"/>
                <w:szCs w:val="32"/>
                <w:lang w:val="lt-LT"/>
              </w:rPr>
            </w:pPr>
            <w:r>
              <w:rPr>
                <w:noProof/>
                <w:sz w:val="24"/>
                <w:szCs w:val="32"/>
              </w:rPr>
              <w:t>P</w:t>
            </w:r>
            <w:r w:rsidRPr="00BB5970">
              <w:rPr>
                <w:noProof/>
                <w:sz w:val="24"/>
                <w:szCs w:val="32"/>
              </w:rPr>
              <w:t>aprastojo remonto aprašo parengim</w:t>
            </w:r>
            <w:r>
              <w:rPr>
                <w:noProof/>
                <w:sz w:val="24"/>
                <w:szCs w:val="32"/>
              </w:rPr>
              <w:t>as</w:t>
            </w:r>
          </w:p>
        </w:tc>
        <w:tc>
          <w:tcPr>
            <w:tcW w:w="1194" w:type="dxa"/>
            <w:tcBorders>
              <w:top w:val="single" w:sz="4" w:space="0" w:color="auto"/>
              <w:left w:val="single" w:sz="2" w:space="0" w:color="000000"/>
              <w:bottom w:val="single" w:sz="4" w:space="0" w:color="auto"/>
              <w:right w:val="single" w:sz="4" w:space="0" w:color="auto"/>
            </w:tcBorders>
          </w:tcPr>
          <w:p w14:paraId="05D8534F" w14:textId="77777777" w:rsidR="00BB5970" w:rsidRPr="00165085" w:rsidRDefault="00BB5970" w:rsidP="00165085">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5700B7EB" w14:textId="77777777" w:rsidR="00BB5970" w:rsidRPr="00165085" w:rsidRDefault="00BB5970" w:rsidP="00165085">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519C9161" w14:textId="77777777" w:rsidR="00BB5970" w:rsidRPr="00165085" w:rsidRDefault="00BB5970" w:rsidP="00165085">
            <w:pPr>
              <w:rPr>
                <w:sz w:val="24"/>
                <w:szCs w:val="32"/>
                <w:lang w:val="lt-LT"/>
              </w:rPr>
            </w:pPr>
          </w:p>
        </w:tc>
      </w:tr>
      <w:tr w:rsidR="00427538" w:rsidRPr="00165085" w14:paraId="2CB7C089" w14:textId="77777777" w:rsidTr="00116E40">
        <w:trPr>
          <w:trHeight w:val="391"/>
        </w:trPr>
        <w:tc>
          <w:tcPr>
            <w:tcW w:w="644" w:type="dxa"/>
            <w:tcBorders>
              <w:top w:val="single" w:sz="4" w:space="0" w:color="auto"/>
              <w:left w:val="single" w:sz="4" w:space="0" w:color="auto"/>
              <w:bottom w:val="single" w:sz="4" w:space="0" w:color="auto"/>
              <w:right w:val="nil"/>
            </w:tcBorders>
            <w:hideMark/>
          </w:tcPr>
          <w:p w14:paraId="52E1B9B8" w14:textId="4916E597" w:rsidR="00427538" w:rsidRPr="00165085" w:rsidRDefault="00BB5970" w:rsidP="00165085">
            <w:pPr>
              <w:jc w:val="both"/>
              <w:rPr>
                <w:sz w:val="24"/>
                <w:szCs w:val="32"/>
                <w:lang w:val="lt-LT"/>
              </w:rPr>
            </w:pPr>
            <w:r>
              <w:rPr>
                <w:sz w:val="24"/>
                <w:szCs w:val="32"/>
                <w:lang w:val="lt-LT"/>
              </w:rPr>
              <w:lastRenderedPageBreak/>
              <w:t>2</w:t>
            </w:r>
            <w:r w:rsidR="00427538" w:rsidRPr="00165085">
              <w:rPr>
                <w:sz w:val="24"/>
                <w:szCs w:val="32"/>
                <w:lang w:val="lt-LT"/>
              </w:rPr>
              <w:t>.</w:t>
            </w:r>
          </w:p>
        </w:tc>
        <w:tc>
          <w:tcPr>
            <w:tcW w:w="5156" w:type="dxa"/>
            <w:tcBorders>
              <w:top w:val="single" w:sz="4" w:space="0" w:color="auto"/>
              <w:left w:val="single" w:sz="2" w:space="0" w:color="000000"/>
              <w:bottom w:val="single" w:sz="4" w:space="0" w:color="auto"/>
              <w:right w:val="nil"/>
            </w:tcBorders>
          </w:tcPr>
          <w:p w14:paraId="389EB1B8" w14:textId="0B0EEBDB" w:rsidR="00B0476D" w:rsidRPr="00B0476D" w:rsidRDefault="006D21E3" w:rsidP="00197CDB">
            <w:pPr>
              <w:rPr>
                <w:sz w:val="24"/>
                <w:szCs w:val="24"/>
                <w:lang w:val="lt-LT"/>
              </w:rPr>
            </w:pPr>
            <w:r w:rsidRPr="006D21E3">
              <w:rPr>
                <w:rFonts w:cstheme="minorHAnsi"/>
                <w:noProof/>
                <w:sz w:val="24"/>
                <w:szCs w:val="24"/>
                <w:lang w:val="lt-LT"/>
              </w:rPr>
              <w:t>Kazlų Rūdos Jurgio Dovydaičio viešosios bibliotekos (Vytauto g. 21, Kazlų Rūda) patalpų remonto darbai</w:t>
            </w:r>
            <w:r w:rsidRPr="006D21E3">
              <w:rPr>
                <w:rFonts w:cstheme="minorHAnsi"/>
                <w:noProof/>
                <w:sz w:val="24"/>
                <w:szCs w:val="24"/>
                <w:lang w:val="lt-LT"/>
              </w:rPr>
              <w:t xml:space="preserve"> </w:t>
            </w:r>
          </w:p>
        </w:tc>
        <w:tc>
          <w:tcPr>
            <w:tcW w:w="1194" w:type="dxa"/>
            <w:tcBorders>
              <w:top w:val="single" w:sz="4" w:space="0" w:color="auto"/>
              <w:left w:val="single" w:sz="2" w:space="0" w:color="000000"/>
              <w:bottom w:val="single" w:sz="4" w:space="0" w:color="auto"/>
              <w:right w:val="single" w:sz="4" w:space="0" w:color="auto"/>
            </w:tcBorders>
          </w:tcPr>
          <w:p w14:paraId="3B14AC92" w14:textId="77777777" w:rsidR="00427538" w:rsidRPr="00165085" w:rsidRDefault="00427538"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32D36E1" w14:textId="77777777" w:rsidR="00427538" w:rsidRPr="00165085" w:rsidRDefault="00427538"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89F276A" w14:textId="77777777" w:rsidR="00427538" w:rsidRPr="00165085" w:rsidRDefault="00427538" w:rsidP="00165085">
            <w:pPr>
              <w:jc w:val="both"/>
              <w:rPr>
                <w:sz w:val="24"/>
                <w:szCs w:val="32"/>
                <w:lang w:val="lt-LT"/>
              </w:rPr>
            </w:pPr>
          </w:p>
        </w:tc>
      </w:tr>
      <w:tr w:rsidR="00BB5970" w:rsidRPr="00165085" w14:paraId="4F4C6A97" w14:textId="77777777" w:rsidTr="00197CDB">
        <w:trPr>
          <w:trHeight w:val="709"/>
        </w:trPr>
        <w:tc>
          <w:tcPr>
            <w:tcW w:w="644" w:type="dxa"/>
            <w:tcBorders>
              <w:top w:val="single" w:sz="4" w:space="0" w:color="auto"/>
              <w:left w:val="single" w:sz="4" w:space="0" w:color="auto"/>
              <w:bottom w:val="single" w:sz="4" w:space="0" w:color="auto"/>
              <w:right w:val="nil"/>
            </w:tcBorders>
          </w:tcPr>
          <w:p w14:paraId="2A09DA39" w14:textId="77777777" w:rsidR="00BB5970" w:rsidRDefault="00BB5970" w:rsidP="00165085">
            <w:pPr>
              <w:jc w:val="both"/>
              <w:rPr>
                <w:sz w:val="24"/>
                <w:szCs w:val="32"/>
                <w:lang w:val="lt-LT"/>
              </w:rPr>
            </w:pPr>
          </w:p>
        </w:tc>
        <w:tc>
          <w:tcPr>
            <w:tcW w:w="5156" w:type="dxa"/>
            <w:tcBorders>
              <w:top w:val="single" w:sz="4" w:space="0" w:color="auto"/>
              <w:left w:val="single" w:sz="2" w:space="0" w:color="000000"/>
              <w:bottom w:val="single" w:sz="4" w:space="0" w:color="auto"/>
              <w:right w:val="nil"/>
            </w:tcBorders>
          </w:tcPr>
          <w:p w14:paraId="7D932D4A" w14:textId="77777777" w:rsidR="00197CDB" w:rsidRDefault="00197CDB" w:rsidP="00BB5970">
            <w:pPr>
              <w:jc w:val="right"/>
              <w:rPr>
                <w:rFonts w:cstheme="minorHAnsi"/>
                <w:b/>
                <w:bCs/>
                <w:noProof/>
                <w:sz w:val="24"/>
                <w:szCs w:val="24"/>
                <w:lang w:val="lt-LT"/>
              </w:rPr>
            </w:pPr>
          </w:p>
          <w:p w14:paraId="5705987E" w14:textId="30210395" w:rsidR="00BB5970" w:rsidRPr="00BB5970" w:rsidRDefault="00BB5970" w:rsidP="00BB5970">
            <w:pPr>
              <w:jc w:val="right"/>
              <w:rPr>
                <w:rFonts w:cstheme="minorHAnsi"/>
                <w:b/>
                <w:bCs/>
                <w:noProof/>
                <w:sz w:val="24"/>
                <w:szCs w:val="24"/>
                <w:lang w:val="lt-LT"/>
              </w:rPr>
            </w:pPr>
            <w:r w:rsidRPr="00BB5970">
              <w:rPr>
                <w:rFonts w:cstheme="minorHAnsi"/>
                <w:b/>
                <w:bCs/>
                <w:noProof/>
                <w:sz w:val="24"/>
                <w:szCs w:val="24"/>
                <w:lang w:val="lt-LT"/>
              </w:rPr>
              <w:t>Viso:</w:t>
            </w:r>
          </w:p>
        </w:tc>
        <w:tc>
          <w:tcPr>
            <w:tcW w:w="1194" w:type="dxa"/>
            <w:tcBorders>
              <w:top w:val="single" w:sz="4" w:space="0" w:color="auto"/>
              <w:left w:val="single" w:sz="2" w:space="0" w:color="000000"/>
              <w:bottom w:val="single" w:sz="4" w:space="0" w:color="auto"/>
              <w:right w:val="single" w:sz="4" w:space="0" w:color="auto"/>
            </w:tcBorders>
          </w:tcPr>
          <w:p w14:paraId="0CB8072C" w14:textId="77777777" w:rsidR="00BB5970" w:rsidRPr="00165085" w:rsidRDefault="00BB5970"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0AF7DDF5" w14:textId="77777777" w:rsidR="00BB5970" w:rsidRPr="00165085" w:rsidRDefault="00BB5970"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620AB19B" w14:textId="77777777" w:rsidR="00BB5970" w:rsidRPr="00165085" w:rsidRDefault="00BB5970" w:rsidP="00165085">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60E18C07"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00B74DF8">
        <w:rPr>
          <w:rFonts w:eastAsia="Calibri"/>
          <w:sz w:val="24"/>
          <w:szCs w:val="24"/>
          <w:lang w:val="lt-LT"/>
        </w:rPr>
        <w:t>21</w:t>
      </w:r>
      <w:r w:rsidRPr="004440CB">
        <w:rPr>
          <w:rFonts w:eastAsia="Calibri"/>
          <w:sz w:val="24"/>
          <w:szCs w:val="24"/>
          <w:lang w:val="lt-LT"/>
        </w:rPr>
        <w:t xml:space="preserve">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6CC5F22C"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os 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257B4F9E" w:rsidR="004440CB" w:rsidRPr="004440CB" w:rsidRDefault="004440CB" w:rsidP="004440CB">
      <w:pPr>
        <w:ind w:firstLine="720"/>
        <w:jc w:val="both"/>
        <w:rPr>
          <w:sz w:val="24"/>
          <w:szCs w:val="24"/>
          <w:lang w:val="lt-LT" w:eastAsia="lt-LT"/>
        </w:rPr>
      </w:pPr>
      <w:r w:rsidRPr="004440CB">
        <w:rPr>
          <w:sz w:val="24"/>
          <w:szCs w:val="24"/>
          <w:lang w:val="lt-LT" w:eastAsia="lt-LT"/>
        </w:rPr>
        <w:t>Siūlom</w:t>
      </w:r>
      <w:r w:rsidR="00F87CE0">
        <w:rPr>
          <w:sz w:val="24"/>
          <w:szCs w:val="24"/>
          <w:lang w:val="lt-LT" w:eastAsia="lt-LT"/>
        </w:rPr>
        <w:t xml:space="preserve">as pirkimo objektas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490317" w:rsidRDefault="004440CB" w:rsidP="004440CB">
      <w:pPr>
        <w:tabs>
          <w:tab w:val="left" w:pos="720"/>
        </w:tabs>
        <w:ind w:firstLine="720"/>
        <w:jc w:val="both"/>
        <w:rPr>
          <w:sz w:val="24"/>
          <w:szCs w:val="24"/>
          <w:lang w:val="lt-LT" w:eastAsia="lt-LT"/>
        </w:rPr>
      </w:pPr>
      <w:r w:rsidRPr="00490317">
        <w:rPr>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73005BE3" w:rsidR="00666699" w:rsidRPr="00940979" w:rsidRDefault="00874DC9" w:rsidP="00F629DA">
            <w:pPr>
              <w:jc w:val="both"/>
              <w:rPr>
                <w:sz w:val="24"/>
                <w:szCs w:val="24"/>
                <w:lang w:val="lt-LT"/>
              </w:rPr>
            </w:pPr>
            <w:r>
              <w:rPr>
                <w:sz w:val="24"/>
                <w:szCs w:val="24"/>
                <w:lang w:val="lt-LT"/>
              </w:rPr>
              <w:t>5</w:t>
            </w:r>
            <w:r w:rsidR="00666699" w:rsidRPr="00940979">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42E07FEC" w:rsidR="00666699" w:rsidRPr="00940979" w:rsidRDefault="00666699" w:rsidP="00F629DA">
            <w:pPr>
              <w:jc w:val="both"/>
              <w:rPr>
                <w:sz w:val="24"/>
                <w:szCs w:val="24"/>
                <w:lang w:val="lt-LT"/>
              </w:rPr>
            </w:pPr>
            <w:r w:rsidRPr="00940979">
              <w:rPr>
                <w:sz w:val="24"/>
                <w:szCs w:val="24"/>
                <w:lang w:val="lt-LT"/>
              </w:rPr>
              <w:t>Užpildyta kvalifikacinių reikalavimų atitikties deklaracija</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57E7878D"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D2C1" w14:textId="65E53FEC" w:rsidR="00F629DA" w:rsidRDefault="00874DC9" w:rsidP="00F629DA">
            <w:pPr>
              <w:jc w:val="both"/>
              <w:rPr>
                <w:sz w:val="24"/>
                <w:szCs w:val="24"/>
                <w:lang w:val="lt-LT"/>
              </w:rPr>
            </w:pPr>
            <w:r>
              <w:rPr>
                <w:sz w:val="24"/>
                <w:szCs w:val="24"/>
                <w:lang w:val="lt-LT"/>
              </w:rPr>
              <w:t>6</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C8DF7E6" w14:textId="6CAD0069" w:rsidR="00F629DA" w:rsidRPr="000C6681"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C1ED5" w14:textId="77777777" w:rsidR="00F629DA" w:rsidRPr="006F746D" w:rsidRDefault="00F629DA"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68D8E277" w:rsidR="00F629DA" w:rsidRDefault="00874DC9" w:rsidP="00F629DA">
            <w:pPr>
              <w:jc w:val="both"/>
              <w:rPr>
                <w:sz w:val="24"/>
                <w:szCs w:val="24"/>
                <w:lang w:val="lt-LT"/>
              </w:rPr>
            </w:pPr>
            <w:r>
              <w:rPr>
                <w:sz w:val="24"/>
                <w:szCs w:val="24"/>
                <w:lang w:val="lt-LT"/>
              </w:rPr>
              <w:t>7</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Sraopastraipa"/>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lastRenderedPageBreak/>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Sraopastraipa"/>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Puslapioinaostekstas"/>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Puslapioinaostekstas"/>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Puslapioinaostekstas"/>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Puslapioinaostekstas"/>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242151">
      <w:pPr>
        <w:pStyle w:val="Sraopastraipa"/>
        <w:numPr>
          <w:ilvl w:val="0"/>
          <w:numId w:val="3"/>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Sraopastraipa"/>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29BD41B1" w14:textId="77777777" w:rsidR="00B43B4F" w:rsidRDefault="00B43B4F" w:rsidP="00B43B4F">
      <w:pPr>
        <w:ind w:right="-108" w:firstLine="709"/>
        <w:jc w:val="both"/>
      </w:pPr>
    </w:p>
    <w:p w14:paraId="64F27EDA" w14:textId="77777777" w:rsidR="009657AA" w:rsidRPr="0076044F" w:rsidRDefault="009657AA"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6192A"/>
    <w:rsid w:val="0007191B"/>
    <w:rsid w:val="00082C09"/>
    <w:rsid w:val="00085EA5"/>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58E3"/>
    <w:rsid w:val="0016276E"/>
    <w:rsid w:val="00165085"/>
    <w:rsid w:val="00171B55"/>
    <w:rsid w:val="0017263B"/>
    <w:rsid w:val="0018682E"/>
    <w:rsid w:val="00193F70"/>
    <w:rsid w:val="00195C80"/>
    <w:rsid w:val="00196A2A"/>
    <w:rsid w:val="00197CDB"/>
    <w:rsid w:val="001C7D56"/>
    <w:rsid w:val="00201C7E"/>
    <w:rsid w:val="00210D00"/>
    <w:rsid w:val="00222920"/>
    <w:rsid w:val="0023100F"/>
    <w:rsid w:val="002408DE"/>
    <w:rsid w:val="00242151"/>
    <w:rsid w:val="00260D01"/>
    <w:rsid w:val="0026273E"/>
    <w:rsid w:val="00275D40"/>
    <w:rsid w:val="002807C9"/>
    <w:rsid w:val="002851E7"/>
    <w:rsid w:val="00290628"/>
    <w:rsid w:val="002A1DD0"/>
    <w:rsid w:val="002A6DA8"/>
    <w:rsid w:val="002B2CEB"/>
    <w:rsid w:val="002C729F"/>
    <w:rsid w:val="002D6311"/>
    <w:rsid w:val="002E6523"/>
    <w:rsid w:val="002F5E78"/>
    <w:rsid w:val="003107DF"/>
    <w:rsid w:val="0032404E"/>
    <w:rsid w:val="0036034B"/>
    <w:rsid w:val="003606E6"/>
    <w:rsid w:val="00362F0D"/>
    <w:rsid w:val="003B5235"/>
    <w:rsid w:val="003D0477"/>
    <w:rsid w:val="003D55F9"/>
    <w:rsid w:val="003D7819"/>
    <w:rsid w:val="003D7ECC"/>
    <w:rsid w:val="003F0C44"/>
    <w:rsid w:val="003F3E1B"/>
    <w:rsid w:val="004145AA"/>
    <w:rsid w:val="00414DA2"/>
    <w:rsid w:val="00426008"/>
    <w:rsid w:val="00427538"/>
    <w:rsid w:val="004303D8"/>
    <w:rsid w:val="004440CB"/>
    <w:rsid w:val="0045732C"/>
    <w:rsid w:val="0048443E"/>
    <w:rsid w:val="00490317"/>
    <w:rsid w:val="004B49A2"/>
    <w:rsid w:val="004B646F"/>
    <w:rsid w:val="004B7803"/>
    <w:rsid w:val="004D38BD"/>
    <w:rsid w:val="004D3AB9"/>
    <w:rsid w:val="004D4E6F"/>
    <w:rsid w:val="004F20FB"/>
    <w:rsid w:val="004F57A8"/>
    <w:rsid w:val="005023F9"/>
    <w:rsid w:val="005151E0"/>
    <w:rsid w:val="0053107F"/>
    <w:rsid w:val="00542E57"/>
    <w:rsid w:val="00560764"/>
    <w:rsid w:val="00575229"/>
    <w:rsid w:val="005832A8"/>
    <w:rsid w:val="00585126"/>
    <w:rsid w:val="005974D4"/>
    <w:rsid w:val="005B0457"/>
    <w:rsid w:val="005B5C23"/>
    <w:rsid w:val="005B616D"/>
    <w:rsid w:val="005B76F2"/>
    <w:rsid w:val="005C6ECE"/>
    <w:rsid w:val="005E549F"/>
    <w:rsid w:val="00602255"/>
    <w:rsid w:val="00637CE6"/>
    <w:rsid w:val="00641307"/>
    <w:rsid w:val="0065095F"/>
    <w:rsid w:val="0065155E"/>
    <w:rsid w:val="00661F58"/>
    <w:rsid w:val="00666699"/>
    <w:rsid w:val="00682F8E"/>
    <w:rsid w:val="0069293D"/>
    <w:rsid w:val="006C25C8"/>
    <w:rsid w:val="006C3F5F"/>
    <w:rsid w:val="006D21E3"/>
    <w:rsid w:val="006F746D"/>
    <w:rsid w:val="00700A4B"/>
    <w:rsid w:val="00707AD9"/>
    <w:rsid w:val="00713ABC"/>
    <w:rsid w:val="0072784C"/>
    <w:rsid w:val="007314E6"/>
    <w:rsid w:val="0073404D"/>
    <w:rsid w:val="00743040"/>
    <w:rsid w:val="00745E97"/>
    <w:rsid w:val="0074726B"/>
    <w:rsid w:val="007536F3"/>
    <w:rsid w:val="00757CEC"/>
    <w:rsid w:val="007875A8"/>
    <w:rsid w:val="0079232D"/>
    <w:rsid w:val="007C1DA6"/>
    <w:rsid w:val="007E19BC"/>
    <w:rsid w:val="007E7762"/>
    <w:rsid w:val="007F5FE0"/>
    <w:rsid w:val="00807F2A"/>
    <w:rsid w:val="008247C0"/>
    <w:rsid w:val="008479A0"/>
    <w:rsid w:val="00850E3D"/>
    <w:rsid w:val="00873F38"/>
    <w:rsid w:val="00874DC9"/>
    <w:rsid w:val="00884433"/>
    <w:rsid w:val="008B1C37"/>
    <w:rsid w:val="008C17EB"/>
    <w:rsid w:val="008E0A1C"/>
    <w:rsid w:val="00901430"/>
    <w:rsid w:val="009155FA"/>
    <w:rsid w:val="009342A0"/>
    <w:rsid w:val="00934C03"/>
    <w:rsid w:val="00940979"/>
    <w:rsid w:val="00956D64"/>
    <w:rsid w:val="00961AEE"/>
    <w:rsid w:val="00961CF0"/>
    <w:rsid w:val="009657AA"/>
    <w:rsid w:val="0097126D"/>
    <w:rsid w:val="009734BC"/>
    <w:rsid w:val="009A4FC4"/>
    <w:rsid w:val="009B5C3B"/>
    <w:rsid w:val="009C0BFE"/>
    <w:rsid w:val="009E14F6"/>
    <w:rsid w:val="00A12120"/>
    <w:rsid w:val="00A16D40"/>
    <w:rsid w:val="00A40055"/>
    <w:rsid w:val="00A41B11"/>
    <w:rsid w:val="00A4384F"/>
    <w:rsid w:val="00A466C3"/>
    <w:rsid w:val="00A6083F"/>
    <w:rsid w:val="00A8520D"/>
    <w:rsid w:val="00A90FD1"/>
    <w:rsid w:val="00A95606"/>
    <w:rsid w:val="00A97B7B"/>
    <w:rsid w:val="00AD0F5F"/>
    <w:rsid w:val="00AD0FD8"/>
    <w:rsid w:val="00AE015E"/>
    <w:rsid w:val="00AF40F9"/>
    <w:rsid w:val="00B0476D"/>
    <w:rsid w:val="00B14106"/>
    <w:rsid w:val="00B209A1"/>
    <w:rsid w:val="00B361C6"/>
    <w:rsid w:val="00B43B4F"/>
    <w:rsid w:val="00B4442D"/>
    <w:rsid w:val="00B47241"/>
    <w:rsid w:val="00B513A8"/>
    <w:rsid w:val="00B62300"/>
    <w:rsid w:val="00B74DF8"/>
    <w:rsid w:val="00B763FC"/>
    <w:rsid w:val="00B81332"/>
    <w:rsid w:val="00B912BA"/>
    <w:rsid w:val="00BA3368"/>
    <w:rsid w:val="00BA4B4B"/>
    <w:rsid w:val="00BB00F2"/>
    <w:rsid w:val="00BB5970"/>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3347"/>
    <w:rsid w:val="00C76E49"/>
    <w:rsid w:val="00C810A2"/>
    <w:rsid w:val="00C816FA"/>
    <w:rsid w:val="00C82F12"/>
    <w:rsid w:val="00CA2D1C"/>
    <w:rsid w:val="00CD0B7B"/>
    <w:rsid w:val="00CD0EFE"/>
    <w:rsid w:val="00CD2702"/>
    <w:rsid w:val="00CE1CDC"/>
    <w:rsid w:val="00D30C67"/>
    <w:rsid w:val="00D30D83"/>
    <w:rsid w:val="00D42E17"/>
    <w:rsid w:val="00D509F7"/>
    <w:rsid w:val="00D6299F"/>
    <w:rsid w:val="00D761EB"/>
    <w:rsid w:val="00D803B1"/>
    <w:rsid w:val="00D832C9"/>
    <w:rsid w:val="00D8526E"/>
    <w:rsid w:val="00D85C5D"/>
    <w:rsid w:val="00D93C44"/>
    <w:rsid w:val="00DA138F"/>
    <w:rsid w:val="00DB7BEE"/>
    <w:rsid w:val="00DE4D16"/>
    <w:rsid w:val="00DF4CC4"/>
    <w:rsid w:val="00E2169B"/>
    <w:rsid w:val="00E4006F"/>
    <w:rsid w:val="00E47B8E"/>
    <w:rsid w:val="00E51C55"/>
    <w:rsid w:val="00E6435A"/>
    <w:rsid w:val="00E6502C"/>
    <w:rsid w:val="00E736B7"/>
    <w:rsid w:val="00E902EB"/>
    <w:rsid w:val="00E90AD0"/>
    <w:rsid w:val="00EC46D9"/>
    <w:rsid w:val="00EC4E62"/>
    <w:rsid w:val="00ED3B3D"/>
    <w:rsid w:val="00EE0A4D"/>
    <w:rsid w:val="00EE5F75"/>
    <w:rsid w:val="00F23718"/>
    <w:rsid w:val="00F31DFA"/>
    <w:rsid w:val="00F3648F"/>
    <w:rsid w:val="00F405BE"/>
    <w:rsid w:val="00F534D0"/>
    <w:rsid w:val="00F61D88"/>
    <w:rsid w:val="00F6285E"/>
    <w:rsid w:val="00F629DA"/>
    <w:rsid w:val="00F74BE4"/>
    <w:rsid w:val="00F87CE0"/>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20FB"/>
    <w:pPr>
      <w:ind w:left="0" w:firstLine="0"/>
      <w:jc w:val="left"/>
    </w:pPr>
    <w:rPr>
      <w:rFonts w:eastAsia="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20FB"/>
    <w:pPr>
      <w:jc w:val="both"/>
    </w:pPr>
    <w:rPr>
      <w:sz w:val="24"/>
      <w:lang w:val="lt-LT"/>
    </w:rPr>
  </w:style>
  <w:style w:type="character" w:customStyle="1" w:styleId="PagrindinistekstasDiagrama">
    <w:name w:val="Pagrindinis tekstas Diagrama"/>
    <w:basedOn w:val="Numatytasispastraiposriftas"/>
    <w:link w:val="Pagrindinistekstas"/>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Betarp">
    <w:name w:val="No Spacing"/>
    <w:uiPriority w:val="99"/>
    <w:qFormat/>
    <w:rsid w:val="00FE65A0"/>
    <w:pPr>
      <w:ind w:left="0" w:firstLine="0"/>
      <w:jc w:val="left"/>
    </w:pPr>
    <w:rPr>
      <w:rFonts w:eastAsia="Times New Roman"/>
    </w:rPr>
  </w:style>
  <w:style w:type="paragraph" w:styleId="Puslapioinaostekstas">
    <w:name w:val="footnote text"/>
    <w:aliases w:val=" Diagrama1,Diagrama1"/>
    <w:basedOn w:val="prastasis"/>
    <w:link w:val="PuslapioinaostekstasDiagrama"/>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10A2"/>
    <w:rPr>
      <w:rFonts w:eastAsia="Calibri"/>
      <w:sz w:val="20"/>
      <w:szCs w:val="20"/>
      <w:lang w:val="en-US"/>
    </w:rPr>
  </w:style>
  <w:style w:type="character" w:styleId="Hipersaitas">
    <w:name w:val="Hyperlink"/>
    <w:basedOn w:val="Numatytasispastraiposriftas"/>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Sraopastraipa">
    <w:name w:val="List Paragraph"/>
    <w:basedOn w:val="prastasis"/>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5940</Words>
  <Characters>3387</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Ernesta</cp:lastModifiedBy>
  <cp:revision>26</cp:revision>
  <cp:lastPrinted>2022-10-05T12:41:00Z</cp:lastPrinted>
  <dcterms:created xsi:type="dcterms:W3CDTF">2025-06-26T11:30:00Z</dcterms:created>
  <dcterms:modified xsi:type="dcterms:W3CDTF">2026-05-20T13:29:00Z</dcterms:modified>
</cp:coreProperties>
</file>