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1538" w14:textId="5C45BFCD" w:rsidR="007335EE" w:rsidRPr="007335EE" w:rsidRDefault="007335EE" w:rsidP="007335EE">
      <w:pPr>
        <w:tabs>
          <w:tab w:val="center" w:pos="4513"/>
          <w:tab w:val="right" w:pos="9026"/>
        </w:tabs>
        <w:spacing w:line="300" w:lineRule="auto"/>
        <w:ind w:firstLine="697"/>
        <w:jc w:val="right"/>
        <w:rPr>
          <w:color w:val="0070C0"/>
          <w:sz w:val="22"/>
          <w:szCs w:val="22"/>
          <w:lang w:eastAsia="lt-LT"/>
        </w:rPr>
      </w:pPr>
      <w:r w:rsidRPr="007335EE">
        <w:rPr>
          <w:color w:val="0070C0"/>
          <w:sz w:val="22"/>
          <w:szCs w:val="22"/>
          <w:lang w:eastAsia="lt-LT"/>
        </w:rPr>
        <w:t xml:space="preserve">Pirkimo sąlygų </w:t>
      </w:r>
      <w:r>
        <w:rPr>
          <w:color w:val="0070C0"/>
          <w:sz w:val="22"/>
          <w:szCs w:val="22"/>
          <w:lang w:eastAsia="lt-LT"/>
        </w:rPr>
        <w:t>6</w:t>
      </w:r>
      <w:r w:rsidRPr="007335EE">
        <w:rPr>
          <w:color w:val="0070C0"/>
          <w:sz w:val="22"/>
          <w:szCs w:val="22"/>
          <w:lang w:eastAsia="lt-LT"/>
        </w:rPr>
        <w:t xml:space="preserve"> priedas „Paslaugų pirkimo-pardavimo sutarties </w:t>
      </w:r>
      <w:r>
        <w:rPr>
          <w:color w:val="0070C0"/>
          <w:sz w:val="22"/>
          <w:szCs w:val="22"/>
          <w:lang w:eastAsia="lt-LT"/>
        </w:rPr>
        <w:t>specialiosios</w:t>
      </w:r>
      <w:r w:rsidRPr="007335EE">
        <w:rPr>
          <w:color w:val="0070C0"/>
          <w:sz w:val="22"/>
          <w:szCs w:val="22"/>
          <w:lang w:eastAsia="lt-LT"/>
        </w:rPr>
        <w:t xml:space="preserve"> sąlygos“</w:t>
      </w:r>
    </w:p>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2C1132E9" w14:textId="77777777" w:rsidR="007335EE" w:rsidRDefault="007335EE" w:rsidP="00C74FA2">
      <w:pPr>
        <w:pStyle w:val="paragraph"/>
        <w:spacing w:before="0" w:beforeAutospacing="0" w:after="0" w:afterAutospacing="0"/>
        <w:ind w:left="4320" w:firstLine="720"/>
        <w:textAlignment w:val="baseline"/>
        <w:rPr>
          <w:rStyle w:val="normaltextrun"/>
          <w:lang w:val="lt-LT"/>
        </w:rPr>
      </w:pPr>
    </w:p>
    <w:p w14:paraId="2739138E" w14:textId="77777777" w:rsidR="007335EE" w:rsidRDefault="007335EE"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B52FDB" w:rsidR="00027B83" w:rsidRPr="00B03E7D" w:rsidRDefault="001D20F2">
            <w:pPr>
              <w:jc w:val="both"/>
              <w:rPr>
                <w:b/>
                <w:bCs/>
                <w:kern w:val="2"/>
                <w:szCs w:val="24"/>
              </w:rPr>
            </w:pPr>
            <w:r w:rsidRPr="001D20F2">
              <w:rPr>
                <w:b/>
                <w:bCs/>
                <w:kern w:val="2"/>
                <w:szCs w:val="24"/>
              </w:rPr>
              <w:t xml:space="preserve">POTENCIALIAI PAVOJINGŲ ĮRENGINIŲ TECHNINĖS PRIEŽIŪROS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3FD8644B" w:rsidR="00B31638" w:rsidRDefault="001D20F2" w:rsidP="00926EFB">
            <w:pPr>
              <w:rPr>
                <w:kern w:val="2"/>
                <w:szCs w:val="24"/>
              </w:rPr>
            </w:pPr>
            <w:r>
              <w:rPr>
                <w:kern w:val="2"/>
                <w:szCs w:val="24"/>
              </w:rPr>
              <w:t>Direktorius Algirdas Kurpė</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436AE462" w:rsidR="00B31638" w:rsidRDefault="004A7F3B" w:rsidP="00926EFB">
            <w:pPr>
              <w:rPr>
                <w:kern w:val="2"/>
                <w:szCs w:val="24"/>
              </w:rPr>
            </w:pPr>
            <w:r>
              <w:rPr>
                <w:kern w:val="2"/>
                <w:szCs w:val="24"/>
              </w:rPr>
              <w:t>Pagal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6436EF14" w:rsidR="00027B83" w:rsidRDefault="000B0897">
            <w:pPr>
              <w:rPr>
                <w:b/>
                <w:kern w:val="2"/>
                <w:szCs w:val="24"/>
              </w:rPr>
            </w:pPr>
            <w:r w:rsidRPr="00683990">
              <w:rPr>
                <w:b/>
                <w:kern w:val="2"/>
                <w:szCs w:val="24"/>
              </w:rPr>
              <w:lastRenderedPageBreak/>
              <w:t xml:space="preserve">2.1. Pirkėjo kontaktiniai asmenys, atsakingi už 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47978F6F" w14:textId="77777777" w:rsidR="00E7357E" w:rsidRDefault="00E7357E" w:rsidP="00E7357E">
            <w:pPr>
              <w:jc w:val="both"/>
              <w:rPr>
                <w:kern w:val="2"/>
                <w:szCs w:val="24"/>
              </w:rPr>
            </w:pPr>
            <w:r w:rsidRPr="00E7357E">
              <w:rPr>
                <w:kern w:val="2"/>
                <w:szCs w:val="24"/>
              </w:rPr>
              <w:t>Pastatų techninės priežiūros ir eksploatacijos skyriaus vadovas</w:t>
            </w:r>
          </w:p>
          <w:p w14:paraId="582045D6" w14:textId="77777777" w:rsidR="00E7357E" w:rsidRDefault="00E7357E" w:rsidP="00E7357E">
            <w:pPr>
              <w:jc w:val="both"/>
              <w:rPr>
                <w:kern w:val="2"/>
                <w:szCs w:val="24"/>
              </w:rPr>
            </w:pPr>
            <w:r w:rsidRPr="00E7357E">
              <w:rPr>
                <w:kern w:val="2"/>
                <w:szCs w:val="24"/>
              </w:rPr>
              <w:t xml:space="preserve">Česlovas Mikšys, </w:t>
            </w:r>
          </w:p>
          <w:p w14:paraId="691DD9F6" w14:textId="70E1B88F" w:rsidR="00E7357E" w:rsidRDefault="00E7357E" w:rsidP="00E7357E">
            <w:pPr>
              <w:jc w:val="both"/>
              <w:rPr>
                <w:kern w:val="2"/>
                <w:szCs w:val="24"/>
              </w:rPr>
            </w:pPr>
            <w:r w:rsidRPr="00E7357E">
              <w:rPr>
                <w:kern w:val="2"/>
                <w:szCs w:val="24"/>
              </w:rPr>
              <w:t xml:space="preserve">tel. +370 386 72260, </w:t>
            </w:r>
            <w:r w:rsidR="008F06B5">
              <w:rPr>
                <w:kern w:val="2"/>
                <w:szCs w:val="24"/>
              </w:rPr>
              <w:t xml:space="preserve">el. p. </w:t>
            </w:r>
            <w:hyperlink r:id="rId12" w:history="1">
              <w:r w:rsidR="008F06B5" w:rsidRPr="00D158FE">
                <w:rPr>
                  <w:rStyle w:val="Hipersaitas"/>
                  <w:kern w:val="2"/>
                  <w:szCs w:val="24"/>
                </w:rPr>
                <w:t>ceslovas.mikšys@visaginobustas.lt</w:t>
              </w:r>
            </w:hyperlink>
            <w:r w:rsidR="008F06B5">
              <w:rPr>
                <w:kern w:val="2"/>
                <w:szCs w:val="24"/>
              </w:rPr>
              <w:t xml:space="preserve">  </w:t>
            </w:r>
          </w:p>
          <w:p w14:paraId="0A73C060" w14:textId="257827F9" w:rsidR="00E04EB2" w:rsidRDefault="00E04EB2" w:rsidP="00E7357E">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1BA0F6C" w:rsidR="00027B83" w:rsidRDefault="000B0897" w:rsidP="0024598E">
            <w:pPr>
              <w:jc w:val="both"/>
              <w:rPr>
                <w:color w:val="000000"/>
                <w:kern w:val="2"/>
                <w:szCs w:val="24"/>
              </w:rPr>
            </w:pPr>
            <w:r>
              <w:rPr>
                <w:kern w:val="2"/>
                <w:szCs w:val="24"/>
              </w:rPr>
              <w:t xml:space="preserve">Tiekėjas įsipareigoja Sutartyje numatytomis sąlygomis suteikti Pirkėjui </w:t>
            </w:r>
            <w:r w:rsidR="00A631D7">
              <w:rPr>
                <w:kern w:val="2"/>
                <w:szCs w:val="24"/>
              </w:rPr>
              <w:t>Potencialiai pavojingų įrenginių techninės priežiūros paslaugas</w:t>
            </w:r>
            <w:r w:rsidRPr="00A568E1">
              <w:rPr>
                <w:kern w:val="2"/>
                <w:szCs w:val="24"/>
              </w:rPr>
              <w:t xml:space="preserve"> </w:t>
            </w:r>
            <w:r>
              <w:rPr>
                <w:color w:val="000000"/>
                <w:kern w:val="2"/>
                <w:szCs w:val="24"/>
              </w:rPr>
              <w:t>(toliau – Paslaugos).</w:t>
            </w:r>
          </w:p>
          <w:p w14:paraId="27730B38" w14:textId="646326F9"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specifikacija“ (toliau – Techninė specifikacija)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7653794" w:rsidR="00027B83" w:rsidRPr="00E04EB2" w:rsidRDefault="000B0897">
            <w:pPr>
              <w:rPr>
                <w:szCs w:val="24"/>
              </w:rPr>
            </w:pPr>
            <w:r>
              <w:rPr>
                <w:szCs w:val="24"/>
              </w:rPr>
              <w:t xml:space="preserve">Tiekėjas Paslaugas įsipareigoja teikti </w:t>
            </w:r>
            <w:r w:rsidR="006520C4">
              <w:rPr>
                <w:szCs w:val="24"/>
              </w:rPr>
              <w:t>36</w:t>
            </w:r>
            <w:r w:rsidR="00C66E54" w:rsidRPr="00E04EB2">
              <w:rPr>
                <w:szCs w:val="24"/>
              </w:rPr>
              <w:t xml:space="preserve"> (</w:t>
            </w:r>
            <w:r w:rsidR="006520C4">
              <w:rPr>
                <w:szCs w:val="24"/>
              </w:rPr>
              <w:t>Trisdešimt šeši</w:t>
            </w:r>
            <w:r w:rsidR="005C23F8">
              <w:rPr>
                <w:szCs w:val="24"/>
              </w:rPr>
              <w:t>)</w:t>
            </w:r>
            <w:r w:rsidR="00C66E54" w:rsidRPr="00E04EB2">
              <w:rPr>
                <w:szCs w:val="24"/>
              </w:rPr>
              <w:t>) mėn</w:t>
            </w:r>
            <w:r w:rsidR="00604355">
              <w:rPr>
                <w:szCs w:val="24"/>
              </w:rPr>
              <w:t>esius</w:t>
            </w:r>
            <w:r w:rsidR="00C66E54" w:rsidRPr="00E04EB2">
              <w:rPr>
                <w:szCs w:val="24"/>
              </w:rPr>
              <w:t xml:space="preserve"> </w:t>
            </w:r>
            <w:r w:rsidRPr="00E04EB2">
              <w:rPr>
                <w:b/>
                <w:bCs/>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77777777"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fiksuoto įkainio</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3111519E" w14:textId="226856DC" w:rsidR="00683990" w:rsidRPr="00CF386A" w:rsidRDefault="00683990" w:rsidP="00A631D7">
            <w:pPr>
              <w:rPr>
                <w:b/>
                <w:bCs/>
                <w:kern w:val="2"/>
                <w:szCs w:val="24"/>
                <w:u w:val="single"/>
              </w:rPr>
            </w:pPr>
            <w:r w:rsidRPr="00683990">
              <w:rPr>
                <w:kern w:val="2"/>
                <w:szCs w:val="24"/>
              </w:rPr>
              <w:t>Pradinės Sutarties vertė yra </w:t>
            </w:r>
            <w:r w:rsidR="00A631D7">
              <w:rPr>
                <w:kern w:val="2"/>
                <w:szCs w:val="24"/>
              </w:rPr>
              <w:t xml:space="preserve">        </w:t>
            </w:r>
            <w:r w:rsidRPr="00683990">
              <w:rPr>
                <w:kern w:val="2"/>
                <w:szCs w:val="24"/>
              </w:rPr>
              <w:t>Eur </w:t>
            </w:r>
          </w:p>
          <w:p w14:paraId="0074D599" w14:textId="77777777" w:rsidR="00683990" w:rsidRPr="007D1493" w:rsidRDefault="00683990" w:rsidP="00683990">
            <w:pPr>
              <w:rPr>
                <w:b/>
                <w:bCs/>
                <w:kern w:val="2"/>
                <w:szCs w:val="24"/>
              </w:rPr>
            </w:pPr>
            <w:r w:rsidRPr="007D1493">
              <w:rPr>
                <w:b/>
                <w:bCs/>
                <w:kern w:val="2"/>
                <w:szCs w:val="24"/>
              </w:rPr>
              <w:t> </w:t>
            </w:r>
          </w:p>
          <w:p w14:paraId="4BF9A2D9" w14:textId="77777777" w:rsidR="00A631D7" w:rsidRDefault="00A631D7" w:rsidP="00683990">
            <w:pPr>
              <w:rPr>
                <w:kern w:val="2"/>
                <w:szCs w:val="24"/>
              </w:rPr>
            </w:pPr>
          </w:p>
          <w:p w14:paraId="0A521797" w14:textId="77777777" w:rsidR="00A631D7" w:rsidRDefault="00A631D7" w:rsidP="00683990">
            <w:pPr>
              <w:rPr>
                <w:kern w:val="2"/>
                <w:szCs w:val="24"/>
              </w:rPr>
            </w:pPr>
          </w:p>
          <w:p w14:paraId="1D32EEBB" w14:textId="42E946E8" w:rsidR="00683990" w:rsidRPr="00683990" w:rsidRDefault="00683990" w:rsidP="00683990">
            <w:pPr>
              <w:rPr>
                <w:kern w:val="2"/>
                <w:szCs w:val="24"/>
              </w:rPr>
            </w:pPr>
            <w:r w:rsidRPr="00683990">
              <w:rPr>
                <w:kern w:val="2"/>
                <w:szCs w:val="24"/>
              </w:rPr>
              <w:t>Šioje Sutartyje Pradinės Sutarties vertė yra lygi Tiekėjo pasiūlymo kainai be PVM, apskaičiuotai sudauginus </w:t>
            </w:r>
            <w:r w:rsidRPr="00683990">
              <w:rPr>
                <w:b/>
                <w:bCs/>
                <w:kern w:val="2"/>
                <w:szCs w:val="24"/>
              </w:rPr>
              <w:t>maksimalų Paslaugų kiekį</w:t>
            </w:r>
            <w:r w:rsidRPr="00683990">
              <w:rPr>
                <w:kern w:val="2"/>
                <w:szCs w:val="24"/>
              </w:rPr>
              <w:t> iš Tiekėjo pasiūlyto įkainio be PVM. Pirkėjas perka Paslaugas pagal poreikį Sutart</w:t>
            </w:r>
            <w:r w:rsidR="009B6DCC">
              <w:rPr>
                <w:kern w:val="2"/>
                <w:szCs w:val="24"/>
              </w:rPr>
              <w:t>ies</w:t>
            </w:r>
            <w:r w:rsidRPr="00683990">
              <w:rPr>
                <w:kern w:val="2"/>
                <w:szCs w:val="24"/>
              </w:rPr>
              <w:t xml:space="preserve"> priede Nr. </w:t>
            </w:r>
            <w:r w:rsidR="00D6705F">
              <w:rPr>
                <w:kern w:val="2"/>
                <w:szCs w:val="24"/>
              </w:rPr>
              <w:t>2</w:t>
            </w:r>
            <w:r w:rsidRPr="00683990">
              <w:rPr>
                <w:kern w:val="2"/>
                <w:szCs w:val="24"/>
              </w:rPr>
              <w:t> nurodytais įkainiais, neviršijant jame nurodyto Paslaugų maksimalaus kiekio.</w:t>
            </w:r>
          </w:p>
          <w:p w14:paraId="5751E94A" w14:textId="0689F37C" w:rsidR="00027B83" w:rsidRPr="00CC082A" w:rsidRDefault="00027B83" w:rsidP="00683990">
            <w:pPr>
              <w:rPr>
                <w:kern w:val="2"/>
                <w:szCs w:val="24"/>
              </w:rPr>
            </w:pP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ADF27DA" w:rsidR="00027B83" w:rsidRDefault="000B0897">
            <w:pPr>
              <w:rPr>
                <w:szCs w:val="24"/>
              </w:rPr>
            </w:pPr>
            <w:r>
              <w:rPr>
                <w:kern w:val="2"/>
                <w:szCs w:val="24"/>
              </w:rPr>
              <w:t xml:space="preserve">Sutarties </w:t>
            </w:r>
            <w:r w:rsidRPr="00A96BCB">
              <w:rPr>
                <w:kern w:val="2"/>
                <w:szCs w:val="24"/>
              </w:rPr>
              <w:t>įkainiai</w:t>
            </w:r>
            <w:r>
              <w:rPr>
                <w:kern w:val="2"/>
                <w:szCs w:val="24"/>
              </w:rPr>
              <w:t xml:space="preserve"> bus perskaičiuojami:</w:t>
            </w:r>
          </w:p>
          <w:p w14:paraId="662EA503" w14:textId="4BD64CA3" w:rsidR="00027B83" w:rsidRPr="005C23F8"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A236D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30C7DF6"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r w:rsidR="003852FA">
              <w:rPr>
                <w:kern w:val="2"/>
                <w:szCs w:val="24"/>
              </w:rPr>
              <w:t xml:space="preserve"> PVM sąskaita faktūra teikiama sistemoje SABIS.</w:t>
            </w:r>
          </w:p>
          <w:p w14:paraId="7BAC5334" w14:textId="77777777" w:rsidR="00027B83" w:rsidRDefault="00027B83">
            <w:pPr>
              <w:rPr>
                <w:color w:val="000000"/>
                <w:kern w:val="2"/>
                <w:szCs w:val="24"/>
                <w:shd w:val="clear" w:color="auto" w:fill="FFFFFF"/>
              </w:rPr>
            </w:pPr>
          </w:p>
          <w:p w14:paraId="1D00D9D2" w14:textId="4402DDB6" w:rsidR="00027B83" w:rsidRDefault="000B0897">
            <w:pPr>
              <w:rPr>
                <w:color w:val="000000"/>
                <w:kern w:val="2"/>
                <w:szCs w:val="24"/>
                <w:shd w:val="clear" w:color="auto" w:fill="FFFFFF"/>
              </w:rPr>
            </w:pPr>
            <w:r>
              <w:rPr>
                <w:color w:val="000000"/>
                <w:kern w:val="2"/>
                <w:szCs w:val="24"/>
                <w:shd w:val="clear" w:color="auto" w:fill="FFFFFF"/>
              </w:rPr>
              <w:t>Apmokėjimo sąlygos</w:t>
            </w:r>
            <w:r w:rsidR="004C04BB" w:rsidRPr="004C04BB">
              <w:rPr>
                <w:kern w:val="2"/>
                <w:szCs w:val="24"/>
                <w:shd w:val="clear" w:color="auto" w:fill="FFFFFF"/>
              </w:rPr>
              <w:t>:</w:t>
            </w:r>
          </w:p>
          <w:p w14:paraId="2E393D74" w14:textId="2D49C02A" w:rsidR="00027B83" w:rsidRPr="004C04BB" w:rsidRDefault="0007229C">
            <w:pPr>
              <w:rPr>
                <w:kern w:val="2"/>
                <w:szCs w:val="24"/>
                <w:shd w:val="clear" w:color="auto" w:fill="FFFFFF"/>
              </w:rPr>
            </w:pPr>
            <w:r>
              <w:rPr>
                <w:kern w:val="2"/>
                <w:szCs w:val="24"/>
                <w:shd w:val="clear" w:color="auto" w:fill="FFFFFF"/>
              </w:rPr>
              <w:t>1</w:t>
            </w:r>
            <w:r w:rsidR="000B0897" w:rsidRPr="0007229C">
              <w:rPr>
                <w:kern w:val="2"/>
                <w:szCs w:val="24"/>
                <w:shd w:val="clear" w:color="auto" w:fill="FFFFFF"/>
              </w:rPr>
              <w:t>) už įvykdytus Užsakymus mokama kartą per mėnesį</w:t>
            </w:r>
            <w:r w:rsidR="004C04BB">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lastRenderedPageBreak/>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lastRenderedPageBreak/>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4F2B5AFE" w:rsidR="00027B83" w:rsidRPr="00683990" w:rsidRDefault="000B0897" w:rsidP="00D5576C">
            <w:pPr>
              <w:rPr>
                <w:kern w:val="2"/>
                <w:szCs w:val="24"/>
              </w:rPr>
            </w:pPr>
            <w:r w:rsidRPr="00683990">
              <w:rPr>
                <w:kern w:val="2"/>
                <w:szCs w:val="24"/>
              </w:rPr>
              <w:lastRenderedPageBreak/>
              <w:t xml:space="preserve">Sutartis galioja iki visiško prievolių įvykdymo (kol bus išnaudota Pradinės Sutarties vertė, bet jos terminas negali būti ilgesnis kaip </w:t>
            </w:r>
            <w:r w:rsidR="003F4BCF" w:rsidRPr="00683990">
              <w:rPr>
                <w:kern w:val="2"/>
                <w:szCs w:val="24"/>
              </w:rPr>
              <w:t>25 mėnesiai (įskaitant atsiskaitymo su Tiekėju laikotarpį)</w:t>
            </w:r>
            <w:r w:rsidR="00873A43" w:rsidRPr="00683990">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lastRenderedPageBreak/>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C2E11BB" w14:textId="040D5B98" w:rsidR="00DC5FAB" w:rsidRPr="00683990" w:rsidRDefault="00DC5FAB" w:rsidP="00E063EA">
            <w:pPr>
              <w:jc w:val="both"/>
              <w:rPr>
                <w:kern w:val="2"/>
                <w:szCs w:val="24"/>
                <w:shd w:val="clear" w:color="auto" w:fill="FFFFFF"/>
              </w:rPr>
            </w:pPr>
            <w:r w:rsidRPr="00683990">
              <w:rPr>
                <w:kern w:val="2"/>
                <w:szCs w:val="24"/>
                <w:shd w:val="clear" w:color="auto" w:fill="FFFFFF"/>
              </w:rPr>
              <w:lastRenderedPageBreak/>
              <w:t xml:space="preserve">13.1.1.Tiekėjas turi teikti Paslaugas, naudodamas specialias tinkamas medžiagas (valymo priemones), valymo įrangą bei technines priemones, kurie būtų nežalingi aplinkai ir sveikatai, ir </w:t>
            </w:r>
            <w:r w:rsidRPr="00683990">
              <w:rPr>
                <w:kern w:val="2"/>
                <w:szCs w:val="24"/>
                <w:shd w:val="clear" w:color="auto" w:fill="FFFFFF"/>
              </w:rPr>
              <w:lastRenderedPageBreak/>
              <w:t>būtų užregistruoti Lietuvos Respublikos teisės aktų nustatyta tvarka.</w:t>
            </w:r>
          </w:p>
          <w:p w14:paraId="3F14B69B" w14:textId="2B533990" w:rsidR="00DC5FAB" w:rsidRPr="00683990" w:rsidRDefault="00DC5FAB" w:rsidP="005E79A1">
            <w:pPr>
              <w:jc w:val="both"/>
              <w:rPr>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AF70AC8" w:rsidR="00027B83" w:rsidRPr="00683990" w:rsidRDefault="00926EFB" w:rsidP="00926EFB">
            <w:pPr>
              <w:rPr>
                <w:b/>
                <w:kern w:val="2"/>
                <w:szCs w:val="24"/>
              </w:rPr>
            </w:pPr>
            <w:r w:rsidRPr="00683990">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683990" w:rsidRDefault="00027B83">
            <w:pPr>
              <w:jc w:val="center"/>
              <w:rPr>
                <w:b/>
                <w:kern w:val="2"/>
                <w:szCs w:val="24"/>
              </w:rPr>
            </w:pPr>
          </w:p>
        </w:tc>
      </w:tr>
      <w:tr w:rsidR="00D76E30" w14:paraId="64E7ECA8" w14:textId="77777777" w:rsidTr="007D00A8">
        <w:trPr>
          <w:trHeight w:val="300"/>
        </w:trPr>
        <w:tc>
          <w:tcPr>
            <w:tcW w:w="9535" w:type="dxa"/>
            <w:gridSpan w:val="4"/>
          </w:tcPr>
          <w:p w14:paraId="02467AF6" w14:textId="23B80923" w:rsidR="00D76E30" w:rsidRPr="00633439" w:rsidRDefault="0079231D">
            <w:pPr>
              <w:jc w:val="center"/>
              <w:rPr>
                <w:kern w:val="2"/>
                <w:szCs w:val="24"/>
              </w:rPr>
            </w:pPr>
            <w:r w:rsidRPr="00633439">
              <w:rPr>
                <w:rFonts w:eastAsia="Arial"/>
                <w:i/>
                <w:iCs/>
                <w:szCs w:val="24"/>
              </w:rPr>
              <w:t>Pirkėjas veikia kaip gyvenamųjų namų administratorius, o sudaromos sutarties naudos gavėjai yra patalpų savininkai.</w:t>
            </w: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06499AD6" w14:textId="77777777" w:rsidR="00D76E30" w:rsidRDefault="008366A9">
            <w:pPr>
              <w:jc w:val="center"/>
              <w:rPr>
                <w:kern w:val="2"/>
                <w:szCs w:val="24"/>
              </w:rPr>
            </w:pPr>
            <w:r>
              <w:rPr>
                <w:kern w:val="2"/>
                <w:szCs w:val="24"/>
              </w:rPr>
              <w:t>Direktorius</w:t>
            </w:r>
          </w:p>
          <w:p w14:paraId="578049DB" w14:textId="6333DA64" w:rsidR="008366A9" w:rsidRPr="00683990" w:rsidRDefault="008366A9">
            <w:pPr>
              <w:jc w:val="center"/>
              <w:rPr>
                <w:kern w:val="2"/>
                <w:szCs w:val="24"/>
              </w:rPr>
            </w:pPr>
            <w:r>
              <w:rPr>
                <w:kern w:val="2"/>
                <w:szCs w:val="24"/>
              </w:rPr>
              <w:t>Algirdas Kurpė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4FDB" w14:textId="77777777" w:rsidR="00A236D4" w:rsidRDefault="00A236D4">
      <w:pPr>
        <w:rPr>
          <w:sz w:val="20"/>
        </w:rPr>
      </w:pPr>
      <w:r>
        <w:rPr>
          <w:sz w:val="20"/>
        </w:rPr>
        <w:separator/>
      </w:r>
    </w:p>
  </w:endnote>
  <w:endnote w:type="continuationSeparator" w:id="0">
    <w:p w14:paraId="13F4E372" w14:textId="77777777" w:rsidR="00A236D4" w:rsidRDefault="00A236D4">
      <w:pPr>
        <w:rPr>
          <w:sz w:val="20"/>
        </w:rPr>
      </w:pPr>
      <w:r>
        <w:rPr>
          <w:sz w:val="20"/>
        </w:rPr>
        <w:continuationSeparator/>
      </w:r>
    </w:p>
  </w:endnote>
  <w:endnote w:type="continuationNotice" w:id="1">
    <w:p w14:paraId="35F52F56" w14:textId="77777777" w:rsidR="00A236D4" w:rsidRDefault="00A2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EB54" w14:textId="77777777" w:rsidR="00A236D4" w:rsidRDefault="00A236D4">
      <w:pPr>
        <w:rPr>
          <w:sz w:val="20"/>
        </w:rPr>
      </w:pPr>
      <w:r>
        <w:rPr>
          <w:sz w:val="20"/>
        </w:rPr>
        <w:separator/>
      </w:r>
    </w:p>
  </w:footnote>
  <w:footnote w:type="continuationSeparator" w:id="0">
    <w:p w14:paraId="772DFFBA" w14:textId="77777777" w:rsidR="00A236D4" w:rsidRDefault="00A236D4">
      <w:pPr>
        <w:rPr>
          <w:sz w:val="20"/>
        </w:rPr>
      </w:pPr>
      <w:r>
        <w:rPr>
          <w:sz w:val="20"/>
        </w:rPr>
        <w:continuationSeparator/>
      </w:r>
    </w:p>
  </w:footnote>
  <w:footnote w:type="continuationNotice" w:id="1">
    <w:p w14:paraId="50A39886" w14:textId="77777777" w:rsidR="00A236D4" w:rsidRDefault="00A2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0B7D"/>
    <w:rsid w:val="00026922"/>
    <w:rsid w:val="00027B83"/>
    <w:rsid w:val="00037328"/>
    <w:rsid w:val="0007229C"/>
    <w:rsid w:val="00090A39"/>
    <w:rsid w:val="000B0897"/>
    <w:rsid w:val="000C3C33"/>
    <w:rsid w:val="000F6686"/>
    <w:rsid w:val="00111AE1"/>
    <w:rsid w:val="00124C35"/>
    <w:rsid w:val="001543E0"/>
    <w:rsid w:val="001705D8"/>
    <w:rsid w:val="00176712"/>
    <w:rsid w:val="00182A7D"/>
    <w:rsid w:val="00183079"/>
    <w:rsid w:val="00184691"/>
    <w:rsid w:val="001B3A95"/>
    <w:rsid w:val="001C7E7C"/>
    <w:rsid w:val="001D00F1"/>
    <w:rsid w:val="001D20F2"/>
    <w:rsid w:val="00225B54"/>
    <w:rsid w:val="00227952"/>
    <w:rsid w:val="0024598E"/>
    <w:rsid w:val="00274C33"/>
    <w:rsid w:val="002756F6"/>
    <w:rsid w:val="002B1201"/>
    <w:rsid w:val="002D0701"/>
    <w:rsid w:val="002F3141"/>
    <w:rsid w:val="00363C1C"/>
    <w:rsid w:val="00373684"/>
    <w:rsid w:val="003852FA"/>
    <w:rsid w:val="003A582A"/>
    <w:rsid w:val="003F4BCF"/>
    <w:rsid w:val="00402199"/>
    <w:rsid w:val="00442F24"/>
    <w:rsid w:val="00467D48"/>
    <w:rsid w:val="00486D96"/>
    <w:rsid w:val="004933D3"/>
    <w:rsid w:val="004A7F3B"/>
    <w:rsid w:val="004C04BB"/>
    <w:rsid w:val="004C0EF1"/>
    <w:rsid w:val="004D69B2"/>
    <w:rsid w:val="004E6FC0"/>
    <w:rsid w:val="0050498F"/>
    <w:rsid w:val="00533D16"/>
    <w:rsid w:val="00545279"/>
    <w:rsid w:val="00546176"/>
    <w:rsid w:val="005853D5"/>
    <w:rsid w:val="005A121D"/>
    <w:rsid w:val="005A2AF9"/>
    <w:rsid w:val="005B0CEF"/>
    <w:rsid w:val="005B75BD"/>
    <w:rsid w:val="005C23F8"/>
    <w:rsid w:val="005D09E3"/>
    <w:rsid w:val="005E3350"/>
    <w:rsid w:val="005E79A1"/>
    <w:rsid w:val="005F7A2B"/>
    <w:rsid w:val="00604355"/>
    <w:rsid w:val="0061290B"/>
    <w:rsid w:val="00633439"/>
    <w:rsid w:val="006520C4"/>
    <w:rsid w:val="006523EB"/>
    <w:rsid w:val="006524FF"/>
    <w:rsid w:val="006533A3"/>
    <w:rsid w:val="00664588"/>
    <w:rsid w:val="00683990"/>
    <w:rsid w:val="006A2704"/>
    <w:rsid w:val="006B3A99"/>
    <w:rsid w:val="006C79AA"/>
    <w:rsid w:val="006F0803"/>
    <w:rsid w:val="006F5143"/>
    <w:rsid w:val="007335EE"/>
    <w:rsid w:val="00745D97"/>
    <w:rsid w:val="00754B0F"/>
    <w:rsid w:val="00760B6C"/>
    <w:rsid w:val="007621BC"/>
    <w:rsid w:val="0079231D"/>
    <w:rsid w:val="007A17CC"/>
    <w:rsid w:val="007A2A41"/>
    <w:rsid w:val="007A706B"/>
    <w:rsid w:val="007A75C6"/>
    <w:rsid w:val="007D1493"/>
    <w:rsid w:val="007E501C"/>
    <w:rsid w:val="00824553"/>
    <w:rsid w:val="0083118A"/>
    <w:rsid w:val="008332E0"/>
    <w:rsid w:val="008366A9"/>
    <w:rsid w:val="00841502"/>
    <w:rsid w:val="008446AC"/>
    <w:rsid w:val="0085634A"/>
    <w:rsid w:val="00873A43"/>
    <w:rsid w:val="00896318"/>
    <w:rsid w:val="008B5710"/>
    <w:rsid w:val="008F06B5"/>
    <w:rsid w:val="008F73A1"/>
    <w:rsid w:val="0090112D"/>
    <w:rsid w:val="00926EFB"/>
    <w:rsid w:val="00944F2A"/>
    <w:rsid w:val="00951D02"/>
    <w:rsid w:val="00954DC8"/>
    <w:rsid w:val="00957321"/>
    <w:rsid w:val="00966632"/>
    <w:rsid w:val="009728BC"/>
    <w:rsid w:val="00975939"/>
    <w:rsid w:val="009A1CD0"/>
    <w:rsid w:val="009B6DCC"/>
    <w:rsid w:val="009F0590"/>
    <w:rsid w:val="00A02777"/>
    <w:rsid w:val="00A236D4"/>
    <w:rsid w:val="00A3030B"/>
    <w:rsid w:val="00A568E1"/>
    <w:rsid w:val="00A631D7"/>
    <w:rsid w:val="00A85AF4"/>
    <w:rsid w:val="00A915A9"/>
    <w:rsid w:val="00A96BCB"/>
    <w:rsid w:val="00AF3E24"/>
    <w:rsid w:val="00B03E7D"/>
    <w:rsid w:val="00B14443"/>
    <w:rsid w:val="00B253C0"/>
    <w:rsid w:val="00B31638"/>
    <w:rsid w:val="00B41C8E"/>
    <w:rsid w:val="00B46F6F"/>
    <w:rsid w:val="00B86697"/>
    <w:rsid w:val="00BC0FF5"/>
    <w:rsid w:val="00BD0F92"/>
    <w:rsid w:val="00BE0B09"/>
    <w:rsid w:val="00C06560"/>
    <w:rsid w:val="00C25A73"/>
    <w:rsid w:val="00C27E19"/>
    <w:rsid w:val="00C66E54"/>
    <w:rsid w:val="00C74FA2"/>
    <w:rsid w:val="00C7565F"/>
    <w:rsid w:val="00CC082A"/>
    <w:rsid w:val="00CF00F9"/>
    <w:rsid w:val="00CF386A"/>
    <w:rsid w:val="00D12E75"/>
    <w:rsid w:val="00D5275A"/>
    <w:rsid w:val="00D54815"/>
    <w:rsid w:val="00D5576C"/>
    <w:rsid w:val="00D6705F"/>
    <w:rsid w:val="00D76E30"/>
    <w:rsid w:val="00D84B0B"/>
    <w:rsid w:val="00DA4E0C"/>
    <w:rsid w:val="00DC5FAB"/>
    <w:rsid w:val="00DC7DE2"/>
    <w:rsid w:val="00DF4ADE"/>
    <w:rsid w:val="00E04EB2"/>
    <w:rsid w:val="00E063EA"/>
    <w:rsid w:val="00E412C8"/>
    <w:rsid w:val="00E46123"/>
    <w:rsid w:val="00E463D8"/>
    <w:rsid w:val="00E5430D"/>
    <w:rsid w:val="00E7357E"/>
    <w:rsid w:val="00E84EFA"/>
    <w:rsid w:val="00EA0003"/>
    <w:rsid w:val="00EB7824"/>
    <w:rsid w:val="00EC1178"/>
    <w:rsid w:val="00ED106D"/>
    <w:rsid w:val="00F60BD9"/>
    <w:rsid w:val="00F72A87"/>
    <w:rsid w:val="00FC6097"/>
    <w:rsid w:val="00FE0B9E"/>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slovas.mik&#353;ys@visaginobus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13364</Words>
  <Characters>7618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Irma Daukantienė</cp:lastModifiedBy>
  <cp:revision>10</cp:revision>
  <dcterms:created xsi:type="dcterms:W3CDTF">2026-05-21T08:48:00Z</dcterms:created>
  <dcterms:modified xsi:type="dcterms:W3CDTF">2026-05-21T12:12:00Z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