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F168" w14:textId="4377A8DF" w:rsidR="006B54B0" w:rsidRPr="003267B5" w:rsidRDefault="003267B5" w:rsidP="003267B5">
      <w:pPr>
        <w:jc w:val="center"/>
        <w:rPr>
          <w:rFonts w:ascii="Jost" w:hAnsi="Jost"/>
          <w:b/>
          <w:bCs/>
        </w:rPr>
      </w:pPr>
      <w:r w:rsidRPr="003267B5">
        <w:rPr>
          <w:rFonts w:ascii="Jost" w:hAnsi="Jost"/>
          <w:b/>
          <w:bCs/>
        </w:rPr>
        <w:t>Techninė specifikacija</w:t>
      </w:r>
    </w:p>
    <w:tbl>
      <w:tblPr>
        <w:tblStyle w:val="TableGrid"/>
        <w:tblW w:w="13552" w:type="dxa"/>
        <w:tblInd w:w="-147" w:type="dxa"/>
        <w:tblLayout w:type="fixed"/>
        <w:tblLook w:val="04A0" w:firstRow="1" w:lastRow="0" w:firstColumn="1" w:lastColumn="0" w:noHBand="0" w:noVBand="1"/>
      </w:tblPr>
      <w:tblGrid>
        <w:gridCol w:w="1174"/>
        <w:gridCol w:w="6528"/>
        <w:gridCol w:w="1080"/>
        <w:gridCol w:w="900"/>
        <w:gridCol w:w="3870"/>
      </w:tblGrid>
      <w:tr w:rsidR="003267B5" w14:paraId="26B27789" w14:textId="77777777" w:rsidTr="004E57CE">
        <w:trPr>
          <w:trHeight w:val="559"/>
        </w:trPr>
        <w:tc>
          <w:tcPr>
            <w:tcW w:w="1174" w:type="dxa"/>
            <w:vAlign w:val="center"/>
          </w:tcPr>
          <w:p w14:paraId="50EBD0AC" w14:textId="77777777" w:rsidR="003267B5" w:rsidRDefault="003267B5" w:rsidP="0090093A">
            <w:pPr>
              <w:widowControl w:val="0"/>
              <w:spacing w:line="276" w:lineRule="auto"/>
              <w:jc w:val="center"/>
              <w:rPr>
                <w:bCs/>
              </w:rPr>
            </w:pPr>
            <w:r>
              <w:rPr>
                <w:rFonts w:eastAsia="Calibri" w:cs="Times New Roman"/>
                <w:bCs/>
                <w:szCs w:val="22"/>
              </w:rPr>
              <w:t>Nr.</w:t>
            </w:r>
          </w:p>
        </w:tc>
        <w:tc>
          <w:tcPr>
            <w:tcW w:w="6528" w:type="dxa"/>
            <w:vAlign w:val="center"/>
          </w:tcPr>
          <w:p w14:paraId="01B14498" w14:textId="77777777" w:rsidR="003267B5" w:rsidRDefault="003267B5" w:rsidP="0090093A">
            <w:r>
              <w:t>Pavadinimas</w:t>
            </w:r>
          </w:p>
        </w:tc>
        <w:tc>
          <w:tcPr>
            <w:tcW w:w="1080" w:type="dxa"/>
            <w:vAlign w:val="center"/>
          </w:tcPr>
          <w:p w14:paraId="08A13ECF" w14:textId="77777777" w:rsidR="003267B5" w:rsidRDefault="003267B5" w:rsidP="0090093A">
            <w:r>
              <w:t>Mato vienetas</w:t>
            </w:r>
          </w:p>
        </w:tc>
        <w:tc>
          <w:tcPr>
            <w:tcW w:w="900" w:type="dxa"/>
            <w:vAlign w:val="center"/>
          </w:tcPr>
          <w:p w14:paraId="2CF33889" w14:textId="77777777" w:rsidR="003267B5" w:rsidRDefault="003267B5" w:rsidP="0090093A">
            <w:r>
              <w:t>Kiekis</w:t>
            </w:r>
          </w:p>
        </w:tc>
        <w:tc>
          <w:tcPr>
            <w:tcW w:w="3870" w:type="dxa"/>
            <w:vAlign w:val="center"/>
          </w:tcPr>
          <w:p w14:paraId="09CCA61F" w14:textId="1BC2FCD7" w:rsidR="003267B5" w:rsidRDefault="003267B5" w:rsidP="0090093A">
            <w:r>
              <w:t>Rinkos dalyvių pastabos/ pasiūlymai</w:t>
            </w:r>
          </w:p>
        </w:tc>
      </w:tr>
      <w:tr w:rsidR="003267B5" w14:paraId="74F83581" w14:textId="77777777" w:rsidTr="004E57CE">
        <w:trPr>
          <w:trHeight w:val="374"/>
        </w:trPr>
        <w:tc>
          <w:tcPr>
            <w:tcW w:w="1174" w:type="dxa"/>
          </w:tcPr>
          <w:p w14:paraId="27A08A24" w14:textId="1CDE144E" w:rsidR="003267B5" w:rsidRDefault="003267B5" w:rsidP="0090093A">
            <w:r>
              <w:t xml:space="preserve">1. dalis </w:t>
            </w:r>
          </w:p>
        </w:tc>
        <w:tc>
          <w:tcPr>
            <w:tcW w:w="6528" w:type="dxa"/>
          </w:tcPr>
          <w:p w14:paraId="0D0C57AD" w14:textId="77777777" w:rsidR="003267B5" w:rsidRDefault="003267B5" w:rsidP="0090093A">
            <w:r>
              <w:t>Vienkartinių priemonių komplektas kojų venų operacijoms</w:t>
            </w:r>
            <w:r>
              <w:t xml:space="preserve">. </w:t>
            </w:r>
            <w:r>
              <w:t>Su siūlomomis vienkartinėmis priemonėmis kojų venų operacijoms Tiekėjas privalo užtikrinti jų techninį suderinamumą su Perkančiosios organizacijos naudojama įranga.</w:t>
            </w:r>
            <w:r>
              <w:t xml:space="preserve"> </w:t>
            </w:r>
            <w:r>
              <w:t xml:space="preserve">Jei siūlomi šviesolaidiniai zondai nėra techniškai suderinami su ligoninėje naudojamu </w:t>
            </w:r>
            <w:proofErr w:type="spellStart"/>
            <w:r>
              <w:t>diodiniu</w:t>
            </w:r>
            <w:proofErr w:type="spellEnd"/>
            <w:r>
              <w:t xml:space="preserve"> lazeriu „</w:t>
            </w:r>
            <w:proofErr w:type="spellStart"/>
            <w:r>
              <w:t>neoV</w:t>
            </w:r>
            <w:proofErr w:type="spellEnd"/>
            <w:r>
              <w:t xml:space="preserve"> 1470“, Tiekėjas kartu su siūlomais šviesolaidiniais zondais privalo panaudos būdu (nemokamai, laikotarpiui, kol bus sunaudoti visi iš tiekėjo įsigyti šviesolaidiniai zondai) pateikti </w:t>
            </w:r>
            <w:proofErr w:type="spellStart"/>
            <w:r>
              <w:t>diodinį</w:t>
            </w:r>
            <w:proofErr w:type="spellEnd"/>
            <w:r>
              <w:t xml:space="preserve"> lazerį, techniškai suderinamą su siūlomais šviesolaidiniais zondais ir atitinkantį techninės specifikacijos nustatytus reikalavimus.(Pasiūlyme turi būti nurodytas siūlomo </w:t>
            </w:r>
            <w:proofErr w:type="spellStart"/>
            <w:r>
              <w:t>diodinio</w:t>
            </w:r>
            <w:proofErr w:type="spellEnd"/>
            <w:r>
              <w:t xml:space="preserve"> lazerio gamintojas ir modelis).</w:t>
            </w:r>
            <w:r>
              <w:t xml:space="preserve"> </w:t>
            </w:r>
          </w:p>
          <w:p w14:paraId="54E04E39" w14:textId="384D6AF0" w:rsidR="003267B5" w:rsidRDefault="003267B5" w:rsidP="0090093A">
            <w:r>
              <w:t xml:space="preserve">Jei siūloma sistema, skirta </w:t>
            </w:r>
            <w:proofErr w:type="spellStart"/>
            <w:r>
              <w:t>endoveninei</w:t>
            </w:r>
            <w:proofErr w:type="spellEnd"/>
            <w:r>
              <w:t xml:space="preserve"> gydomajai lazerio procedūrai (ENVL), nėra techniškai suderinama su ligoninėje naudojama dozavimo pompa „DP30“, Tiekėjas kartu su siūlomomis sistemomis privalo panaudos būdu (nemokamai, laikotarpiui, kol bus sunaudotos visos iš tiekėjo įsigytos sistemos) pateikti dozavimo pompą, techniškai suderinamą su siūlomomis sistemomis ir atitinkančią techninės specifikacijos nustatytus reikalavimus.(Pasiūlyme turi būti nurodytas siūlomos dozavimo pompos gamintojas ir modelis).</w:t>
            </w:r>
          </w:p>
        </w:tc>
        <w:tc>
          <w:tcPr>
            <w:tcW w:w="1080" w:type="dxa"/>
          </w:tcPr>
          <w:p w14:paraId="3C25B94F" w14:textId="77777777" w:rsidR="003267B5" w:rsidRDefault="003267B5" w:rsidP="0090093A"/>
        </w:tc>
        <w:tc>
          <w:tcPr>
            <w:tcW w:w="900" w:type="dxa"/>
          </w:tcPr>
          <w:p w14:paraId="0E42F0B5" w14:textId="77777777" w:rsidR="003267B5" w:rsidRDefault="003267B5" w:rsidP="0090093A"/>
        </w:tc>
        <w:tc>
          <w:tcPr>
            <w:tcW w:w="3870" w:type="dxa"/>
          </w:tcPr>
          <w:p w14:paraId="3918FD89" w14:textId="226A8C57" w:rsidR="003267B5" w:rsidRDefault="003267B5" w:rsidP="0090093A"/>
        </w:tc>
      </w:tr>
      <w:tr w:rsidR="003267B5" w14:paraId="7D6913B8" w14:textId="77777777" w:rsidTr="004E57CE">
        <w:tc>
          <w:tcPr>
            <w:tcW w:w="1174" w:type="dxa"/>
          </w:tcPr>
          <w:p w14:paraId="71299457" w14:textId="77777777" w:rsidR="003267B5" w:rsidRDefault="003267B5" w:rsidP="0090093A">
            <w:r>
              <w:t>1.1. objektas</w:t>
            </w:r>
          </w:p>
        </w:tc>
        <w:tc>
          <w:tcPr>
            <w:tcW w:w="6528" w:type="dxa"/>
          </w:tcPr>
          <w:p w14:paraId="632CBED2" w14:textId="77777777" w:rsidR="003267B5" w:rsidRDefault="003267B5" w:rsidP="0090093A">
            <w:r>
              <w:t>Vienkartinių priemonių, skirtų kojų venų operacijoms su lazeriu, komplektą sudaro: šviesolaidinis kojų venų zondas, komplektuojamas kartu su įvedimo rinkiniu ir sistema, skirta dozavimo pompai.</w:t>
            </w:r>
          </w:p>
        </w:tc>
        <w:tc>
          <w:tcPr>
            <w:tcW w:w="1080" w:type="dxa"/>
          </w:tcPr>
          <w:p w14:paraId="46A169D0" w14:textId="77777777" w:rsidR="003267B5" w:rsidRDefault="003267B5" w:rsidP="0090093A">
            <w:r>
              <w:t>vnt.</w:t>
            </w:r>
          </w:p>
        </w:tc>
        <w:tc>
          <w:tcPr>
            <w:tcW w:w="900" w:type="dxa"/>
          </w:tcPr>
          <w:p w14:paraId="39651D24" w14:textId="77777777" w:rsidR="003267B5" w:rsidRDefault="003267B5" w:rsidP="0090093A">
            <w:r>
              <w:t>270</w:t>
            </w:r>
          </w:p>
        </w:tc>
        <w:tc>
          <w:tcPr>
            <w:tcW w:w="3870" w:type="dxa"/>
          </w:tcPr>
          <w:p w14:paraId="771BB9FA" w14:textId="77777777" w:rsidR="003267B5" w:rsidRDefault="003267B5" w:rsidP="0090093A"/>
        </w:tc>
      </w:tr>
      <w:tr w:rsidR="003267B5" w14:paraId="6583ED0E" w14:textId="77777777" w:rsidTr="004E57CE">
        <w:tc>
          <w:tcPr>
            <w:tcW w:w="1174" w:type="dxa"/>
          </w:tcPr>
          <w:p w14:paraId="4326758D" w14:textId="77777777" w:rsidR="003267B5" w:rsidRDefault="003267B5" w:rsidP="0090093A">
            <w:r>
              <w:t>1.1.1. parametras</w:t>
            </w:r>
          </w:p>
        </w:tc>
        <w:tc>
          <w:tcPr>
            <w:tcW w:w="6528" w:type="dxa"/>
          </w:tcPr>
          <w:p w14:paraId="64201170" w14:textId="77777777" w:rsidR="003267B5" w:rsidRDefault="003267B5" w:rsidP="0090093A">
            <w:r>
              <w:t>Šviesolaidinis kojų venų zondas:                                                                                                                        1.Vienkartinio naudojimo;</w:t>
            </w:r>
          </w:p>
          <w:p w14:paraId="57B33149" w14:textId="77777777" w:rsidR="003267B5" w:rsidRDefault="003267B5" w:rsidP="0090093A">
            <w:r>
              <w:t xml:space="preserve"> </w:t>
            </w:r>
            <w:r>
              <w:t>2. Sterilus, supakuotas ne mažiau kaip dviejų lygių pakuotėje su šviesolaidžio laikikliu - apsauga nuo sulenkimo;</w:t>
            </w:r>
            <w:r>
              <w:t xml:space="preserve"> </w:t>
            </w:r>
          </w:p>
          <w:p w14:paraId="33093A08" w14:textId="77777777" w:rsidR="003267B5" w:rsidRDefault="003267B5" w:rsidP="0090093A">
            <w:r>
              <w:lastRenderedPageBreak/>
              <w:t xml:space="preserve">3. Techniškai suderinamas su ligoninėje naudojamu gamintojo „G.N.S </w:t>
            </w:r>
            <w:proofErr w:type="spellStart"/>
            <w:r>
              <w:t>neoLaser</w:t>
            </w:r>
            <w:proofErr w:type="spellEnd"/>
            <w:r>
              <w:t xml:space="preserve">“ </w:t>
            </w:r>
            <w:proofErr w:type="spellStart"/>
            <w:r>
              <w:t>diodiniu</w:t>
            </w:r>
            <w:proofErr w:type="spellEnd"/>
            <w:r>
              <w:t xml:space="preserve"> lazeriu „</w:t>
            </w:r>
            <w:proofErr w:type="spellStart"/>
            <w:r>
              <w:t>neoV</w:t>
            </w:r>
            <w:proofErr w:type="spellEnd"/>
            <w:r>
              <w:t xml:space="preserve"> 1470“ arba techniškai suderinamas su panaudos būdu teikiamu </w:t>
            </w:r>
            <w:proofErr w:type="spellStart"/>
            <w:r>
              <w:t>diodiniu</w:t>
            </w:r>
            <w:proofErr w:type="spellEnd"/>
            <w:r>
              <w:t xml:space="preserve"> lazeriu;</w:t>
            </w:r>
          </w:p>
          <w:p w14:paraId="2B420C66" w14:textId="77777777" w:rsidR="003267B5" w:rsidRDefault="003267B5" w:rsidP="0090093A">
            <w:r>
              <w:t>4. Ilgis ne trumpesnis nei 2,5 metro;</w:t>
            </w:r>
          </w:p>
          <w:p w14:paraId="4D845BE0" w14:textId="77777777" w:rsidR="003267B5" w:rsidRDefault="003267B5" w:rsidP="0090093A">
            <w:r>
              <w:t xml:space="preserve">5. Šviesolaidžių distalinio galiuko ir šerdies diametras: </w:t>
            </w:r>
          </w:p>
          <w:p w14:paraId="09292FC4" w14:textId="3A988A66" w:rsidR="003267B5" w:rsidRDefault="003267B5" w:rsidP="0090093A">
            <w:r>
              <w:t xml:space="preserve">      </w:t>
            </w:r>
            <w:r>
              <w:t>5.1.</w:t>
            </w:r>
            <w:r>
              <w:t xml:space="preserve"> </w:t>
            </w:r>
            <w:r>
              <w:t xml:space="preserve">Distalinis galiukas 1,8 ± 0,02 mm kai šerdies diametras 600 µm   </w:t>
            </w:r>
          </w:p>
          <w:p w14:paraId="406ED89B" w14:textId="061551A5" w:rsidR="003267B5" w:rsidRDefault="003267B5" w:rsidP="0090093A">
            <w:r>
              <w:t xml:space="preserve">      </w:t>
            </w:r>
            <w:r>
              <w:t>5.2.</w:t>
            </w:r>
            <w:r>
              <w:t xml:space="preserve"> </w:t>
            </w:r>
            <w:r>
              <w:t xml:space="preserve">Distalinis galiukas 1,6 ± 0,02 mm kai šerdies diametras 600 µm   </w:t>
            </w:r>
          </w:p>
          <w:p w14:paraId="03370D66" w14:textId="764650C2" w:rsidR="003267B5" w:rsidRDefault="003267B5" w:rsidP="0090093A">
            <w:r>
              <w:t xml:space="preserve">      </w:t>
            </w:r>
            <w:r>
              <w:t>5.3.</w:t>
            </w:r>
            <w:r>
              <w:t xml:space="preserve"> </w:t>
            </w:r>
            <w:r>
              <w:t xml:space="preserve">Distalinis galiukas 1,3 ± 0,02 mm kai šerdies diametras 400 µm   </w:t>
            </w:r>
          </w:p>
          <w:p w14:paraId="0A998E6F" w14:textId="76138087" w:rsidR="003267B5" w:rsidRDefault="003267B5" w:rsidP="0090093A">
            <w:r>
              <w:t xml:space="preserve">      </w:t>
            </w:r>
            <w:r>
              <w:t>5.4.</w:t>
            </w:r>
            <w:r>
              <w:t xml:space="preserve"> </w:t>
            </w:r>
            <w:r>
              <w:t xml:space="preserve">Distalinis galiukas 1,2 ± 0,02 mm kai šerdies diametras 500 µm  </w:t>
            </w:r>
          </w:p>
          <w:p w14:paraId="6C98E8B9" w14:textId="77777777" w:rsidR="003267B5" w:rsidRDefault="003267B5" w:rsidP="0090093A">
            <w:r>
              <w:t xml:space="preserve"> 6.</w:t>
            </w:r>
            <w:r>
              <w:t xml:space="preserve"> </w:t>
            </w:r>
            <w:r>
              <w:t>Šviesolaidis pagal antgalio ir šerdies diametrą pasirenkamas užsakymo metu.</w:t>
            </w:r>
          </w:p>
          <w:p w14:paraId="507B053C" w14:textId="77777777" w:rsidR="003267B5" w:rsidRDefault="003267B5" w:rsidP="0090093A">
            <w:r>
              <w:t>7.</w:t>
            </w:r>
            <w:r>
              <w:t xml:space="preserve"> </w:t>
            </w:r>
            <w:r>
              <w:t xml:space="preserve">Šviesolaidžių energijos emisija: </w:t>
            </w:r>
            <w:proofErr w:type="spellStart"/>
            <w:r>
              <w:t>radialinė</w:t>
            </w:r>
            <w:proofErr w:type="spellEnd"/>
            <w:r>
              <w:t xml:space="preserve"> - cilindrinė 3-4 mm atkarpoje;</w:t>
            </w:r>
          </w:p>
          <w:p w14:paraId="3FF7593D" w14:textId="77777777" w:rsidR="003267B5" w:rsidRDefault="003267B5" w:rsidP="0090093A">
            <w:r>
              <w:t>8.</w:t>
            </w:r>
            <w:r>
              <w:t xml:space="preserve"> </w:t>
            </w:r>
            <w:r>
              <w:t>Šviesolaidžių antgaliai sulieti su šviesolaidžiu stiklas su stiklu (</w:t>
            </w:r>
            <w:proofErr w:type="spellStart"/>
            <w:r>
              <w:t>Fused</w:t>
            </w:r>
            <w:proofErr w:type="spellEnd"/>
            <w:r>
              <w:t>) technologija;</w:t>
            </w:r>
          </w:p>
          <w:p w14:paraId="4F81B440" w14:textId="77777777" w:rsidR="003267B5" w:rsidRDefault="003267B5" w:rsidP="0090093A">
            <w:r>
              <w:t>9.</w:t>
            </w:r>
            <w:r>
              <w:t xml:space="preserve"> </w:t>
            </w:r>
            <w:r>
              <w:t xml:space="preserve">Įvedimo rinkinio komplektas pateikiamas vienoje sterilioje pakuotėje, kurį sudaro (dydžiai 6F, 5F, 4F pagal šviesolaidžio pasirinkimą užsakymo metu): 11 ± 1 cm įvedimo kateteris, 0,018“ storio ir 45 ± 1 cm ilgio </w:t>
            </w:r>
            <w:proofErr w:type="spellStart"/>
            <w:r>
              <w:t>pravedėjas</w:t>
            </w:r>
            <w:proofErr w:type="spellEnd"/>
            <w:r>
              <w:t xml:space="preserve"> viela, ne storesnė nei 21G ir ne trumpesnė nei 70 mm ilgio </w:t>
            </w:r>
            <w:proofErr w:type="spellStart"/>
            <w:r>
              <w:t>echogeninė</w:t>
            </w:r>
            <w:proofErr w:type="spellEnd"/>
            <w:r>
              <w:t xml:space="preserve"> įvedimo adata su </w:t>
            </w:r>
            <w:proofErr w:type="spellStart"/>
            <w:r>
              <w:t>echogenine</w:t>
            </w:r>
            <w:proofErr w:type="spellEnd"/>
            <w:r>
              <w:t xml:space="preserve"> žyma ant adatos galiuko.</w:t>
            </w:r>
          </w:p>
          <w:p w14:paraId="357877DE" w14:textId="43BA2DE1" w:rsidR="003267B5" w:rsidRDefault="003267B5" w:rsidP="0090093A">
            <w:r>
              <w:t>10.</w:t>
            </w:r>
            <w:r>
              <w:t xml:space="preserve"> </w:t>
            </w:r>
            <w:r>
              <w:t>Žymimas CE ženklu (kartu su pasiūlymu privaloma pateikti galiojančio CE sertifikato arba EB atitikties deklaracijos kopiją).</w:t>
            </w:r>
          </w:p>
        </w:tc>
        <w:tc>
          <w:tcPr>
            <w:tcW w:w="1080" w:type="dxa"/>
          </w:tcPr>
          <w:p w14:paraId="699B4AB9" w14:textId="77777777" w:rsidR="003267B5" w:rsidRDefault="003267B5" w:rsidP="0090093A"/>
        </w:tc>
        <w:tc>
          <w:tcPr>
            <w:tcW w:w="900" w:type="dxa"/>
          </w:tcPr>
          <w:p w14:paraId="058E9B90" w14:textId="77777777" w:rsidR="003267B5" w:rsidRDefault="003267B5" w:rsidP="0090093A"/>
        </w:tc>
        <w:tc>
          <w:tcPr>
            <w:tcW w:w="3870" w:type="dxa"/>
          </w:tcPr>
          <w:p w14:paraId="4AF29C8F" w14:textId="77777777" w:rsidR="003267B5" w:rsidRDefault="003267B5" w:rsidP="0090093A"/>
        </w:tc>
      </w:tr>
      <w:tr w:rsidR="003267B5" w14:paraId="01F41992" w14:textId="77777777" w:rsidTr="004E57CE">
        <w:tc>
          <w:tcPr>
            <w:tcW w:w="1174" w:type="dxa"/>
          </w:tcPr>
          <w:p w14:paraId="112A1D29" w14:textId="77777777" w:rsidR="003267B5" w:rsidRDefault="003267B5" w:rsidP="0090093A">
            <w:r>
              <w:t>1.1.2. parametras</w:t>
            </w:r>
          </w:p>
        </w:tc>
        <w:tc>
          <w:tcPr>
            <w:tcW w:w="6528" w:type="dxa"/>
          </w:tcPr>
          <w:p w14:paraId="798C4B3C" w14:textId="77777777" w:rsidR="004E57CE" w:rsidRDefault="003267B5" w:rsidP="0090093A">
            <w:r>
              <w:t>Sistema dozavimo pompai:                                                                                                                                                                                                                     1.</w:t>
            </w:r>
            <w:r w:rsidR="004E57CE">
              <w:t xml:space="preserve"> </w:t>
            </w:r>
            <w:r>
              <w:t xml:space="preserve">Skirta </w:t>
            </w:r>
            <w:proofErr w:type="spellStart"/>
            <w:r>
              <w:t>endoveninei</w:t>
            </w:r>
            <w:proofErr w:type="spellEnd"/>
            <w:r>
              <w:t xml:space="preserve"> gydomajai lazerio procedūrai (ENVL);</w:t>
            </w:r>
          </w:p>
          <w:p w14:paraId="65F8C952" w14:textId="77777777" w:rsidR="004E57CE" w:rsidRDefault="003267B5" w:rsidP="0090093A">
            <w:r>
              <w:t>2.</w:t>
            </w:r>
            <w:r w:rsidR="004E57CE">
              <w:t xml:space="preserve"> </w:t>
            </w:r>
            <w:r>
              <w:t>Vienkartinio naudojimo;</w:t>
            </w:r>
          </w:p>
          <w:p w14:paraId="4654C442" w14:textId="77777777" w:rsidR="004E57CE" w:rsidRDefault="003267B5" w:rsidP="0090093A">
            <w:r>
              <w:t>3.</w:t>
            </w:r>
            <w:r w:rsidR="004E57CE">
              <w:t xml:space="preserve"> </w:t>
            </w:r>
            <w:r>
              <w:t>Techniškai suderinama su ligoninėje naudojama gamintojo „</w:t>
            </w:r>
            <w:proofErr w:type="spellStart"/>
            <w:r>
              <w:t>Nouvag</w:t>
            </w:r>
            <w:proofErr w:type="spellEnd"/>
            <w:r>
              <w:t>“ dozavimo pompa „DP30“ arba techniškai suderinama su panaudos būdu teikiama dozavimo pompa;</w:t>
            </w:r>
          </w:p>
          <w:p w14:paraId="18E12864" w14:textId="77777777" w:rsidR="004E57CE" w:rsidRDefault="003267B5" w:rsidP="0090093A">
            <w:r>
              <w:t>4.</w:t>
            </w:r>
            <w:r w:rsidR="004E57CE">
              <w:t xml:space="preserve"> </w:t>
            </w:r>
            <w:r>
              <w:t>Su tėkmės greičio reguliatoriumi;</w:t>
            </w:r>
          </w:p>
          <w:p w14:paraId="619A9950" w14:textId="77777777" w:rsidR="004E57CE" w:rsidRDefault="003267B5" w:rsidP="0090093A">
            <w:r>
              <w:lastRenderedPageBreak/>
              <w:t>5.</w:t>
            </w:r>
            <w:r w:rsidR="004E57CE">
              <w:t xml:space="preserve"> </w:t>
            </w:r>
            <w:r>
              <w:t xml:space="preserve">Su </w:t>
            </w:r>
            <w:proofErr w:type="spellStart"/>
            <w:r>
              <w:t>Luer-Lock</w:t>
            </w:r>
            <w:proofErr w:type="spellEnd"/>
            <w:r>
              <w:t xml:space="preserve"> jungtimi;</w:t>
            </w:r>
          </w:p>
          <w:p w14:paraId="37D5B4C5" w14:textId="77777777" w:rsidR="004E57CE" w:rsidRDefault="003267B5" w:rsidP="0090093A">
            <w:r>
              <w:t>6.</w:t>
            </w:r>
            <w:r w:rsidR="004E57CE">
              <w:t xml:space="preserve"> </w:t>
            </w:r>
            <w:r>
              <w:t>Sistemos ilgis ne trumpesnė nei 4,0 m;</w:t>
            </w:r>
          </w:p>
          <w:p w14:paraId="17AD7707" w14:textId="2C773C63" w:rsidR="003267B5" w:rsidRDefault="003267B5" w:rsidP="0090093A">
            <w:r>
              <w:t>7.</w:t>
            </w:r>
            <w:r w:rsidR="004E57CE">
              <w:t xml:space="preserve"> </w:t>
            </w:r>
            <w:r>
              <w:t xml:space="preserve">Žymima CE ženklu (kartu su pasiūlymu privaloma pateikti galiojančio CE sertifikato arba EB atitikties deklaracijos kopiją).                                                                                                                                                   </w:t>
            </w:r>
          </w:p>
        </w:tc>
        <w:tc>
          <w:tcPr>
            <w:tcW w:w="1080" w:type="dxa"/>
          </w:tcPr>
          <w:p w14:paraId="74BC05CE" w14:textId="77777777" w:rsidR="003267B5" w:rsidRDefault="003267B5" w:rsidP="0090093A"/>
        </w:tc>
        <w:tc>
          <w:tcPr>
            <w:tcW w:w="900" w:type="dxa"/>
          </w:tcPr>
          <w:p w14:paraId="6C37ADDD" w14:textId="77777777" w:rsidR="003267B5" w:rsidRDefault="003267B5" w:rsidP="0090093A"/>
        </w:tc>
        <w:tc>
          <w:tcPr>
            <w:tcW w:w="3870" w:type="dxa"/>
          </w:tcPr>
          <w:p w14:paraId="2F15E535" w14:textId="77777777" w:rsidR="003267B5" w:rsidRDefault="003267B5" w:rsidP="0090093A"/>
        </w:tc>
      </w:tr>
    </w:tbl>
    <w:p w14:paraId="14B3CDD3" w14:textId="77777777" w:rsidR="003267B5" w:rsidRDefault="003267B5"/>
    <w:p w14:paraId="018AB34F" w14:textId="77777777" w:rsidR="003267B5" w:rsidRDefault="003267B5"/>
    <w:sectPr w:rsidR="003267B5" w:rsidSect="003267B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ost">
    <w:altName w:val="Cambria"/>
    <w:charset w:val="00"/>
    <w:family w:val="auto"/>
    <w:pitch w:val="variable"/>
    <w:sig w:usb0="A00002EF" w:usb1="0000205B" w:usb2="00000010" w:usb3="00000000" w:csb0="00000097"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9E"/>
    <w:rsid w:val="00056A92"/>
    <w:rsid w:val="003267B5"/>
    <w:rsid w:val="004E57CE"/>
    <w:rsid w:val="005C41CB"/>
    <w:rsid w:val="00684EAA"/>
    <w:rsid w:val="006B54B0"/>
    <w:rsid w:val="00EE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E62F"/>
  <w15:chartTrackingRefBased/>
  <w15:docId w15:val="{0C3A5B2D-0F02-4D39-93AC-B7325958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EE5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49E"/>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EE549E"/>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EE549E"/>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EE549E"/>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EE549E"/>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EE549E"/>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EE549E"/>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EE549E"/>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EE549E"/>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EE5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49E"/>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EE5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49E"/>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EE549E"/>
    <w:pPr>
      <w:spacing w:before="160"/>
      <w:jc w:val="center"/>
    </w:pPr>
    <w:rPr>
      <w:i/>
      <w:iCs/>
      <w:color w:val="404040" w:themeColor="text1" w:themeTint="BF"/>
    </w:rPr>
  </w:style>
  <w:style w:type="character" w:customStyle="1" w:styleId="QuoteChar">
    <w:name w:val="Quote Char"/>
    <w:basedOn w:val="DefaultParagraphFont"/>
    <w:link w:val="Quote"/>
    <w:uiPriority w:val="29"/>
    <w:rsid w:val="00EE549E"/>
    <w:rPr>
      <w:i/>
      <w:iCs/>
      <w:color w:val="404040" w:themeColor="text1" w:themeTint="BF"/>
      <w:lang w:val="lt-LT"/>
    </w:rPr>
  </w:style>
  <w:style w:type="paragraph" w:styleId="ListParagraph">
    <w:name w:val="List Paragraph"/>
    <w:basedOn w:val="Normal"/>
    <w:uiPriority w:val="34"/>
    <w:qFormat/>
    <w:rsid w:val="00EE549E"/>
    <w:pPr>
      <w:ind w:left="720"/>
      <w:contextualSpacing/>
    </w:pPr>
  </w:style>
  <w:style w:type="character" w:styleId="IntenseEmphasis">
    <w:name w:val="Intense Emphasis"/>
    <w:basedOn w:val="DefaultParagraphFont"/>
    <w:uiPriority w:val="21"/>
    <w:qFormat/>
    <w:rsid w:val="00EE549E"/>
    <w:rPr>
      <w:i/>
      <w:iCs/>
      <w:color w:val="0F4761" w:themeColor="accent1" w:themeShade="BF"/>
    </w:rPr>
  </w:style>
  <w:style w:type="paragraph" w:styleId="IntenseQuote">
    <w:name w:val="Intense Quote"/>
    <w:basedOn w:val="Normal"/>
    <w:next w:val="Normal"/>
    <w:link w:val="IntenseQuoteChar"/>
    <w:uiPriority w:val="30"/>
    <w:qFormat/>
    <w:rsid w:val="00EE5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49E"/>
    <w:rPr>
      <w:i/>
      <w:iCs/>
      <w:color w:val="0F4761" w:themeColor="accent1" w:themeShade="BF"/>
      <w:lang w:val="lt-LT"/>
    </w:rPr>
  </w:style>
  <w:style w:type="character" w:styleId="IntenseReference">
    <w:name w:val="Intense Reference"/>
    <w:basedOn w:val="DefaultParagraphFont"/>
    <w:uiPriority w:val="32"/>
    <w:qFormat/>
    <w:rsid w:val="00EE549E"/>
    <w:rPr>
      <w:b/>
      <w:bCs/>
      <w:smallCaps/>
      <w:color w:val="0F4761" w:themeColor="accent1" w:themeShade="BF"/>
      <w:spacing w:val="5"/>
    </w:rPr>
  </w:style>
  <w:style w:type="table" w:styleId="TableGrid">
    <w:name w:val="Table Grid"/>
    <w:basedOn w:val="TableNormal"/>
    <w:uiPriority w:val="39"/>
    <w:rsid w:val="003267B5"/>
    <w:pPr>
      <w:suppressAutoHyphens/>
      <w:spacing w:after="0" w:line="240" w:lineRule="auto"/>
    </w:pPr>
    <w:rPr>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Miliūnaitė</dc:creator>
  <cp:keywords/>
  <dc:description/>
  <cp:lastModifiedBy>Aušra Miliūnaitė</cp:lastModifiedBy>
  <cp:revision>3</cp:revision>
  <dcterms:created xsi:type="dcterms:W3CDTF">2026-05-21T14:20:00Z</dcterms:created>
  <dcterms:modified xsi:type="dcterms:W3CDTF">2026-05-21T14:29:00Z</dcterms:modified>
</cp:coreProperties>
</file>