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74A0" w14:textId="25C5A284" w:rsidR="0018349D" w:rsidRPr="00B839F6" w:rsidRDefault="0018349D" w:rsidP="0018349D">
      <w:pPr>
        <w:pStyle w:val="Header"/>
        <w:jc w:val="right"/>
        <w:rPr>
          <w:rFonts w:ascii="Jost" w:hAnsi="Jost"/>
        </w:rPr>
      </w:pPr>
      <w:proofErr w:type="spellStart"/>
      <w:r w:rsidRPr="00B839F6">
        <w:rPr>
          <w:rFonts w:ascii="Jost" w:hAnsi="Jost"/>
        </w:rPr>
        <w:t>Bendrieji</w:t>
      </w:r>
      <w:proofErr w:type="spellEnd"/>
      <w:r w:rsidRPr="00B839F6">
        <w:rPr>
          <w:rFonts w:ascii="Jost" w:hAnsi="Jost"/>
        </w:rPr>
        <w:t xml:space="preserve"> </w:t>
      </w:r>
      <w:proofErr w:type="spellStart"/>
      <w:r w:rsidRPr="00B839F6">
        <w:rPr>
          <w:rFonts w:ascii="Jost" w:hAnsi="Jost"/>
        </w:rPr>
        <w:t>techninės</w:t>
      </w:r>
      <w:proofErr w:type="spellEnd"/>
      <w:r w:rsidRPr="00B839F6">
        <w:rPr>
          <w:rFonts w:ascii="Jost" w:hAnsi="Jost"/>
        </w:rPr>
        <w:t xml:space="preserve"> </w:t>
      </w:r>
      <w:proofErr w:type="spellStart"/>
      <w:r w:rsidRPr="00B839F6">
        <w:rPr>
          <w:rFonts w:ascii="Jost" w:hAnsi="Jost"/>
        </w:rPr>
        <w:t>specifikacijos</w:t>
      </w:r>
      <w:proofErr w:type="spellEnd"/>
      <w:r w:rsidRPr="00B839F6">
        <w:rPr>
          <w:rFonts w:ascii="Jost" w:hAnsi="Jost"/>
        </w:rPr>
        <w:t xml:space="preserve"> </w:t>
      </w:r>
      <w:proofErr w:type="spellStart"/>
      <w:r w:rsidRPr="00B839F6">
        <w:rPr>
          <w:rFonts w:ascii="Jost" w:hAnsi="Jost"/>
        </w:rPr>
        <w:t>reikalavimai</w:t>
      </w:r>
      <w:proofErr w:type="spellEnd"/>
    </w:p>
    <w:p w14:paraId="4D2633EE" w14:textId="77777777" w:rsidR="0018349D" w:rsidRPr="00B839F6" w:rsidRDefault="0018349D" w:rsidP="000E29F9">
      <w:pPr>
        <w:jc w:val="center"/>
        <w:rPr>
          <w:rFonts w:ascii="Jost" w:hAnsi="Jost"/>
          <w:b/>
          <w:bCs/>
          <w:iCs/>
          <w:lang w:val="lt-LT"/>
        </w:rPr>
      </w:pPr>
    </w:p>
    <w:p w14:paraId="69CFBA3B" w14:textId="1F102B8A" w:rsidR="003634E3" w:rsidRPr="00B839F6" w:rsidRDefault="003634E3" w:rsidP="003634E3">
      <w:pPr>
        <w:jc w:val="center"/>
        <w:rPr>
          <w:rFonts w:ascii="Jost" w:hAnsi="Jost"/>
          <w:b/>
          <w:color w:val="000000" w:themeColor="text1"/>
          <w:lang w:val="lt-LT"/>
        </w:rPr>
      </w:pPr>
      <w:r w:rsidRPr="00B839F6">
        <w:rPr>
          <w:rFonts w:ascii="Jost" w:hAnsi="Jost"/>
          <w:b/>
          <w:color w:val="000000" w:themeColor="text1"/>
          <w:lang w:val="lt-LT"/>
        </w:rPr>
        <w:t>BENDRIEJI TECHNINĖS SPECIFIKACIJOS REIKALAVIMAI</w:t>
      </w:r>
    </w:p>
    <w:p w14:paraId="69238982" w14:textId="29F86D08" w:rsidR="00416286" w:rsidRPr="00B839F6" w:rsidRDefault="00416286" w:rsidP="000E29F9">
      <w:pPr>
        <w:jc w:val="center"/>
        <w:rPr>
          <w:rFonts w:ascii="Jost" w:hAnsi="Jost"/>
          <w:b/>
          <w:bCs/>
          <w:iCs/>
          <w:lang w:val="lt-LT"/>
        </w:rPr>
      </w:pPr>
    </w:p>
    <w:p w14:paraId="0157B166" w14:textId="77777777" w:rsidR="00505C8A" w:rsidRPr="00B839F6" w:rsidRDefault="00505C8A" w:rsidP="003A649D">
      <w:pPr>
        <w:ind w:firstLine="567"/>
        <w:jc w:val="center"/>
        <w:rPr>
          <w:rFonts w:ascii="Jost" w:hAnsi="Jost"/>
          <w:b/>
          <w:sz w:val="20"/>
          <w:lang w:val="lt-LT"/>
        </w:rPr>
      </w:pPr>
    </w:p>
    <w:p w14:paraId="2D526B0F" w14:textId="19C8E44A" w:rsidR="000E29F9" w:rsidRPr="00B839F6" w:rsidRDefault="000E29F9" w:rsidP="003A649D">
      <w:pPr>
        <w:ind w:firstLine="567"/>
        <w:jc w:val="both"/>
        <w:rPr>
          <w:rFonts w:ascii="Jost" w:hAnsi="Jost"/>
          <w:lang w:val="lt-LT"/>
        </w:rPr>
      </w:pPr>
      <w:r w:rsidRPr="00B839F6">
        <w:rPr>
          <w:rFonts w:ascii="Jost" w:hAnsi="Jost"/>
          <w:lang w:val="lt-LT"/>
        </w:rPr>
        <w:t>1.</w:t>
      </w:r>
      <w:r w:rsidRPr="00B839F6">
        <w:rPr>
          <w:rFonts w:ascii="Jost" w:hAnsi="Jost"/>
          <w:b/>
          <w:bCs/>
          <w:lang w:val="lt-LT"/>
        </w:rPr>
        <w:t xml:space="preserve"> </w:t>
      </w:r>
      <w:r w:rsidRPr="00B839F6">
        <w:rPr>
          <w:rFonts w:ascii="Jost" w:hAnsi="Jost"/>
          <w:lang w:val="lt-LT"/>
        </w:rPr>
        <w:t xml:space="preserve">Tiekėjas </w:t>
      </w:r>
      <w:r w:rsidRPr="00B839F6">
        <w:rPr>
          <w:rFonts w:ascii="Jost" w:hAnsi="Jost"/>
          <w:b/>
          <w:bCs/>
          <w:i/>
          <w:iCs/>
          <w:u w:val="single"/>
          <w:lang w:val="lt-LT"/>
        </w:rPr>
        <w:t>kartu su pasiūlymu</w:t>
      </w:r>
      <w:r w:rsidRPr="00B839F6">
        <w:rPr>
          <w:rFonts w:ascii="Jost" w:hAnsi="Jost"/>
          <w:lang w:val="lt-LT"/>
        </w:rPr>
        <w:t xml:space="preserve"> privalo pateikti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w:t>
      </w:r>
      <w:r w:rsidRPr="00B839F6">
        <w:rPr>
          <w:rFonts w:ascii="Jost" w:hAnsi="Jost"/>
          <w:b/>
          <w:bCs/>
          <w:i/>
          <w:iCs/>
          <w:u w:val="single"/>
          <w:lang w:val="lt-LT"/>
        </w:rPr>
        <w:t xml:space="preserve">originalo </w:t>
      </w:r>
      <w:r w:rsidR="00B85431" w:rsidRPr="00B839F6">
        <w:rPr>
          <w:rFonts w:ascii="Jost" w:hAnsi="Jost"/>
          <w:b/>
          <w:bCs/>
          <w:i/>
          <w:iCs/>
          <w:u w:val="single"/>
          <w:lang w:val="lt-LT"/>
        </w:rPr>
        <w:t xml:space="preserve">kalba </w:t>
      </w:r>
      <w:r w:rsidR="00983F3E" w:rsidRPr="00B839F6">
        <w:rPr>
          <w:rFonts w:ascii="Jost" w:hAnsi="Jost"/>
          <w:b/>
          <w:bCs/>
          <w:i/>
          <w:iCs/>
          <w:u w:val="single"/>
          <w:lang w:val="lt-LT"/>
        </w:rPr>
        <w:t>su vertimu į</w:t>
      </w:r>
      <w:r w:rsidRPr="00B839F6">
        <w:rPr>
          <w:rFonts w:ascii="Jost" w:hAnsi="Jost"/>
          <w:b/>
          <w:bCs/>
          <w:i/>
          <w:iCs/>
          <w:u w:val="single"/>
          <w:lang w:val="lt-LT"/>
        </w:rPr>
        <w:t xml:space="preserve"> </w:t>
      </w:r>
      <w:r w:rsidR="003421B2" w:rsidRPr="00B839F6">
        <w:rPr>
          <w:rFonts w:ascii="Jost" w:hAnsi="Jost"/>
          <w:b/>
          <w:bCs/>
          <w:i/>
          <w:iCs/>
          <w:u w:val="single"/>
          <w:lang w:val="lt-LT"/>
        </w:rPr>
        <w:t xml:space="preserve">anglų </w:t>
      </w:r>
      <w:r w:rsidR="00744C82" w:rsidRPr="00B839F6">
        <w:rPr>
          <w:rFonts w:ascii="Jost" w:hAnsi="Jost"/>
          <w:b/>
          <w:bCs/>
          <w:i/>
          <w:iCs/>
          <w:u w:val="single"/>
          <w:lang w:val="lt-LT"/>
        </w:rPr>
        <w:t xml:space="preserve">arba </w:t>
      </w:r>
      <w:r w:rsidRPr="00B839F6">
        <w:rPr>
          <w:rFonts w:ascii="Jost" w:hAnsi="Jost"/>
          <w:b/>
          <w:bCs/>
          <w:i/>
          <w:iCs/>
          <w:u w:val="single"/>
          <w:lang w:val="lt-LT"/>
        </w:rPr>
        <w:t>lietuvių kalb</w:t>
      </w:r>
      <w:r w:rsidR="001A243E" w:rsidRPr="00B839F6">
        <w:rPr>
          <w:rFonts w:ascii="Jost" w:hAnsi="Jost"/>
          <w:b/>
          <w:bCs/>
          <w:i/>
          <w:iCs/>
          <w:u w:val="single"/>
          <w:lang w:val="lt-LT"/>
        </w:rPr>
        <w:t>ą</w:t>
      </w:r>
      <w:r w:rsidRPr="00B839F6">
        <w:rPr>
          <w:rFonts w:ascii="Jost" w:hAnsi="Jost"/>
          <w:lang w:val="lt-LT"/>
        </w:rPr>
        <w:t>. Siūlomų prekių gamintojo kataloguose/ bukletuose/ brošiūrose ir prekės aprašyme privaloma grafiškai nurodyti (</w:t>
      </w:r>
      <w:r w:rsidRPr="00B839F6">
        <w:rPr>
          <w:rFonts w:ascii="Jost" w:hAnsi="Jost"/>
          <w:b/>
          <w:bCs/>
          <w:i/>
          <w:iCs/>
          <w:lang w:val="lt-LT"/>
        </w:rPr>
        <w:t>t. y. pastebimai pažymėti – spalvotai paženklinti, ir/ar nurodyti rodyklėmis, ir/ar pabraukti</w:t>
      </w:r>
      <w:r w:rsidRPr="00B839F6">
        <w:rPr>
          <w:rFonts w:ascii="Jost" w:hAnsi="Jost"/>
          <w:lang w:val="lt-LT"/>
        </w:rPr>
        <w:t xml:space="preserve">) konkrečias teikiamų dokumentų vietas, kur aprašomos reikalaujamų techninių charakteristikų reikšmės bei įrašyti, kurį techninės specifikacijos reikalaujamo techninio parametro punktą jos atitinka.  Jei gamintojo išleistame kataloge nėra Perkančiosios organizacijos reikalaujamo prekių parametro atitiktį patvirtinančios informacijos arba neišsamiai aprašyta, Tiekėjas gali pateikti atitiktį patvirtinančią prekių gamintojo deklaraciją. </w:t>
      </w:r>
      <w:r w:rsidR="00D93071" w:rsidRPr="00B839F6">
        <w:rPr>
          <w:rFonts w:ascii="Jost" w:hAnsi="Jost"/>
          <w:lang w:val="lt-LT"/>
        </w:rPr>
        <w:t xml:space="preserve">Bet kokia kita kalba (išskyrus lietuvių ir anglų) parengti dokumentai turi būti pateikiami su vertimu į lietuvių arba anglų kalbą (Pastaba: vertimas gali būti pateikiamas atskiru dokumentu). Perkančioji organizacija pasilieka teisę paprašyti </w:t>
      </w:r>
      <w:r w:rsidR="00990D1B" w:rsidRPr="00B839F6">
        <w:rPr>
          <w:rFonts w:ascii="Jost" w:hAnsi="Jost"/>
          <w:lang w:val="lt-LT"/>
        </w:rPr>
        <w:t>dokumento (</w:t>
      </w:r>
      <w:r w:rsidR="006E567F" w:rsidRPr="00B839F6">
        <w:rPr>
          <w:rFonts w:ascii="Jost" w:hAnsi="Jost"/>
          <w:lang w:val="lt-LT"/>
        </w:rPr>
        <w:t xml:space="preserve">dokumento dalies) </w:t>
      </w:r>
      <w:r w:rsidR="00D93071" w:rsidRPr="00B839F6">
        <w:rPr>
          <w:rFonts w:ascii="Jost" w:hAnsi="Jost"/>
          <w:lang w:val="lt-LT"/>
        </w:rPr>
        <w:t xml:space="preserve">vertimo </w:t>
      </w:r>
      <w:r w:rsidR="001A243E" w:rsidRPr="00B839F6">
        <w:rPr>
          <w:rFonts w:ascii="Jost" w:hAnsi="Jost"/>
          <w:lang w:val="lt-LT"/>
        </w:rPr>
        <w:t xml:space="preserve">į lietuvių kalbą </w:t>
      </w:r>
      <w:r w:rsidR="00D93071" w:rsidRPr="00B839F6">
        <w:rPr>
          <w:rFonts w:ascii="Jost" w:hAnsi="Jost"/>
          <w:lang w:val="lt-LT"/>
        </w:rPr>
        <w:t>ir iš anglų kalbos. Pateikiamos skaitmeninės dokumentų kopijos.</w:t>
      </w:r>
    </w:p>
    <w:p w14:paraId="6A2917FA" w14:textId="641D2FE1" w:rsidR="00B7230D" w:rsidRPr="00B839F6" w:rsidRDefault="000E29F9" w:rsidP="00685279">
      <w:pPr>
        <w:ind w:firstLine="567"/>
        <w:jc w:val="both"/>
        <w:rPr>
          <w:rFonts w:ascii="Jost" w:hAnsi="Jost"/>
          <w:lang w:val="lt-LT"/>
        </w:rPr>
      </w:pPr>
      <w:r w:rsidRPr="00B839F6">
        <w:rPr>
          <w:rFonts w:ascii="Jost" w:hAnsi="Jost"/>
          <w:lang w:val="lt-LT"/>
        </w:rPr>
        <w:t xml:space="preserve">2. </w:t>
      </w:r>
      <w:r w:rsidR="00CD7C31" w:rsidRPr="00B839F6">
        <w:rPr>
          <w:rFonts w:ascii="Jost" w:hAnsi="Jost"/>
          <w:lang w:val="lt-LT"/>
        </w:rPr>
        <w:t xml:space="preserve">Siūlomos prekės turi būti pažymėtos CE ženklu, kuris nurodo atitikimą svarbiausiems reikalavimams, keliamiems pagal Europos Parlamento ir Tarybos Reglamento (ES) 2017/745 nuostatas. </w:t>
      </w:r>
      <w:r w:rsidR="00CD7C31" w:rsidRPr="00B839F6">
        <w:rPr>
          <w:rFonts w:ascii="Jost" w:hAnsi="Jost"/>
          <w:b/>
          <w:bCs/>
          <w:i/>
          <w:iCs/>
          <w:u w:val="single"/>
          <w:lang w:val="lt-LT"/>
        </w:rPr>
        <w:t xml:space="preserve">Kartu su </w:t>
      </w:r>
      <w:r w:rsidR="00B839F6" w:rsidRPr="00B839F6">
        <w:rPr>
          <w:rFonts w:ascii="Jost" w:hAnsi="Jost"/>
          <w:b/>
          <w:bCs/>
          <w:i/>
          <w:iCs/>
          <w:u w:val="single"/>
          <w:lang w:val="lt-LT"/>
        </w:rPr>
        <w:t xml:space="preserve">pasiūlymu </w:t>
      </w:r>
      <w:r w:rsidR="00CD7C31" w:rsidRPr="00B839F6">
        <w:rPr>
          <w:rFonts w:ascii="Jost" w:hAnsi="Jost"/>
          <w:lang w:val="lt-LT"/>
        </w:rPr>
        <w:t>tur</w:t>
      </w:r>
      <w:r w:rsidR="00685279" w:rsidRPr="00B839F6">
        <w:rPr>
          <w:rFonts w:ascii="Jost" w:hAnsi="Jost"/>
          <w:lang w:val="lt-LT"/>
        </w:rPr>
        <w:t>ės</w:t>
      </w:r>
      <w:r w:rsidR="00CD7C31" w:rsidRPr="00B839F6">
        <w:rPr>
          <w:rFonts w:ascii="Jost" w:hAnsi="Jost"/>
          <w:lang w:val="lt-LT"/>
        </w:rPr>
        <w:t xml:space="preserve"> būti pateikta galiojančio CE sertifikato arba EB atitikties deklaracijos kopija originalo </w:t>
      </w:r>
      <w:r w:rsidR="00B85431" w:rsidRPr="00B839F6">
        <w:rPr>
          <w:rFonts w:ascii="Jost" w:hAnsi="Jost"/>
          <w:lang w:val="lt-LT"/>
        </w:rPr>
        <w:t xml:space="preserve">kalba </w:t>
      </w:r>
      <w:r w:rsidR="00CD7C31" w:rsidRPr="00B839F6">
        <w:rPr>
          <w:rFonts w:ascii="Jost" w:hAnsi="Jost"/>
          <w:lang w:val="lt-LT"/>
        </w:rPr>
        <w:t xml:space="preserve">su vertimu į lietuvių kalbą. Jei netaikoma, privaloma pateikti įrodymus apie netaikymą. </w:t>
      </w:r>
      <w:r w:rsidR="00685279" w:rsidRPr="00B839F6">
        <w:rPr>
          <w:rFonts w:ascii="Jost" w:hAnsi="Jost"/>
          <w:lang w:val="lt-LT"/>
        </w:rPr>
        <w:t>Jei tiekėjai pateikia EB atitikties deklaraciją, kad įsigyjama prekė atitinka reikiamus standartus, kartu pateikia ir techninius dokumentus, pagrindžiančius prekės atitiktį reikiamiems standartams</w:t>
      </w:r>
      <w:r w:rsidR="00CD7C31" w:rsidRPr="00B839F6">
        <w:rPr>
          <w:rFonts w:ascii="Jost" w:hAnsi="Jost"/>
          <w:lang w:val="lt-LT"/>
        </w:rPr>
        <w:t xml:space="preserve">. </w:t>
      </w:r>
    </w:p>
    <w:p w14:paraId="76632A61" w14:textId="21DAB987" w:rsidR="00E421A4" w:rsidRPr="00B839F6" w:rsidRDefault="00E421A4" w:rsidP="003A649D">
      <w:pPr>
        <w:ind w:firstLine="567"/>
        <w:jc w:val="both"/>
        <w:rPr>
          <w:rFonts w:ascii="Jost" w:hAnsi="Jost"/>
          <w:lang w:val="lt-LT"/>
        </w:rPr>
      </w:pPr>
      <w:r w:rsidRPr="00B839F6">
        <w:rPr>
          <w:rFonts w:ascii="Jost" w:hAnsi="Jost"/>
          <w:lang w:val="lt-LT"/>
        </w:rPr>
        <w:t>3.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60807AB0" w14:textId="257465DA" w:rsidR="00380F8F" w:rsidRPr="00B839F6" w:rsidRDefault="00E914ED" w:rsidP="003A649D">
      <w:pPr>
        <w:ind w:firstLine="567"/>
        <w:jc w:val="both"/>
        <w:rPr>
          <w:rFonts w:ascii="Jost" w:hAnsi="Jost"/>
          <w:bCs/>
          <w:lang w:val="lt-LT"/>
        </w:rPr>
      </w:pPr>
      <w:r w:rsidRPr="00B839F6">
        <w:rPr>
          <w:rFonts w:ascii="Jost" w:hAnsi="Jost"/>
          <w:bCs/>
          <w:lang w:val="lt-LT"/>
        </w:rPr>
        <w:t>4</w:t>
      </w:r>
      <w:r w:rsidR="00380F8F" w:rsidRPr="00B839F6">
        <w:rPr>
          <w:rFonts w:ascii="Jost" w:hAnsi="Jost"/>
          <w:bCs/>
          <w:lang w:val="lt-LT"/>
        </w:rPr>
        <w:t xml:space="preserve">. </w:t>
      </w:r>
      <w:r w:rsidR="00380F8F" w:rsidRPr="00B839F6">
        <w:rPr>
          <w:rFonts w:ascii="Jost" w:eastAsia="Calibri" w:hAnsi="Jost"/>
          <w:kern w:val="3"/>
          <w:lang w:val="lt-LT"/>
        </w:rPr>
        <w:t>Tiekėjas, perkančiajai organizacijai pareikalavus, turės pateikti siūlomos prekės pavyzdžius</w:t>
      </w:r>
      <w:r w:rsidR="00380F8F" w:rsidRPr="00B839F6">
        <w:rPr>
          <w:rFonts w:ascii="Jost" w:hAnsi="Jost"/>
          <w:bCs/>
          <w:lang w:val="lt-LT"/>
        </w:rPr>
        <w:t>, nurodytus 1.1 priede „Pasiūlymas ir techninė specifikacija“.</w:t>
      </w:r>
      <w:r w:rsidR="00877135" w:rsidRPr="00B839F6">
        <w:rPr>
          <w:rFonts w:ascii="Jost" w:hAnsi="Jost"/>
          <w:bCs/>
          <w:lang w:val="lt-LT"/>
        </w:rPr>
        <w:t xml:space="preserve"> </w:t>
      </w:r>
      <w:r w:rsidR="00380F8F" w:rsidRPr="00B839F6">
        <w:rPr>
          <w:rFonts w:ascii="Jost" w:hAnsi="Jost"/>
          <w:bCs/>
          <w:lang w:val="lt-LT"/>
        </w:rPr>
        <w:t xml:space="preserve">Prekių pavyzdžių nereikalaujama pateikti kartu su pasiūlymu – juos turės pateikti galimai ekonomiškai naudingiausią pasiūlymą pateikęs tiekėjas, perkančiajai organizacijai paprašius, </w:t>
      </w:r>
      <w:r w:rsidR="00380F8F" w:rsidRPr="00B839F6">
        <w:rPr>
          <w:rFonts w:ascii="Jost" w:hAnsi="Jost"/>
          <w:b/>
          <w:lang w:val="lt-LT"/>
        </w:rPr>
        <w:t xml:space="preserve">per 5 darbo dienas </w:t>
      </w:r>
      <w:r w:rsidR="00380F8F" w:rsidRPr="00B839F6">
        <w:rPr>
          <w:rFonts w:ascii="Jost" w:hAnsi="Jost"/>
          <w:bCs/>
          <w:lang w:val="lt-LT"/>
        </w:rPr>
        <w:t xml:space="preserve">nuo perkančiosios organizacijos prašymo CVP IS priemonėmis pateikimo tiekėjui dienos. Pavyzdžių pristatymo terminas, tiekėjo prašymu, gali būti pratęstas 1 (vieną) kartą maksimaliam 5 darbo dienų laikotarpiui. Prekių pavyzdžių pristatymo adresas: </w:t>
      </w:r>
      <w:r w:rsidR="00A108B0" w:rsidRPr="00B839F6">
        <w:rPr>
          <w:rFonts w:ascii="Jost" w:hAnsi="Jost"/>
          <w:i/>
          <w:iCs/>
          <w:lang w:val="lt-LT"/>
        </w:rPr>
        <w:t xml:space="preserve">Viešoji įstaiga </w:t>
      </w:r>
      <w:r w:rsidR="00A31CB3" w:rsidRPr="00B839F6">
        <w:rPr>
          <w:rFonts w:ascii="Jost" w:hAnsi="Jost"/>
          <w:i/>
          <w:iCs/>
          <w:lang w:val="lt-LT"/>
        </w:rPr>
        <w:t>CPO LT</w:t>
      </w:r>
      <w:r w:rsidR="00A108B0" w:rsidRPr="00B839F6">
        <w:rPr>
          <w:rFonts w:ascii="Jost" w:hAnsi="Jost"/>
          <w:i/>
          <w:iCs/>
          <w:lang w:val="lt-LT"/>
        </w:rPr>
        <w:t xml:space="preserve">, </w:t>
      </w:r>
      <w:r w:rsidR="00A31CB3" w:rsidRPr="00B839F6">
        <w:rPr>
          <w:rFonts w:ascii="Jost" w:hAnsi="Jost"/>
          <w:i/>
          <w:iCs/>
          <w:lang w:val="lt-LT"/>
        </w:rPr>
        <w:t>Ukmergės g. 219-1</w:t>
      </w:r>
      <w:r w:rsidR="00A108B0" w:rsidRPr="00B839F6">
        <w:rPr>
          <w:rFonts w:ascii="Jost" w:hAnsi="Jost"/>
          <w:i/>
          <w:iCs/>
          <w:lang w:val="lt-LT"/>
        </w:rPr>
        <w:t xml:space="preserve">, </w:t>
      </w:r>
      <w:r w:rsidR="00A31CB3" w:rsidRPr="00B839F6">
        <w:rPr>
          <w:rFonts w:ascii="Jost" w:hAnsi="Jost"/>
          <w:i/>
          <w:iCs/>
          <w:lang w:val="lt-LT"/>
        </w:rPr>
        <w:t>Vilnius</w:t>
      </w:r>
      <w:r w:rsidR="00380F8F" w:rsidRPr="00B839F6">
        <w:rPr>
          <w:rFonts w:ascii="Jost" w:hAnsi="Jost"/>
          <w:bCs/>
          <w:lang w:val="lt-LT"/>
        </w:rPr>
        <w:t>.</w:t>
      </w:r>
      <w:r w:rsidR="00380F8F" w:rsidRPr="00B839F6">
        <w:rPr>
          <w:rFonts w:ascii="Jost" w:hAnsi="Jost"/>
          <w:bCs/>
          <w:lang w:val="lt-LT"/>
        </w:rPr>
        <w:tab/>
      </w:r>
    </w:p>
    <w:p w14:paraId="3BEF9930" w14:textId="77777777" w:rsidR="00380F8F" w:rsidRPr="00B839F6" w:rsidRDefault="00380F8F" w:rsidP="003A649D">
      <w:pPr>
        <w:ind w:firstLine="567"/>
        <w:jc w:val="both"/>
        <w:rPr>
          <w:rFonts w:ascii="Jost" w:hAnsi="Jost"/>
          <w:bCs/>
          <w:lang w:val="lt-LT"/>
        </w:rPr>
      </w:pPr>
      <w:r w:rsidRPr="00B839F6">
        <w:rPr>
          <w:rFonts w:ascii="Jost" w:hAnsi="Jost"/>
          <w:bCs/>
          <w:lang w:val="lt-LT"/>
        </w:rPr>
        <w:t>Reikalavimai prekių pavyzdžių pateikimui:</w:t>
      </w:r>
      <w:r w:rsidRPr="00B839F6">
        <w:rPr>
          <w:rFonts w:ascii="Jost" w:hAnsi="Jost"/>
          <w:bCs/>
          <w:lang w:val="lt-LT"/>
        </w:rPr>
        <w:tab/>
      </w:r>
    </w:p>
    <w:p w14:paraId="71D4ABD0" w14:textId="508BF32C" w:rsidR="00380F8F" w:rsidRPr="00B839F6" w:rsidRDefault="00B3258D" w:rsidP="003A649D">
      <w:pPr>
        <w:ind w:firstLine="567"/>
        <w:jc w:val="both"/>
        <w:rPr>
          <w:rFonts w:ascii="Jost" w:hAnsi="Jost"/>
          <w:bCs/>
          <w:u w:val="single"/>
          <w:lang w:val="lt-LT"/>
        </w:rPr>
      </w:pPr>
      <w:r w:rsidRPr="00B839F6">
        <w:rPr>
          <w:rFonts w:ascii="Jost" w:hAnsi="Jost"/>
          <w:bCs/>
          <w:lang w:val="lt-LT"/>
        </w:rPr>
        <w:lastRenderedPageBreak/>
        <w:t>4</w:t>
      </w:r>
      <w:r w:rsidR="00380F8F" w:rsidRPr="00B839F6">
        <w:rPr>
          <w:rFonts w:ascii="Jost" w:hAnsi="Jost"/>
          <w:bCs/>
          <w:lang w:val="lt-LT"/>
        </w:rPr>
        <w:t xml:space="preserve">.1. Tikslus prekių pavyzdžių pristatymo laikas turi būti suderinamas su perkančiosios organizacijos paskirtu kontaktiniu asmeniu </w:t>
      </w:r>
      <w:r w:rsidR="00B31753" w:rsidRPr="00B839F6">
        <w:rPr>
          <w:rFonts w:ascii="Jost" w:hAnsi="Jost"/>
          <w:bCs/>
          <w:lang w:val="lt-LT"/>
        </w:rPr>
        <w:t>(kontaktus tiekėjui pateiks Komisija CVP IS priemonėmis kartu su prašymu pristatyti prekių pavyzdžius) ne vėliau nei likus 2 darbo dienoms iki prekių pavyzdžių pristatymo</w:t>
      </w:r>
      <w:r w:rsidR="00380F8F" w:rsidRPr="00B839F6">
        <w:rPr>
          <w:rFonts w:ascii="Jost" w:hAnsi="Jost"/>
          <w:bCs/>
          <w:lang w:val="lt-LT"/>
        </w:rPr>
        <w:t>.</w:t>
      </w:r>
    </w:p>
    <w:p w14:paraId="06D0418D" w14:textId="78A0EDCC" w:rsidR="00380F8F" w:rsidRPr="00B839F6" w:rsidRDefault="00B3258D" w:rsidP="001111D6">
      <w:pPr>
        <w:ind w:firstLine="567"/>
        <w:jc w:val="both"/>
        <w:rPr>
          <w:rFonts w:ascii="Jost" w:hAnsi="Jost"/>
          <w:bCs/>
        </w:rPr>
      </w:pPr>
      <w:r w:rsidRPr="00B839F6">
        <w:rPr>
          <w:rFonts w:ascii="Jost" w:hAnsi="Jost"/>
          <w:bCs/>
          <w:lang w:val="lt-LT"/>
        </w:rPr>
        <w:t>4</w:t>
      </w:r>
      <w:r w:rsidR="00380F8F" w:rsidRPr="00B839F6">
        <w:rPr>
          <w:rFonts w:ascii="Jost" w:hAnsi="Jost"/>
          <w:bCs/>
          <w:lang w:val="lt-LT"/>
        </w:rPr>
        <w:t>.2. Kiekvienos prekės pavyzdžio teikiama po 1 vnt. Prekių pavyzdžiai teikiami kartu su originaliomis gamintojo pakuotėmis. Pristatomo prekės pavyzdžio pakuotė ir (ar) prekės pavyzdys turi būti pažymėti etiketėmis su užrašu „Prekės pavyzdys teikiamas viešajam pirkimui „</w:t>
      </w:r>
      <w:r w:rsidR="003634E3" w:rsidRPr="00B839F6">
        <w:rPr>
          <w:rFonts w:ascii="Jost" w:hAnsi="Jost"/>
          <w:b/>
          <w:lang w:val="lt-LT"/>
        </w:rPr>
        <w:t>V</w:t>
      </w:r>
      <w:r w:rsidR="0018349D" w:rsidRPr="00B839F6">
        <w:rPr>
          <w:rFonts w:ascii="Jost" w:hAnsi="Jost"/>
          <w:b/>
          <w:lang w:val="lt-LT"/>
        </w:rPr>
        <w:t xml:space="preserve">ienkartinės </w:t>
      </w:r>
      <w:r w:rsidR="001111D6" w:rsidRPr="00B839F6">
        <w:rPr>
          <w:rFonts w:ascii="Jost" w:hAnsi="Jost"/>
          <w:b/>
          <w:lang w:val="lt-LT"/>
        </w:rPr>
        <w:t xml:space="preserve">medicininės </w:t>
      </w:r>
      <w:r w:rsidR="0018349D" w:rsidRPr="00B839F6">
        <w:rPr>
          <w:rFonts w:ascii="Jost" w:hAnsi="Jost"/>
          <w:b/>
          <w:lang w:val="lt-LT"/>
        </w:rPr>
        <w:t xml:space="preserve">priemonės </w:t>
      </w:r>
      <w:r w:rsidR="00B839F6" w:rsidRPr="00B839F6">
        <w:rPr>
          <w:rFonts w:ascii="Jost" w:hAnsi="Jost"/>
          <w:b/>
          <w:lang w:val="lt-LT"/>
        </w:rPr>
        <w:t>venų operacijoms su įranga panaudai (jei taikoma)</w:t>
      </w:r>
      <w:r w:rsidR="00380F8F" w:rsidRPr="00B839F6">
        <w:rPr>
          <w:rFonts w:ascii="Jost" w:hAnsi="Jost"/>
          <w:b/>
          <w:lang w:val="lt-LT"/>
        </w:rPr>
        <w:t>“</w:t>
      </w:r>
      <w:r w:rsidR="00380F8F" w:rsidRPr="00B839F6">
        <w:rPr>
          <w:rFonts w:ascii="Jost" w:hAnsi="Jost"/>
          <w:bCs/>
          <w:lang w:val="lt-LT"/>
        </w:rPr>
        <w:t>,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p>
    <w:p w14:paraId="7E6F82C7" w14:textId="5FEF9620" w:rsidR="00380F8F" w:rsidRPr="00B839F6" w:rsidRDefault="00B3258D" w:rsidP="003A649D">
      <w:pPr>
        <w:ind w:firstLine="567"/>
        <w:jc w:val="both"/>
        <w:rPr>
          <w:rFonts w:ascii="Jost" w:hAnsi="Jost"/>
          <w:bCs/>
          <w:lang w:val="lt-LT"/>
        </w:rPr>
      </w:pPr>
      <w:r w:rsidRPr="00B839F6">
        <w:rPr>
          <w:rFonts w:ascii="Jost" w:hAnsi="Jost"/>
          <w:bCs/>
          <w:lang w:val="lt-LT"/>
        </w:rPr>
        <w:t>4</w:t>
      </w:r>
      <w:r w:rsidR="00380F8F" w:rsidRPr="00B839F6">
        <w:rPr>
          <w:rFonts w:ascii="Jost" w:hAnsi="Jost"/>
          <w:bCs/>
          <w:lang w:val="lt-LT"/>
        </w:rPr>
        <w:t>.3. Prekių pavyzdžių pateikimo išlaidas dengia tiekėjas. Perkančioji organizacija neprisiima prekių pavyzdžių atsitiktinio sugadinimo ar sunaikinimo išlaidų. Esant būtinybei, perkančioji organizacija, siekdama įsitikinti siūlomų prekių atitiktimi keliamiems reikalavimams, pasilieka teisę prekių pavyzdžius išbandyti, t. y. sunaudoti neatlygintinai.</w:t>
      </w:r>
    </w:p>
    <w:p w14:paraId="16F91437" w14:textId="055F28A3" w:rsidR="00380F8F" w:rsidRPr="00B839F6" w:rsidRDefault="00B3258D" w:rsidP="003A649D">
      <w:pPr>
        <w:ind w:firstLine="567"/>
        <w:jc w:val="both"/>
        <w:rPr>
          <w:rFonts w:ascii="Jost" w:hAnsi="Jost"/>
          <w:bCs/>
          <w:lang w:val="lt-LT"/>
        </w:rPr>
      </w:pPr>
      <w:r w:rsidRPr="00B839F6">
        <w:rPr>
          <w:rFonts w:ascii="Jost" w:hAnsi="Jost"/>
          <w:bCs/>
          <w:lang w:val="lt-LT"/>
        </w:rPr>
        <w:t>4</w:t>
      </w:r>
      <w:r w:rsidR="00380F8F" w:rsidRPr="00B839F6">
        <w:rPr>
          <w:rFonts w:ascii="Jost" w:hAnsi="Jost"/>
          <w:bCs/>
          <w:lang w:val="lt-LT"/>
        </w:rPr>
        <w:t>.4. Laimėjusio tiekėjo, su kuriuo bus sudaryta pirkimo sutartis, pateikti prekių pavyzdžiai negrąžinami ir bus naudojami kaip etalonai, priimant pagal pirkimo sutartį tiekiamas prekes.</w:t>
      </w:r>
    </w:p>
    <w:p w14:paraId="7DDEB266" w14:textId="77777777" w:rsidR="00B839F6" w:rsidRPr="00B839F6" w:rsidRDefault="00B839F6" w:rsidP="003A649D">
      <w:pPr>
        <w:ind w:firstLine="567"/>
        <w:jc w:val="both"/>
        <w:rPr>
          <w:rFonts w:ascii="Jost" w:hAnsi="Jost"/>
          <w:lang w:val="lt-LT"/>
        </w:rPr>
      </w:pPr>
      <w:r w:rsidRPr="00B839F6">
        <w:rPr>
          <w:rFonts w:ascii="Jost" w:hAnsi="Jost"/>
          <w:bCs/>
          <w:lang w:val="lt-LT"/>
        </w:rPr>
        <w:t xml:space="preserve">5. </w:t>
      </w:r>
      <w:r w:rsidRPr="00B839F6">
        <w:rPr>
          <w:rFonts w:ascii="Jost" w:hAnsi="Jost"/>
          <w:lang w:val="lt-LT"/>
        </w:rPr>
        <w:t xml:space="preserve">Techninėje specifikacijoje nurodyti reikalavimai </w:t>
      </w:r>
      <w:proofErr w:type="spellStart"/>
      <w:r w:rsidRPr="00B839F6">
        <w:rPr>
          <w:rFonts w:ascii="Jost" w:hAnsi="Jost"/>
          <w:lang w:val="lt-LT"/>
        </w:rPr>
        <w:t>diodiniam</w:t>
      </w:r>
      <w:proofErr w:type="spellEnd"/>
      <w:r w:rsidRPr="00B839F6">
        <w:rPr>
          <w:rFonts w:ascii="Jost" w:hAnsi="Jost"/>
          <w:lang w:val="lt-LT"/>
        </w:rPr>
        <w:t xml:space="preserve"> lazeriui taikomi tik tais atvejais, kai siūlomi šviesolaidiniai zondai nėra techniškai suderinami su ligoninėje naudojamu </w:t>
      </w:r>
      <w:proofErr w:type="spellStart"/>
      <w:r w:rsidRPr="00B839F6">
        <w:rPr>
          <w:rFonts w:ascii="Jost" w:hAnsi="Jost"/>
          <w:lang w:val="lt-LT"/>
        </w:rPr>
        <w:t>diodiniu</w:t>
      </w:r>
      <w:proofErr w:type="spellEnd"/>
      <w:r w:rsidRPr="00B839F6">
        <w:rPr>
          <w:rFonts w:ascii="Jost" w:hAnsi="Jost"/>
          <w:lang w:val="lt-LT"/>
        </w:rPr>
        <w:t xml:space="preserve"> lazeriu „</w:t>
      </w:r>
      <w:proofErr w:type="spellStart"/>
      <w:r w:rsidRPr="00B839F6">
        <w:rPr>
          <w:rFonts w:ascii="Jost" w:hAnsi="Jost"/>
          <w:lang w:val="lt-LT"/>
        </w:rPr>
        <w:t>neoV</w:t>
      </w:r>
      <w:proofErr w:type="spellEnd"/>
      <w:r w:rsidRPr="00B839F6">
        <w:rPr>
          <w:rFonts w:ascii="Jost" w:hAnsi="Jost"/>
          <w:lang w:val="lt-LT"/>
        </w:rPr>
        <w:t xml:space="preserve"> 1470“.</w:t>
      </w:r>
    </w:p>
    <w:p w14:paraId="68ED6C77" w14:textId="3907DE0F" w:rsidR="00B839F6" w:rsidRPr="00B839F6" w:rsidRDefault="00B839F6" w:rsidP="003A649D">
      <w:pPr>
        <w:ind w:firstLine="567"/>
        <w:jc w:val="both"/>
        <w:rPr>
          <w:rFonts w:ascii="Jost" w:hAnsi="Jost"/>
          <w:bCs/>
          <w:lang w:val="lt-LT"/>
        </w:rPr>
      </w:pPr>
      <w:r w:rsidRPr="00B839F6">
        <w:rPr>
          <w:rFonts w:ascii="Jost" w:hAnsi="Jost"/>
          <w:lang w:val="lt-LT"/>
        </w:rPr>
        <w:t>6</w:t>
      </w:r>
      <w:r w:rsidRPr="00B839F6">
        <w:rPr>
          <w:rFonts w:ascii="Jost" w:hAnsi="Jost"/>
          <w:lang w:val="lt-LT"/>
        </w:rPr>
        <w:t xml:space="preserve">. Techninėje specifikacijoje nurodyti reikalavimai dozavimo pompai taikomi tik tais atvejais, kai siūloma sistema, skirta </w:t>
      </w:r>
      <w:proofErr w:type="spellStart"/>
      <w:r w:rsidRPr="00B839F6">
        <w:rPr>
          <w:rFonts w:ascii="Jost" w:hAnsi="Jost"/>
          <w:lang w:val="lt-LT"/>
        </w:rPr>
        <w:t>endoveninei</w:t>
      </w:r>
      <w:proofErr w:type="spellEnd"/>
      <w:r w:rsidRPr="00B839F6">
        <w:rPr>
          <w:rFonts w:ascii="Jost" w:hAnsi="Jost"/>
          <w:lang w:val="lt-LT"/>
        </w:rPr>
        <w:t xml:space="preserve"> gydomajai lazerio procedūrai (ENVL), nėra techniškai suderinama su ligoninėje naudojama dozavimo pompa „DP30“.</w:t>
      </w:r>
      <w:r w:rsidRPr="00B839F6">
        <w:rPr>
          <w:rFonts w:ascii="Jost" w:hAnsi="Jost"/>
          <w:lang w:val="lt-LT"/>
        </w:rPr>
        <w:br/>
      </w:r>
    </w:p>
    <w:p w14:paraId="6C8948A3" w14:textId="20E04920" w:rsidR="00380F8F" w:rsidRPr="00B839F6" w:rsidRDefault="00380F8F" w:rsidP="00B839F6">
      <w:pPr>
        <w:jc w:val="both"/>
        <w:rPr>
          <w:rFonts w:ascii="Jost" w:hAnsi="Jost"/>
          <w:bCs/>
          <w:color w:val="000000" w:themeColor="text1"/>
          <w:lang w:val="lt-LT"/>
        </w:rPr>
      </w:pPr>
    </w:p>
    <w:p w14:paraId="1CF351CF" w14:textId="69B47A11" w:rsidR="00DE75CF" w:rsidRPr="00B839F6" w:rsidRDefault="00DE75CF" w:rsidP="004A7402">
      <w:pPr>
        <w:jc w:val="both"/>
        <w:rPr>
          <w:rFonts w:ascii="Jost" w:hAnsi="Jost"/>
          <w:color w:val="000000" w:themeColor="text1"/>
          <w:lang w:val="lt-LT"/>
        </w:rPr>
      </w:pPr>
    </w:p>
    <w:p w14:paraId="30B28FF7" w14:textId="64538FC2" w:rsidR="00554FF3" w:rsidRPr="00B839F6" w:rsidRDefault="00554FF3" w:rsidP="000E29F9">
      <w:pPr>
        <w:jc w:val="both"/>
        <w:rPr>
          <w:rFonts w:ascii="Jost" w:hAnsi="Jost"/>
          <w:color w:val="000000" w:themeColor="text1"/>
          <w:lang w:val="lt-LT"/>
        </w:rPr>
      </w:pPr>
    </w:p>
    <w:p w14:paraId="34AA290F" w14:textId="77777777" w:rsidR="00172B6A" w:rsidRPr="00C165E6" w:rsidRDefault="00172B6A" w:rsidP="000E29F9">
      <w:pPr>
        <w:ind w:firstLine="1296"/>
        <w:jc w:val="both"/>
        <w:rPr>
          <w:bCs/>
          <w:color w:val="000000" w:themeColor="text1"/>
          <w:lang w:val="lt-LT"/>
        </w:rPr>
      </w:pPr>
    </w:p>
    <w:sectPr w:rsidR="00172B6A" w:rsidRPr="00C165E6" w:rsidSect="0018349D">
      <w:headerReference w:type="default" r:id="rId7"/>
      <w:pgSz w:w="16838" w:h="11906" w:orient="landscape"/>
      <w:pgMar w:top="1134" w:right="638"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08914" w14:textId="77777777" w:rsidR="00EF5205" w:rsidRDefault="00EF5205" w:rsidP="000E29F9">
      <w:r>
        <w:separator/>
      </w:r>
    </w:p>
  </w:endnote>
  <w:endnote w:type="continuationSeparator" w:id="0">
    <w:p w14:paraId="73210B70" w14:textId="77777777" w:rsidR="00EF5205" w:rsidRDefault="00EF5205" w:rsidP="000E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altName w:val="Cambria"/>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0FE7" w14:textId="77777777" w:rsidR="00EF5205" w:rsidRDefault="00EF5205" w:rsidP="000E29F9">
      <w:r>
        <w:separator/>
      </w:r>
    </w:p>
  </w:footnote>
  <w:footnote w:type="continuationSeparator" w:id="0">
    <w:p w14:paraId="68AF0B73" w14:textId="77777777" w:rsidR="00EF5205" w:rsidRDefault="00EF5205" w:rsidP="000E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C168" w14:textId="68C726EC" w:rsidR="000E29F9" w:rsidRDefault="000E29F9" w:rsidP="0018349D">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C97"/>
    <w:multiLevelType w:val="hybridMultilevel"/>
    <w:tmpl w:val="361ACFE4"/>
    <w:lvl w:ilvl="0" w:tplc="FC9698FE">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575329"/>
    <w:multiLevelType w:val="hybridMultilevel"/>
    <w:tmpl w:val="70C0E6BA"/>
    <w:lvl w:ilvl="0" w:tplc="6EDE9570">
      <w:start w:val="8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C149B1"/>
    <w:multiLevelType w:val="hybridMultilevel"/>
    <w:tmpl w:val="D17CFD90"/>
    <w:lvl w:ilvl="0" w:tplc="CFE887F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DF7A8A"/>
    <w:multiLevelType w:val="multilevel"/>
    <w:tmpl w:val="EE8273B2"/>
    <w:lvl w:ilvl="0">
      <w:start w:val="1"/>
      <w:numFmt w:val="decimal"/>
      <w:lvlText w:val="%1."/>
      <w:lvlJc w:val="left"/>
      <w:pPr>
        <w:ind w:left="1211" w:hanging="360"/>
      </w:pPr>
      <w:rPr>
        <w:b w:val="0"/>
        <w:bCs w:val="0"/>
        <w:color w:val="auto"/>
      </w:rPr>
    </w:lvl>
    <w:lvl w:ilvl="1">
      <w:start w:val="1"/>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BBF7CB9"/>
    <w:multiLevelType w:val="hybridMultilevel"/>
    <w:tmpl w:val="931ACF7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9612450">
    <w:abstractNumId w:val="0"/>
  </w:num>
  <w:num w:numId="2" w16cid:durableId="130906525">
    <w:abstractNumId w:val="4"/>
  </w:num>
  <w:num w:numId="3" w16cid:durableId="938026701">
    <w:abstractNumId w:val="3"/>
  </w:num>
  <w:num w:numId="4" w16cid:durableId="1595868004">
    <w:abstractNumId w:val="1"/>
  </w:num>
  <w:num w:numId="5" w16cid:durableId="1915777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68"/>
    <w:rsid w:val="000070A3"/>
    <w:rsid w:val="00014150"/>
    <w:rsid w:val="00024B90"/>
    <w:rsid w:val="00032AA4"/>
    <w:rsid w:val="000472E1"/>
    <w:rsid w:val="000512E4"/>
    <w:rsid w:val="00063E32"/>
    <w:rsid w:val="00072839"/>
    <w:rsid w:val="000745D8"/>
    <w:rsid w:val="00082BDD"/>
    <w:rsid w:val="0009258B"/>
    <w:rsid w:val="00092FDC"/>
    <w:rsid w:val="00097F38"/>
    <w:rsid w:val="000A3541"/>
    <w:rsid w:val="000B2740"/>
    <w:rsid w:val="000B4F5B"/>
    <w:rsid w:val="000C27F8"/>
    <w:rsid w:val="000C49A1"/>
    <w:rsid w:val="000E29F9"/>
    <w:rsid w:val="000E5D67"/>
    <w:rsid w:val="000F1F2D"/>
    <w:rsid w:val="000F5C7F"/>
    <w:rsid w:val="000F7868"/>
    <w:rsid w:val="0010468E"/>
    <w:rsid w:val="001111D6"/>
    <w:rsid w:val="001123D2"/>
    <w:rsid w:val="001149E2"/>
    <w:rsid w:val="00122933"/>
    <w:rsid w:val="00125725"/>
    <w:rsid w:val="00143463"/>
    <w:rsid w:val="00154496"/>
    <w:rsid w:val="00155585"/>
    <w:rsid w:val="00172B6A"/>
    <w:rsid w:val="0018349D"/>
    <w:rsid w:val="001A243E"/>
    <w:rsid w:val="001A3DCB"/>
    <w:rsid w:val="001B2436"/>
    <w:rsid w:val="001B6D07"/>
    <w:rsid w:val="001C7123"/>
    <w:rsid w:val="001E363B"/>
    <w:rsid w:val="001F3EC9"/>
    <w:rsid w:val="00202D4C"/>
    <w:rsid w:val="00204FE8"/>
    <w:rsid w:val="00205C5C"/>
    <w:rsid w:val="00211CA8"/>
    <w:rsid w:val="00213EB7"/>
    <w:rsid w:val="0022300C"/>
    <w:rsid w:val="0022654D"/>
    <w:rsid w:val="002465AB"/>
    <w:rsid w:val="002509D3"/>
    <w:rsid w:val="00250B77"/>
    <w:rsid w:val="0025437A"/>
    <w:rsid w:val="00254D26"/>
    <w:rsid w:val="00270E43"/>
    <w:rsid w:val="00282C6A"/>
    <w:rsid w:val="00283CF9"/>
    <w:rsid w:val="002910E3"/>
    <w:rsid w:val="0029353B"/>
    <w:rsid w:val="0029468A"/>
    <w:rsid w:val="002A3C3F"/>
    <w:rsid w:val="002C59B1"/>
    <w:rsid w:val="002D0D5C"/>
    <w:rsid w:val="002D1526"/>
    <w:rsid w:val="002F6F30"/>
    <w:rsid w:val="00301A27"/>
    <w:rsid w:val="00311F6B"/>
    <w:rsid w:val="00314357"/>
    <w:rsid w:val="00332CD4"/>
    <w:rsid w:val="00340345"/>
    <w:rsid w:val="003421B2"/>
    <w:rsid w:val="003421F9"/>
    <w:rsid w:val="00342B13"/>
    <w:rsid w:val="00345E92"/>
    <w:rsid w:val="00351941"/>
    <w:rsid w:val="003519D7"/>
    <w:rsid w:val="00353D20"/>
    <w:rsid w:val="00357490"/>
    <w:rsid w:val="003634E3"/>
    <w:rsid w:val="00380F8F"/>
    <w:rsid w:val="0038454A"/>
    <w:rsid w:val="003938AD"/>
    <w:rsid w:val="003A57DD"/>
    <w:rsid w:val="003A649D"/>
    <w:rsid w:val="003A6555"/>
    <w:rsid w:val="003B2158"/>
    <w:rsid w:val="003B3521"/>
    <w:rsid w:val="003C2105"/>
    <w:rsid w:val="003C7725"/>
    <w:rsid w:val="003D278D"/>
    <w:rsid w:val="003E11A5"/>
    <w:rsid w:val="003E1875"/>
    <w:rsid w:val="003F1457"/>
    <w:rsid w:val="003F431F"/>
    <w:rsid w:val="0040214D"/>
    <w:rsid w:val="00404888"/>
    <w:rsid w:val="00405D49"/>
    <w:rsid w:val="00416286"/>
    <w:rsid w:val="00420D1B"/>
    <w:rsid w:val="00427B22"/>
    <w:rsid w:val="00441C4E"/>
    <w:rsid w:val="00444253"/>
    <w:rsid w:val="00446C5F"/>
    <w:rsid w:val="0045642F"/>
    <w:rsid w:val="00456E4D"/>
    <w:rsid w:val="00461E8A"/>
    <w:rsid w:val="00462E48"/>
    <w:rsid w:val="00473293"/>
    <w:rsid w:val="0047494F"/>
    <w:rsid w:val="004845A7"/>
    <w:rsid w:val="004A6F8E"/>
    <w:rsid w:val="004A7402"/>
    <w:rsid w:val="004A7AFA"/>
    <w:rsid w:val="004B55A1"/>
    <w:rsid w:val="004C07B9"/>
    <w:rsid w:val="004C31A0"/>
    <w:rsid w:val="004F04ED"/>
    <w:rsid w:val="004F6AFF"/>
    <w:rsid w:val="004F7267"/>
    <w:rsid w:val="00505B39"/>
    <w:rsid w:val="00505C8A"/>
    <w:rsid w:val="00510F72"/>
    <w:rsid w:val="00512513"/>
    <w:rsid w:val="005135D7"/>
    <w:rsid w:val="0052577D"/>
    <w:rsid w:val="00525980"/>
    <w:rsid w:val="00526363"/>
    <w:rsid w:val="00553EFE"/>
    <w:rsid w:val="00554FF3"/>
    <w:rsid w:val="00555BF6"/>
    <w:rsid w:val="00560156"/>
    <w:rsid w:val="0056706D"/>
    <w:rsid w:val="0058507F"/>
    <w:rsid w:val="005B0F18"/>
    <w:rsid w:val="005C41CB"/>
    <w:rsid w:val="005C7C23"/>
    <w:rsid w:val="005D0510"/>
    <w:rsid w:val="005E2F15"/>
    <w:rsid w:val="005E657F"/>
    <w:rsid w:val="005F15C5"/>
    <w:rsid w:val="005F4B0E"/>
    <w:rsid w:val="005F5C3F"/>
    <w:rsid w:val="00610B48"/>
    <w:rsid w:val="00612062"/>
    <w:rsid w:val="00620422"/>
    <w:rsid w:val="00620980"/>
    <w:rsid w:val="006311B9"/>
    <w:rsid w:val="00633442"/>
    <w:rsid w:val="006405A1"/>
    <w:rsid w:val="00643C7F"/>
    <w:rsid w:val="006451CD"/>
    <w:rsid w:val="006506A9"/>
    <w:rsid w:val="00650C4E"/>
    <w:rsid w:val="0065285E"/>
    <w:rsid w:val="00655657"/>
    <w:rsid w:val="00665711"/>
    <w:rsid w:val="006750E0"/>
    <w:rsid w:val="00682591"/>
    <w:rsid w:val="00682A36"/>
    <w:rsid w:val="00685279"/>
    <w:rsid w:val="006B3090"/>
    <w:rsid w:val="006C11C1"/>
    <w:rsid w:val="006C6BB5"/>
    <w:rsid w:val="006D2CCD"/>
    <w:rsid w:val="006D7B5D"/>
    <w:rsid w:val="006E02B2"/>
    <w:rsid w:val="006E567F"/>
    <w:rsid w:val="006E69E8"/>
    <w:rsid w:val="006F3981"/>
    <w:rsid w:val="006F6F74"/>
    <w:rsid w:val="00702574"/>
    <w:rsid w:val="007067AA"/>
    <w:rsid w:val="00712B5E"/>
    <w:rsid w:val="0072133C"/>
    <w:rsid w:val="007234BA"/>
    <w:rsid w:val="007235DD"/>
    <w:rsid w:val="00730FD6"/>
    <w:rsid w:val="0074271C"/>
    <w:rsid w:val="00744C82"/>
    <w:rsid w:val="00745910"/>
    <w:rsid w:val="00746450"/>
    <w:rsid w:val="00753A39"/>
    <w:rsid w:val="00753B4B"/>
    <w:rsid w:val="00754B7F"/>
    <w:rsid w:val="007625BA"/>
    <w:rsid w:val="00764D45"/>
    <w:rsid w:val="00774733"/>
    <w:rsid w:val="00781C77"/>
    <w:rsid w:val="007934F9"/>
    <w:rsid w:val="00794ABA"/>
    <w:rsid w:val="00796492"/>
    <w:rsid w:val="007A47FF"/>
    <w:rsid w:val="007A7A37"/>
    <w:rsid w:val="007C10FA"/>
    <w:rsid w:val="007C24CA"/>
    <w:rsid w:val="007D25CA"/>
    <w:rsid w:val="007F69CD"/>
    <w:rsid w:val="00802C27"/>
    <w:rsid w:val="00816581"/>
    <w:rsid w:val="00824DD3"/>
    <w:rsid w:val="00827D9C"/>
    <w:rsid w:val="0084060D"/>
    <w:rsid w:val="008433CC"/>
    <w:rsid w:val="00852968"/>
    <w:rsid w:val="00853181"/>
    <w:rsid w:val="00856E50"/>
    <w:rsid w:val="00863A20"/>
    <w:rsid w:val="00867367"/>
    <w:rsid w:val="00877135"/>
    <w:rsid w:val="00890C30"/>
    <w:rsid w:val="0089483A"/>
    <w:rsid w:val="008960B0"/>
    <w:rsid w:val="00896C84"/>
    <w:rsid w:val="008B3C71"/>
    <w:rsid w:val="008C0FA9"/>
    <w:rsid w:val="008D5282"/>
    <w:rsid w:val="008E3409"/>
    <w:rsid w:val="008E60FB"/>
    <w:rsid w:val="008F2D91"/>
    <w:rsid w:val="00900BAA"/>
    <w:rsid w:val="00902095"/>
    <w:rsid w:val="00914C4A"/>
    <w:rsid w:val="00956112"/>
    <w:rsid w:val="00964D58"/>
    <w:rsid w:val="0097463B"/>
    <w:rsid w:val="00982A1F"/>
    <w:rsid w:val="00982B72"/>
    <w:rsid w:val="00983F3E"/>
    <w:rsid w:val="0098575B"/>
    <w:rsid w:val="00986BD5"/>
    <w:rsid w:val="00990D1B"/>
    <w:rsid w:val="00995155"/>
    <w:rsid w:val="009A4E72"/>
    <w:rsid w:val="009A7364"/>
    <w:rsid w:val="009B34A2"/>
    <w:rsid w:val="009B60C4"/>
    <w:rsid w:val="009C164F"/>
    <w:rsid w:val="009C35F3"/>
    <w:rsid w:val="009C547E"/>
    <w:rsid w:val="009D642A"/>
    <w:rsid w:val="009E5D72"/>
    <w:rsid w:val="009F4E88"/>
    <w:rsid w:val="009F7C9F"/>
    <w:rsid w:val="00A062C4"/>
    <w:rsid w:val="00A107AA"/>
    <w:rsid w:val="00A108B0"/>
    <w:rsid w:val="00A2547A"/>
    <w:rsid w:val="00A27474"/>
    <w:rsid w:val="00A31CB3"/>
    <w:rsid w:val="00A325D1"/>
    <w:rsid w:val="00A3680D"/>
    <w:rsid w:val="00A4549B"/>
    <w:rsid w:val="00A54D37"/>
    <w:rsid w:val="00A61CE9"/>
    <w:rsid w:val="00A712B4"/>
    <w:rsid w:val="00A775CD"/>
    <w:rsid w:val="00A80588"/>
    <w:rsid w:val="00A8660C"/>
    <w:rsid w:val="00A901BC"/>
    <w:rsid w:val="00A96275"/>
    <w:rsid w:val="00A96328"/>
    <w:rsid w:val="00AA0B75"/>
    <w:rsid w:val="00AA4460"/>
    <w:rsid w:val="00AA4A8C"/>
    <w:rsid w:val="00AA73AC"/>
    <w:rsid w:val="00AB0E32"/>
    <w:rsid w:val="00AB4F0F"/>
    <w:rsid w:val="00AC091B"/>
    <w:rsid w:val="00AC2844"/>
    <w:rsid w:val="00AC4671"/>
    <w:rsid w:val="00AC5866"/>
    <w:rsid w:val="00AD24C4"/>
    <w:rsid w:val="00AD3F00"/>
    <w:rsid w:val="00AE6DC2"/>
    <w:rsid w:val="00AF703F"/>
    <w:rsid w:val="00B0063D"/>
    <w:rsid w:val="00B073B6"/>
    <w:rsid w:val="00B15877"/>
    <w:rsid w:val="00B23072"/>
    <w:rsid w:val="00B26C98"/>
    <w:rsid w:val="00B26D7F"/>
    <w:rsid w:val="00B30986"/>
    <w:rsid w:val="00B31753"/>
    <w:rsid w:val="00B3258D"/>
    <w:rsid w:val="00B51318"/>
    <w:rsid w:val="00B51934"/>
    <w:rsid w:val="00B573EB"/>
    <w:rsid w:val="00B7230D"/>
    <w:rsid w:val="00B82997"/>
    <w:rsid w:val="00B839F6"/>
    <w:rsid w:val="00B85431"/>
    <w:rsid w:val="00B86CAE"/>
    <w:rsid w:val="00BA3EFC"/>
    <w:rsid w:val="00BA6C48"/>
    <w:rsid w:val="00BA7D26"/>
    <w:rsid w:val="00BB19A3"/>
    <w:rsid w:val="00BD187C"/>
    <w:rsid w:val="00BE5EAE"/>
    <w:rsid w:val="00BE746D"/>
    <w:rsid w:val="00C02BA2"/>
    <w:rsid w:val="00C151BF"/>
    <w:rsid w:val="00C26680"/>
    <w:rsid w:val="00C335D8"/>
    <w:rsid w:val="00C37005"/>
    <w:rsid w:val="00C41B0E"/>
    <w:rsid w:val="00C47291"/>
    <w:rsid w:val="00C503C9"/>
    <w:rsid w:val="00C504C1"/>
    <w:rsid w:val="00C53489"/>
    <w:rsid w:val="00C554A8"/>
    <w:rsid w:val="00C63558"/>
    <w:rsid w:val="00C652F8"/>
    <w:rsid w:val="00C77488"/>
    <w:rsid w:val="00C82D95"/>
    <w:rsid w:val="00C87FEF"/>
    <w:rsid w:val="00C909EB"/>
    <w:rsid w:val="00C94B51"/>
    <w:rsid w:val="00C94B83"/>
    <w:rsid w:val="00CA0E93"/>
    <w:rsid w:val="00CA1748"/>
    <w:rsid w:val="00CB4B1A"/>
    <w:rsid w:val="00CC1D29"/>
    <w:rsid w:val="00CD7C31"/>
    <w:rsid w:val="00CE15EC"/>
    <w:rsid w:val="00D0567D"/>
    <w:rsid w:val="00D0622F"/>
    <w:rsid w:val="00D06C8C"/>
    <w:rsid w:val="00D06EF4"/>
    <w:rsid w:val="00D10AB0"/>
    <w:rsid w:val="00D16373"/>
    <w:rsid w:val="00D240EC"/>
    <w:rsid w:val="00D560E6"/>
    <w:rsid w:val="00D57997"/>
    <w:rsid w:val="00D74E8D"/>
    <w:rsid w:val="00D77DB4"/>
    <w:rsid w:val="00D91C61"/>
    <w:rsid w:val="00D929AA"/>
    <w:rsid w:val="00D93071"/>
    <w:rsid w:val="00D97129"/>
    <w:rsid w:val="00DA71FD"/>
    <w:rsid w:val="00DB6CB7"/>
    <w:rsid w:val="00DC480F"/>
    <w:rsid w:val="00DC5FAC"/>
    <w:rsid w:val="00DC6FB3"/>
    <w:rsid w:val="00DD393B"/>
    <w:rsid w:val="00DE75CF"/>
    <w:rsid w:val="00DF0B5B"/>
    <w:rsid w:val="00DF2BFC"/>
    <w:rsid w:val="00E012E2"/>
    <w:rsid w:val="00E07543"/>
    <w:rsid w:val="00E1186A"/>
    <w:rsid w:val="00E11928"/>
    <w:rsid w:val="00E14F51"/>
    <w:rsid w:val="00E246AD"/>
    <w:rsid w:val="00E247BD"/>
    <w:rsid w:val="00E27200"/>
    <w:rsid w:val="00E41DBA"/>
    <w:rsid w:val="00E421A4"/>
    <w:rsid w:val="00E45261"/>
    <w:rsid w:val="00E469AA"/>
    <w:rsid w:val="00E50C54"/>
    <w:rsid w:val="00E53465"/>
    <w:rsid w:val="00E66708"/>
    <w:rsid w:val="00E709AD"/>
    <w:rsid w:val="00E914ED"/>
    <w:rsid w:val="00E91A1A"/>
    <w:rsid w:val="00EC2142"/>
    <w:rsid w:val="00ED2616"/>
    <w:rsid w:val="00ED5198"/>
    <w:rsid w:val="00EE7EAE"/>
    <w:rsid w:val="00EF5205"/>
    <w:rsid w:val="00F05892"/>
    <w:rsid w:val="00F22CBF"/>
    <w:rsid w:val="00F31601"/>
    <w:rsid w:val="00F34DFC"/>
    <w:rsid w:val="00F378C8"/>
    <w:rsid w:val="00F421C2"/>
    <w:rsid w:val="00F4415E"/>
    <w:rsid w:val="00F45B89"/>
    <w:rsid w:val="00F47726"/>
    <w:rsid w:val="00F52D70"/>
    <w:rsid w:val="00F57CDC"/>
    <w:rsid w:val="00F61596"/>
    <w:rsid w:val="00F621C8"/>
    <w:rsid w:val="00F731BE"/>
    <w:rsid w:val="00F75393"/>
    <w:rsid w:val="00F7777A"/>
    <w:rsid w:val="00F81D4D"/>
    <w:rsid w:val="00F836B4"/>
    <w:rsid w:val="00F836D8"/>
    <w:rsid w:val="00F85947"/>
    <w:rsid w:val="00F916ED"/>
    <w:rsid w:val="00F91F18"/>
    <w:rsid w:val="00F96089"/>
    <w:rsid w:val="00FC2111"/>
    <w:rsid w:val="00FC285F"/>
    <w:rsid w:val="00FC4165"/>
    <w:rsid w:val="00FD508F"/>
    <w:rsid w:val="00FD76E9"/>
    <w:rsid w:val="00FE35CF"/>
    <w:rsid w:val="00FE5F06"/>
    <w:rsid w:val="00FF7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8E0A"/>
  <w15:chartTrackingRefBased/>
  <w15:docId w15:val="{1C64F6F1-65E1-4AF4-97CB-DD0A1347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3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B4B1A"/>
    <w:pPr>
      <w:keepNext/>
      <w:outlineLvl w:val="0"/>
    </w:pPr>
    <w:rPr>
      <w:b/>
      <w:bCs/>
      <w:sz w:val="20"/>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B1A"/>
    <w:rPr>
      <w:rFonts w:ascii="Times New Roman" w:eastAsia="Times New Roman" w:hAnsi="Times New Roman" w:cs="Times New Roman"/>
      <w:b/>
      <w:bCs/>
      <w:sz w:val="20"/>
    </w:rPr>
  </w:style>
  <w:style w:type="paragraph" w:styleId="Header">
    <w:name w:val="header"/>
    <w:basedOn w:val="Normal"/>
    <w:link w:val="HeaderChar"/>
    <w:uiPriority w:val="99"/>
    <w:unhideWhenUsed/>
    <w:rsid w:val="000E29F9"/>
    <w:pPr>
      <w:tabs>
        <w:tab w:val="center" w:pos="4513"/>
        <w:tab w:val="right" w:pos="9026"/>
      </w:tabs>
    </w:pPr>
  </w:style>
  <w:style w:type="character" w:customStyle="1" w:styleId="HeaderChar">
    <w:name w:val="Header Char"/>
    <w:basedOn w:val="DefaultParagraphFont"/>
    <w:link w:val="Header"/>
    <w:uiPriority w:val="99"/>
    <w:rsid w:val="000E29F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29F9"/>
    <w:pPr>
      <w:tabs>
        <w:tab w:val="center" w:pos="4513"/>
        <w:tab w:val="right" w:pos="9026"/>
      </w:tabs>
    </w:pPr>
  </w:style>
  <w:style w:type="character" w:customStyle="1" w:styleId="FooterChar">
    <w:name w:val="Footer Char"/>
    <w:basedOn w:val="DefaultParagraphFont"/>
    <w:link w:val="Footer"/>
    <w:uiPriority w:val="99"/>
    <w:rsid w:val="000E29F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02095"/>
    <w:rPr>
      <w:color w:val="0563C1" w:themeColor="hyperlink"/>
      <w:u w:val="single"/>
    </w:rPr>
  </w:style>
  <w:style w:type="character" w:styleId="UnresolvedMention">
    <w:name w:val="Unresolved Mention"/>
    <w:basedOn w:val="DefaultParagraphFont"/>
    <w:uiPriority w:val="99"/>
    <w:semiHidden/>
    <w:unhideWhenUsed/>
    <w:rsid w:val="00902095"/>
    <w:rPr>
      <w:color w:val="605E5C"/>
      <w:shd w:val="clear" w:color="auto" w:fill="E1DFDD"/>
    </w:rPr>
  </w:style>
  <w:style w:type="paragraph" w:styleId="ListParagraph">
    <w:name w:val="List Paragraph"/>
    <w:basedOn w:val="Normal"/>
    <w:uiPriority w:val="34"/>
    <w:qFormat/>
    <w:rsid w:val="003A649D"/>
    <w:pPr>
      <w:spacing w:after="200" w:line="276" w:lineRule="auto"/>
      <w:ind w:left="720"/>
      <w:contextualSpacing/>
    </w:pPr>
    <w:rPr>
      <w:rFonts w:asciiTheme="minorHAnsi" w:eastAsiaTheme="minorHAnsi" w:hAnsiTheme="minorHAnsi" w:cstheme="minorBidi"/>
      <w:sz w:val="22"/>
      <w:szCs w:val="22"/>
      <w:lang w:val="lt-LT"/>
    </w:rPr>
  </w:style>
  <w:style w:type="paragraph" w:styleId="HTMLPreformatted">
    <w:name w:val="HTML Preformatted"/>
    <w:basedOn w:val="Normal"/>
    <w:link w:val="HTMLPreformattedChar"/>
    <w:uiPriority w:val="99"/>
    <w:semiHidden/>
    <w:unhideWhenUsed/>
    <w:rsid w:val="001111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11D6"/>
    <w:rPr>
      <w:rFonts w:ascii="Consolas" w:eastAsia="Times New Roman" w:hAnsi="Consolas" w:cs="Times New Roman"/>
      <w:sz w:val="20"/>
      <w:szCs w:val="20"/>
      <w:lang w:val="en-US"/>
    </w:rPr>
  </w:style>
  <w:style w:type="character" w:styleId="CommentReference">
    <w:name w:val="annotation reference"/>
    <w:basedOn w:val="DefaultParagraphFont"/>
    <w:uiPriority w:val="99"/>
    <w:semiHidden/>
    <w:unhideWhenUsed/>
    <w:rsid w:val="00995155"/>
    <w:rPr>
      <w:sz w:val="16"/>
      <w:szCs w:val="16"/>
    </w:rPr>
  </w:style>
  <w:style w:type="paragraph" w:styleId="CommentText">
    <w:name w:val="annotation text"/>
    <w:basedOn w:val="Normal"/>
    <w:link w:val="CommentTextChar"/>
    <w:uiPriority w:val="99"/>
    <w:unhideWhenUsed/>
    <w:rsid w:val="00995155"/>
    <w:rPr>
      <w:sz w:val="20"/>
      <w:szCs w:val="20"/>
    </w:rPr>
  </w:style>
  <w:style w:type="character" w:customStyle="1" w:styleId="CommentTextChar">
    <w:name w:val="Comment Text Char"/>
    <w:basedOn w:val="DefaultParagraphFont"/>
    <w:link w:val="CommentText"/>
    <w:uiPriority w:val="99"/>
    <w:rsid w:val="0099515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95155"/>
    <w:rPr>
      <w:b/>
      <w:bCs/>
    </w:rPr>
  </w:style>
  <w:style w:type="character" w:customStyle="1" w:styleId="CommentSubjectChar">
    <w:name w:val="Comment Subject Char"/>
    <w:basedOn w:val="CommentTextChar"/>
    <w:link w:val="CommentSubject"/>
    <w:uiPriority w:val="99"/>
    <w:semiHidden/>
    <w:rsid w:val="0099515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09319">
      <w:bodyDiv w:val="1"/>
      <w:marLeft w:val="0"/>
      <w:marRight w:val="0"/>
      <w:marTop w:val="0"/>
      <w:marBottom w:val="0"/>
      <w:divBdr>
        <w:top w:val="none" w:sz="0" w:space="0" w:color="auto"/>
        <w:left w:val="none" w:sz="0" w:space="0" w:color="auto"/>
        <w:bottom w:val="none" w:sz="0" w:space="0" w:color="auto"/>
        <w:right w:val="none" w:sz="0" w:space="0" w:color="auto"/>
      </w:divBdr>
    </w:div>
    <w:div w:id="162284255">
      <w:bodyDiv w:val="1"/>
      <w:marLeft w:val="0"/>
      <w:marRight w:val="0"/>
      <w:marTop w:val="0"/>
      <w:marBottom w:val="0"/>
      <w:divBdr>
        <w:top w:val="none" w:sz="0" w:space="0" w:color="auto"/>
        <w:left w:val="none" w:sz="0" w:space="0" w:color="auto"/>
        <w:bottom w:val="none" w:sz="0" w:space="0" w:color="auto"/>
        <w:right w:val="none" w:sz="0" w:space="0" w:color="auto"/>
      </w:divBdr>
    </w:div>
    <w:div w:id="226846993">
      <w:bodyDiv w:val="1"/>
      <w:marLeft w:val="0"/>
      <w:marRight w:val="0"/>
      <w:marTop w:val="0"/>
      <w:marBottom w:val="0"/>
      <w:divBdr>
        <w:top w:val="none" w:sz="0" w:space="0" w:color="auto"/>
        <w:left w:val="none" w:sz="0" w:space="0" w:color="auto"/>
        <w:bottom w:val="none" w:sz="0" w:space="0" w:color="auto"/>
        <w:right w:val="none" w:sz="0" w:space="0" w:color="auto"/>
      </w:divBdr>
    </w:div>
    <w:div w:id="421684289">
      <w:bodyDiv w:val="1"/>
      <w:marLeft w:val="0"/>
      <w:marRight w:val="0"/>
      <w:marTop w:val="0"/>
      <w:marBottom w:val="0"/>
      <w:divBdr>
        <w:top w:val="none" w:sz="0" w:space="0" w:color="auto"/>
        <w:left w:val="none" w:sz="0" w:space="0" w:color="auto"/>
        <w:bottom w:val="none" w:sz="0" w:space="0" w:color="auto"/>
        <w:right w:val="none" w:sz="0" w:space="0" w:color="auto"/>
      </w:divBdr>
    </w:div>
    <w:div w:id="426077826">
      <w:bodyDiv w:val="1"/>
      <w:marLeft w:val="0"/>
      <w:marRight w:val="0"/>
      <w:marTop w:val="0"/>
      <w:marBottom w:val="0"/>
      <w:divBdr>
        <w:top w:val="none" w:sz="0" w:space="0" w:color="auto"/>
        <w:left w:val="none" w:sz="0" w:space="0" w:color="auto"/>
        <w:bottom w:val="none" w:sz="0" w:space="0" w:color="auto"/>
        <w:right w:val="none" w:sz="0" w:space="0" w:color="auto"/>
      </w:divBdr>
    </w:div>
    <w:div w:id="626931724">
      <w:bodyDiv w:val="1"/>
      <w:marLeft w:val="0"/>
      <w:marRight w:val="0"/>
      <w:marTop w:val="0"/>
      <w:marBottom w:val="0"/>
      <w:divBdr>
        <w:top w:val="none" w:sz="0" w:space="0" w:color="auto"/>
        <w:left w:val="none" w:sz="0" w:space="0" w:color="auto"/>
        <w:bottom w:val="none" w:sz="0" w:space="0" w:color="auto"/>
        <w:right w:val="none" w:sz="0" w:space="0" w:color="auto"/>
      </w:divBdr>
    </w:div>
    <w:div w:id="640576266">
      <w:bodyDiv w:val="1"/>
      <w:marLeft w:val="0"/>
      <w:marRight w:val="0"/>
      <w:marTop w:val="0"/>
      <w:marBottom w:val="0"/>
      <w:divBdr>
        <w:top w:val="none" w:sz="0" w:space="0" w:color="auto"/>
        <w:left w:val="none" w:sz="0" w:space="0" w:color="auto"/>
        <w:bottom w:val="none" w:sz="0" w:space="0" w:color="auto"/>
        <w:right w:val="none" w:sz="0" w:space="0" w:color="auto"/>
      </w:divBdr>
    </w:div>
    <w:div w:id="653219162">
      <w:bodyDiv w:val="1"/>
      <w:marLeft w:val="0"/>
      <w:marRight w:val="0"/>
      <w:marTop w:val="0"/>
      <w:marBottom w:val="0"/>
      <w:divBdr>
        <w:top w:val="none" w:sz="0" w:space="0" w:color="auto"/>
        <w:left w:val="none" w:sz="0" w:space="0" w:color="auto"/>
        <w:bottom w:val="none" w:sz="0" w:space="0" w:color="auto"/>
        <w:right w:val="none" w:sz="0" w:space="0" w:color="auto"/>
      </w:divBdr>
    </w:div>
    <w:div w:id="778600232">
      <w:bodyDiv w:val="1"/>
      <w:marLeft w:val="0"/>
      <w:marRight w:val="0"/>
      <w:marTop w:val="0"/>
      <w:marBottom w:val="0"/>
      <w:divBdr>
        <w:top w:val="none" w:sz="0" w:space="0" w:color="auto"/>
        <w:left w:val="none" w:sz="0" w:space="0" w:color="auto"/>
        <w:bottom w:val="none" w:sz="0" w:space="0" w:color="auto"/>
        <w:right w:val="none" w:sz="0" w:space="0" w:color="auto"/>
      </w:divBdr>
    </w:div>
    <w:div w:id="1583297594">
      <w:bodyDiv w:val="1"/>
      <w:marLeft w:val="0"/>
      <w:marRight w:val="0"/>
      <w:marTop w:val="0"/>
      <w:marBottom w:val="0"/>
      <w:divBdr>
        <w:top w:val="none" w:sz="0" w:space="0" w:color="auto"/>
        <w:left w:val="none" w:sz="0" w:space="0" w:color="auto"/>
        <w:bottom w:val="none" w:sz="0" w:space="0" w:color="auto"/>
        <w:right w:val="none" w:sz="0" w:space="0" w:color="auto"/>
      </w:divBdr>
    </w:div>
    <w:div w:id="1588265390">
      <w:bodyDiv w:val="1"/>
      <w:marLeft w:val="0"/>
      <w:marRight w:val="0"/>
      <w:marTop w:val="0"/>
      <w:marBottom w:val="0"/>
      <w:divBdr>
        <w:top w:val="none" w:sz="0" w:space="0" w:color="auto"/>
        <w:left w:val="none" w:sz="0" w:space="0" w:color="auto"/>
        <w:bottom w:val="none" w:sz="0" w:space="0" w:color="auto"/>
        <w:right w:val="none" w:sz="0" w:space="0" w:color="auto"/>
      </w:divBdr>
    </w:div>
    <w:div w:id="2024555025">
      <w:bodyDiv w:val="1"/>
      <w:marLeft w:val="0"/>
      <w:marRight w:val="0"/>
      <w:marTop w:val="0"/>
      <w:marBottom w:val="0"/>
      <w:divBdr>
        <w:top w:val="none" w:sz="0" w:space="0" w:color="auto"/>
        <w:left w:val="none" w:sz="0" w:space="0" w:color="auto"/>
        <w:bottom w:val="none" w:sz="0" w:space="0" w:color="auto"/>
        <w:right w:val="none" w:sz="0" w:space="0" w:color="auto"/>
      </w:divBdr>
    </w:div>
    <w:div w:id="21254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Aušra Miliūnaitė</cp:lastModifiedBy>
  <cp:revision>53</cp:revision>
  <dcterms:created xsi:type="dcterms:W3CDTF">2025-05-02T08:08:00Z</dcterms:created>
  <dcterms:modified xsi:type="dcterms:W3CDTF">2026-05-21T14:42:00Z</dcterms:modified>
</cp:coreProperties>
</file>