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584D" w14:textId="77777777" w:rsidR="00856BA5" w:rsidRPr="00856BA5" w:rsidRDefault="00856BA5" w:rsidP="00856BA5">
      <w:pPr>
        <w:keepNext/>
        <w:keepLines/>
        <w:spacing w:before="120"/>
        <w:ind w:left="5103"/>
        <w:jc w:val="right"/>
        <w:outlineLvl w:val="1"/>
        <w:rPr>
          <w:rFonts w:eastAsia="Calibri"/>
          <w:b/>
          <w:sz w:val="24"/>
          <w:szCs w:val="24"/>
          <w:lang w:eastAsia="lt-LT"/>
        </w:rPr>
      </w:pPr>
      <w:r w:rsidRPr="00856BA5">
        <w:rPr>
          <w:rFonts w:eastAsia="Calibri"/>
          <w:b/>
          <w:sz w:val="24"/>
          <w:szCs w:val="24"/>
          <w:lang w:eastAsia="lt-LT"/>
        </w:rPr>
        <w:t>Specialiųjų p</w:t>
      </w:r>
      <w:r w:rsidR="00204363" w:rsidRPr="00856BA5">
        <w:rPr>
          <w:rFonts w:eastAsia="Calibri"/>
          <w:b/>
          <w:sz w:val="24"/>
          <w:szCs w:val="24"/>
          <w:lang w:eastAsia="lt-LT"/>
        </w:rPr>
        <w:t>irkimo</w:t>
      </w:r>
      <w:r w:rsidR="005401E9" w:rsidRPr="00856BA5">
        <w:rPr>
          <w:rFonts w:eastAsia="Calibri"/>
          <w:b/>
          <w:sz w:val="24"/>
          <w:szCs w:val="24"/>
          <w:lang w:eastAsia="lt-LT"/>
        </w:rPr>
        <w:t xml:space="preserve"> sąlygų 3 priedas</w:t>
      </w:r>
      <w:r w:rsidR="00110168" w:rsidRPr="00856BA5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08CEA143" w14:textId="05EB9806" w:rsidR="005401E9" w:rsidRPr="00856BA5" w:rsidRDefault="00110168" w:rsidP="00856BA5">
      <w:pPr>
        <w:keepNext/>
        <w:keepLines/>
        <w:spacing w:before="120"/>
        <w:ind w:left="5103"/>
        <w:jc w:val="right"/>
        <w:outlineLvl w:val="1"/>
        <w:rPr>
          <w:rFonts w:eastAsia="Calibri"/>
          <w:b/>
          <w:sz w:val="24"/>
          <w:szCs w:val="24"/>
          <w:lang w:eastAsia="lt-LT"/>
        </w:rPr>
      </w:pPr>
      <w:r w:rsidRPr="00856BA5">
        <w:rPr>
          <w:rFonts w:eastAsia="Calibri"/>
          <w:b/>
          <w:sz w:val="24"/>
          <w:szCs w:val="24"/>
          <w:lang w:eastAsia="lt-LT"/>
        </w:rPr>
        <w:t>Techninė specifikacija</w:t>
      </w:r>
    </w:p>
    <w:p w14:paraId="0FD8D78F" w14:textId="77777777" w:rsidR="002237F1" w:rsidRPr="00856BA5" w:rsidRDefault="002237F1" w:rsidP="00856BA5">
      <w:pPr>
        <w:suppressAutoHyphens/>
        <w:ind w:firstLine="284"/>
        <w:jc w:val="right"/>
        <w:rPr>
          <w:sz w:val="24"/>
          <w:szCs w:val="24"/>
        </w:rPr>
      </w:pPr>
    </w:p>
    <w:p w14:paraId="3BF77EAA" w14:textId="77777777" w:rsidR="006A7F15" w:rsidRPr="006A7F15" w:rsidRDefault="006A7F15" w:rsidP="006A7F15">
      <w:pPr>
        <w:pStyle w:val="Pagrindinistekstas2"/>
        <w:tabs>
          <w:tab w:val="left" w:pos="1134"/>
        </w:tabs>
        <w:spacing w:line="240" w:lineRule="auto"/>
        <w:jc w:val="center"/>
        <w:rPr>
          <w:b/>
          <w:caps/>
          <w:szCs w:val="24"/>
          <w:lang w:val="lt-LT"/>
        </w:rPr>
      </w:pPr>
      <w:r w:rsidRPr="006A7F15">
        <w:rPr>
          <w:b/>
          <w:caps/>
          <w:szCs w:val="24"/>
          <w:lang w:val="lt-LT"/>
        </w:rPr>
        <w:t xml:space="preserve">LAUKO PAVĖSINIŲ GRINDŲ ATNAUJINIMO DARBAI </w:t>
      </w:r>
    </w:p>
    <w:p w14:paraId="7FB7A1F8" w14:textId="38E8CEE7" w:rsidR="006A7F15" w:rsidRDefault="006A7F15" w:rsidP="006A7F15">
      <w:pPr>
        <w:pStyle w:val="Pagrindinistekstas2"/>
        <w:tabs>
          <w:tab w:val="left" w:pos="1134"/>
        </w:tabs>
        <w:spacing w:line="240" w:lineRule="auto"/>
        <w:jc w:val="center"/>
        <w:rPr>
          <w:b/>
          <w:caps/>
          <w:szCs w:val="24"/>
          <w:lang w:val="lt-LT"/>
        </w:rPr>
      </w:pPr>
      <w:r w:rsidRPr="006A7F15">
        <w:rPr>
          <w:b/>
          <w:caps/>
          <w:szCs w:val="24"/>
          <w:lang w:val="lt-LT"/>
        </w:rPr>
        <w:t xml:space="preserve">ŠIAULIŲ R. GRUZDŽIŲ LOPŠELIUI-DARŽELIUI </w:t>
      </w:r>
      <w:r w:rsidR="00624B41">
        <w:rPr>
          <w:b/>
          <w:caps/>
          <w:szCs w:val="24"/>
          <w:lang w:val="lt-LT"/>
        </w:rPr>
        <w:t>„</w:t>
      </w:r>
      <w:r w:rsidRPr="006A7F15">
        <w:rPr>
          <w:b/>
          <w:caps/>
          <w:szCs w:val="24"/>
          <w:lang w:val="lt-LT"/>
        </w:rPr>
        <w:t>PURIENA</w:t>
      </w:r>
      <w:r w:rsidR="00624B41">
        <w:rPr>
          <w:b/>
          <w:caps/>
          <w:szCs w:val="24"/>
          <w:lang w:val="lt-LT"/>
        </w:rPr>
        <w:t>“</w:t>
      </w:r>
    </w:p>
    <w:p w14:paraId="69B4D879" w14:textId="28FAB10D" w:rsidR="002237F1" w:rsidRDefault="002237F1" w:rsidP="006A7F15">
      <w:pPr>
        <w:pStyle w:val="Pagrindinistekstas2"/>
        <w:tabs>
          <w:tab w:val="left" w:pos="1134"/>
        </w:tabs>
        <w:spacing w:line="240" w:lineRule="auto"/>
        <w:jc w:val="center"/>
        <w:rPr>
          <w:b/>
          <w:szCs w:val="24"/>
          <w:lang w:val="lt-LT"/>
        </w:rPr>
      </w:pPr>
      <w:r w:rsidRPr="00E939B7">
        <w:rPr>
          <w:b/>
          <w:szCs w:val="24"/>
          <w:lang w:val="lt-LT"/>
        </w:rPr>
        <w:t>TECHNINĖ SPECIFIKACIJA</w:t>
      </w:r>
    </w:p>
    <w:p w14:paraId="59E186AD" w14:textId="77777777" w:rsidR="002237F1" w:rsidRDefault="002237F1" w:rsidP="002237F1"/>
    <w:p w14:paraId="7954448E" w14:textId="5AA4F21F" w:rsidR="00DB46AB" w:rsidRDefault="002237F1" w:rsidP="00DB46AB">
      <w:pPr>
        <w:jc w:val="both"/>
      </w:pPr>
      <w:r>
        <w:rPr>
          <w:sz w:val="28"/>
          <w:szCs w:val="28"/>
        </w:rPr>
        <w:tab/>
      </w:r>
      <w:r w:rsidR="00DB46AB" w:rsidRPr="007C40F1">
        <w:t xml:space="preserve">Šiuo metu Šiaulių r. </w:t>
      </w:r>
      <w:r w:rsidR="006A7F15">
        <w:t>Gruzdžių</w:t>
      </w:r>
      <w:r w:rsidR="00DB46AB" w:rsidRPr="007C40F1">
        <w:t xml:space="preserve"> lopšelio</w:t>
      </w:r>
      <w:r w:rsidR="00DB46AB">
        <w:t>-</w:t>
      </w:r>
      <w:r w:rsidR="00DB46AB" w:rsidRPr="007C40F1">
        <w:t>darželio</w:t>
      </w:r>
      <w:r w:rsidR="006A7F15">
        <w:t xml:space="preserve"> „Puriena“</w:t>
      </w:r>
      <w:r w:rsidR="006A7F15" w:rsidRPr="006A7F15">
        <w:t xml:space="preserve"> </w:t>
      </w:r>
      <w:r w:rsidR="00984B03">
        <w:t xml:space="preserve">(toliau – Įstaiga) </w:t>
      </w:r>
      <w:r w:rsidR="006A7F15" w:rsidRPr="006A7F15">
        <w:t>lauko pavėsinių grindų dang</w:t>
      </w:r>
      <w:r w:rsidR="006A7F15">
        <w:t xml:space="preserve">a </w:t>
      </w:r>
      <w:r w:rsidR="00DB46AB" w:rsidRPr="007C40F1">
        <w:t>yra ištrupėjus</w:t>
      </w:r>
      <w:r w:rsidR="006A7F15">
        <w:t>i</w:t>
      </w:r>
      <w:r w:rsidR="00DB46AB" w:rsidRPr="007C40F1">
        <w:t xml:space="preserve">, iškilnota pašalo, nelygi. Rangovas turės nuardyti seną </w:t>
      </w:r>
      <w:r w:rsidR="006A7F15" w:rsidRPr="006A7F15">
        <w:t>lauko pavėsinių grindų</w:t>
      </w:r>
      <w:r w:rsidR="00DB46AB" w:rsidRPr="007C40F1">
        <w:t xml:space="preserve"> dangą, naujai paruošti pagrindus ir</w:t>
      </w:r>
      <w:r w:rsidR="006A7F15">
        <w:t xml:space="preserve"> išbetonuoti grindis pramoniniu betonu. Kur reikės, atstatyti išgadintą žaliąją veją.</w:t>
      </w:r>
      <w:r w:rsidR="00DB46AB" w:rsidRPr="007C40F1">
        <w:t xml:space="preserve"> </w:t>
      </w:r>
      <w:r w:rsidR="00DB46AB" w:rsidRPr="00D50187">
        <w:t>Darbų kiekiai pateikti 1 lentelėje</w:t>
      </w:r>
      <w:r w:rsidR="00DB46AB">
        <w:t xml:space="preserve">. </w:t>
      </w:r>
      <w:r w:rsidR="00DB46AB" w:rsidRPr="00D50187">
        <w:t xml:space="preserve">Remonto darbai turi prasidėti 2026 m. </w:t>
      </w:r>
      <w:r w:rsidR="006A7F15">
        <w:t>liepos 1</w:t>
      </w:r>
      <w:r w:rsidR="00DB46AB" w:rsidRPr="00D50187">
        <w:t xml:space="preserve"> d. ir vėliausiai baigti 2026 m. </w:t>
      </w:r>
      <w:r w:rsidR="006A7F15">
        <w:t>rugpjūčio</w:t>
      </w:r>
      <w:r w:rsidR="00DB46AB" w:rsidRPr="00D50187">
        <w:t xml:space="preserve"> 31 d.</w:t>
      </w:r>
      <w:r w:rsidR="00DB46AB">
        <w:t xml:space="preserve"> </w:t>
      </w:r>
    </w:p>
    <w:p w14:paraId="414FD419" w14:textId="77777777" w:rsidR="00DB46AB" w:rsidRPr="00D50187" w:rsidRDefault="00DB46AB" w:rsidP="00DB46AB">
      <w:pPr>
        <w:jc w:val="right"/>
      </w:pPr>
      <w:r w:rsidRPr="00D50187">
        <w:t>1 lentelė: Darbų kiekiai</w:t>
      </w:r>
    </w:p>
    <w:tbl>
      <w:tblPr>
        <w:tblW w:w="8595" w:type="dxa"/>
        <w:tblLayout w:type="fixed"/>
        <w:tblLook w:val="04A0" w:firstRow="1" w:lastRow="0" w:firstColumn="1" w:lastColumn="0" w:noHBand="0" w:noVBand="1"/>
      </w:tblPr>
      <w:tblGrid>
        <w:gridCol w:w="620"/>
        <w:gridCol w:w="5199"/>
        <w:gridCol w:w="1060"/>
        <w:gridCol w:w="1480"/>
        <w:gridCol w:w="236"/>
      </w:tblGrid>
      <w:tr w:rsidR="00203333" w14:paraId="710C2F6A" w14:textId="77777777" w:rsidTr="00CB0E20">
        <w:trPr>
          <w:gridAfter w:val="1"/>
          <w:wAfter w:w="236" w:type="dxa"/>
          <w:trHeight w:val="40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964001" w14:textId="77777777" w:rsidR="00203333" w:rsidRDefault="00203333" w:rsidP="00CB0E20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Eil. Nr.</w:t>
            </w:r>
          </w:p>
        </w:tc>
        <w:tc>
          <w:tcPr>
            <w:tcW w:w="51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221DCF" w14:textId="77777777" w:rsidR="00203333" w:rsidRDefault="00203333" w:rsidP="00CB0E20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Darbų ir išlaidų aprašymas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DE77EC" w14:textId="77777777" w:rsidR="00203333" w:rsidRDefault="00203333" w:rsidP="00CB0E20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AB7DF5" w14:textId="77777777" w:rsidR="00203333" w:rsidRDefault="00203333" w:rsidP="00CB0E20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Kiekis</w:t>
            </w:r>
          </w:p>
        </w:tc>
      </w:tr>
      <w:tr w:rsidR="00203333" w14:paraId="3BE44A29" w14:textId="77777777" w:rsidTr="00CB0E20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E8D2" w14:textId="77777777" w:rsidR="00203333" w:rsidRDefault="00203333" w:rsidP="00CB0E20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AF1D" w14:textId="77777777" w:rsidR="00203333" w:rsidRDefault="00203333" w:rsidP="00CB0E20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9187" w14:textId="77777777" w:rsidR="00203333" w:rsidRDefault="00203333" w:rsidP="00CB0E20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C9F0B" w14:textId="77777777" w:rsidR="00203333" w:rsidRDefault="00203333" w:rsidP="00CB0E20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2E28E9" w14:textId="77777777" w:rsidR="00203333" w:rsidRDefault="00203333" w:rsidP="00CB0E20"/>
        </w:tc>
      </w:tr>
      <w:tr w:rsidR="00203333" w14:paraId="00828F7F" w14:textId="77777777" w:rsidTr="00CB0E20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E6BA" w14:textId="77777777" w:rsidR="00203333" w:rsidRDefault="00203333" w:rsidP="00CB0E20">
            <w:pPr>
              <w:spacing w:line="256" w:lineRule="auto"/>
              <w:jc w:val="center"/>
              <w:rPr>
                <w:rFonts w:ascii="Arial Baltic" w:hAnsi="Arial Balt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8953A0" w14:textId="77777777" w:rsidR="00203333" w:rsidRDefault="00203333" w:rsidP="00CB0E20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BENDRASTATYBINIAI DARBAI</w:t>
            </w:r>
          </w:p>
        </w:tc>
        <w:tc>
          <w:tcPr>
            <w:tcW w:w="236" w:type="dxa"/>
            <w:vAlign w:val="center"/>
            <w:hideMark/>
          </w:tcPr>
          <w:p w14:paraId="5159E3BC" w14:textId="77777777" w:rsidR="00203333" w:rsidRDefault="00203333" w:rsidP="00CB0E20">
            <w:pPr>
              <w:rPr>
                <w:b/>
                <w:bCs/>
                <w:color w:val="000000"/>
              </w:rPr>
            </w:pPr>
          </w:p>
        </w:tc>
      </w:tr>
      <w:tr w:rsidR="00203333" w14:paraId="2A893DB2" w14:textId="77777777" w:rsidTr="00CB0E20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B9B4" w14:textId="77777777" w:rsidR="00203333" w:rsidRDefault="00203333" w:rsidP="00CB0E20">
            <w:pPr>
              <w:spacing w:line="256" w:lineRule="auto"/>
              <w:jc w:val="center"/>
              <w:rPr>
                <w:rFonts w:ascii="Arial Baltic" w:hAnsi="Arial Baltic" w:cs="Calibri"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FB92" w14:textId="77777777" w:rsidR="00203333" w:rsidRDefault="00203333" w:rsidP="00CB0E20">
            <w:pPr>
              <w:spacing w:line="256" w:lineRule="auto"/>
              <w:rPr>
                <w:rFonts w:ascii="Arial Baltic" w:hAnsi="Arial Baltic" w:cs="Calibri"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D277" w14:textId="77777777" w:rsidR="00203333" w:rsidRDefault="00203333" w:rsidP="00CB0E2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CE6D3" w14:textId="77777777" w:rsidR="00203333" w:rsidRDefault="00203333" w:rsidP="00CB0E2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F008AB" w14:textId="77777777" w:rsidR="00203333" w:rsidRDefault="00203333" w:rsidP="00CB0E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3333" w14:paraId="2FB47EB7" w14:textId="77777777" w:rsidTr="00CB0E2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AAA1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E1F2" w14:textId="77777777" w:rsidR="00203333" w:rsidRDefault="00203333" w:rsidP="00CB0E20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Senos pavėsinių grindų dangos išardymas ir utilizavimas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B358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2F3CF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14:paraId="3AA038EC" w14:textId="77777777" w:rsidR="00203333" w:rsidRDefault="00203333" w:rsidP="00CB0E20">
            <w:pPr>
              <w:rPr>
                <w:color w:val="000000"/>
              </w:rPr>
            </w:pPr>
          </w:p>
        </w:tc>
      </w:tr>
      <w:tr w:rsidR="00203333" w14:paraId="173E9ADA" w14:textId="77777777" w:rsidTr="00CB0E2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92C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BCE5" w14:textId="77777777" w:rsidR="00203333" w:rsidRDefault="00203333" w:rsidP="00CB0E20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Hidroizoliacinės plėvelės paklojimas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63DA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460AF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14:paraId="67FE0625" w14:textId="77777777" w:rsidR="00203333" w:rsidRDefault="00203333" w:rsidP="00CB0E20">
            <w:pPr>
              <w:rPr>
                <w:color w:val="000000"/>
              </w:rPr>
            </w:pPr>
          </w:p>
        </w:tc>
      </w:tr>
      <w:tr w:rsidR="00203333" w14:paraId="3C31B9E1" w14:textId="77777777" w:rsidTr="00CB0E2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5C4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21F5D" w14:textId="77777777" w:rsidR="00203333" w:rsidRDefault="00203333" w:rsidP="00CB0E20">
            <w:pPr>
              <w:spacing w:line="256" w:lineRule="auto"/>
              <w:rPr>
                <w:color w:val="000000"/>
              </w:rPr>
            </w:pPr>
            <w:r w:rsidRPr="00AB5F4B">
              <w:rPr>
                <w:color w:val="000000"/>
              </w:rPr>
              <w:t>Betono armavimas polipropileno fibra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007C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17CC0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49BB9436" w14:textId="77777777" w:rsidR="00203333" w:rsidRDefault="00203333" w:rsidP="00CB0E20">
            <w:pPr>
              <w:rPr>
                <w:color w:val="000000"/>
              </w:rPr>
            </w:pPr>
          </w:p>
        </w:tc>
      </w:tr>
      <w:tr w:rsidR="00203333" w14:paraId="4FAE19C9" w14:textId="77777777" w:rsidTr="00CB0E2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B38B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8CE49" w14:textId="77777777" w:rsidR="00203333" w:rsidRDefault="00203333" w:rsidP="00CB0E20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Betonas su atvežimu į objektą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AADA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D28FD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52BA49CD" w14:textId="77777777" w:rsidR="00203333" w:rsidRDefault="00203333" w:rsidP="00CB0E20">
            <w:pPr>
              <w:rPr>
                <w:color w:val="000000"/>
              </w:rPr>
            </w:pPr>
          </w:p>
        </w:tc>
      </w:tr>
      <w:tr w:rsidR="00203333" w14:paraId="21011428" w14:textId="77777777" w:rsidTr="00CB0E2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577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E9115" w14:textId="77777777" w:rsidR="00203333" w:rsidRDefault="00203333" w:rsidP="00CB0E20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Betonavimo darbai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86DB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24A30" w14:textId="77777777" w:rsidR="00203333" w:rsidRDefault="00203333" w:rsidP="00CB0E2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14:paraId="7834E9FA" w14:textId="77777777" w:rsidR="00203333" w:rsidRDefault="00203333" w:rsidP="00CB0E20">
            <w:pPr>
              <w:rPr>
                <w:color w:val="000000"/>
              </w:rPr>
            </w:pPr>
          </w:p>
        </w:tc>
      </w:tr>
    </w:tbl>
    <w:p w14:paraId="535EDA50" w14:textId="577AD3D5" w:rsidR="002237F1" w:rsidRDefault="002237F1" w:rsidP="00DB46AB">
      <w:pPr>
        <w:jc w:val="both"/>
        <w:rPr>
          <w:sz w:val="28"/>
          <w:szCs w:val="28"/>
        </w:rPr>
      </w:pPr>
    </w:p>
    <w:p w14:paraId="1A1183EF" w14:textId="77777777" w:rsidR="00203333" w:rsidRDefault="00203333" w:rsidP="00203333">
      <w:r>
        <w:t>Pavėsinių išsidėstymo planas su matmenimis:</w:t>
      </w:r>
    </w:p>
    <w:p w14:paraId="458E7B20" w14:textId="77777777" w:rsidR="00203333" w:rsidRDefault="00203333" w:rsidP="00203333"/>
    <w:p w14:paraId="1FEE752A" w14:textId="744A4A42" w:rsidR="00203333" w:rsidRDefault="00203333" w:rsidP="00DB46AB">
      <w:pPr>
        <w:jc w:val="both"/>
        <w:rPr>
          <w:sz w:val="28"/>
          <w:szCs w:val="28"/>
        </w:rPr>
      </w:pPr>
      <w:r w:rsidRPr="00B267C1">
        <w:rPr>
          <w:noProof/>
        </w:rPr>
        <w:drawing>
          <wp:inline distT="0" distB="0" distL="0" distR="0" wp14:anchorId="610FC2F5" wp14:editId="285A3174">
            <wp:extent cx="6120130" cy="4646295"/>
            <wp:effectExtent l="0" t="0" r="0" b="1905"/>
            <wp:docPr id="1079196831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29D0" w14:textId="77777777" w:rsidR="00203333" w:rsidRDefault="00203333" w:rsidP="002237F1">
      <w:pPr>
        <w:ind w:firstLine="709"/>
        <w:jc w:val="center"/>
        <w:rPr>
          <w:b/>
          <w:i/>
          <w:caps/>
        </w:rPr>
      </w:pPr>
    </w:p>
    <w:p w14:paraId="78EA0766" w14:textId="0616428F" w:rsidR="002237F1" w:rsidRPr="00EE46C5" w:rsidRDefault="002237F1" w:rsidP="002237F1">
      <w:pPr>
        <w:ind w:firstLine="709"/>
        <w:jc w:val="center"/>
        <w:rPr>
          <w:b/>
          <w:i/>
          <w:caps/>
        </w:rPr>
      </w:pPr>
      <w:r w:rsidRPr="00EE46C5">
        <w:rPr>
          <w:b/>
          <w:i/>
          <w:caps/>
        </w:rPr>
        <w:lastRenderedPageBreak/>
        <w:t>Kiti reikalavimai ir sąlygos</w:t>
      </w:r>
    </w:p>
    <w:p w14:paraId="452ADA2D" w14:textId="77777777" w:rsidR="002237F1" w:rsidRPr="00DD34FB" w:rsidRDefault="002237F1" w:rsidP="002237F1">
      <w:pPr>
        <w:ind w:firstLine="709"/>
        <w:jc w:val="both"/>
        <w:rPr>
          <w:b/>
          <w:i/>
          <w:sz w:val="18"/>
          <w:szCs w:val="18"/>
        </w:rPr>
      </w:pPr>
    </w:p>
    <w:p w14:paraId="1800CF96" w14:textId="2B40A1BD" w:rsidR="002237F1" w:rsidRPr="00A365A9" w:rsidRDefault="002237F1" w:rsidP="002237F1">
      <w:pPr>
        <w:ind w:firstLine="709"/>
        <w:jc w:val="both"/>
      </w:pPr>
      <w:r>
        <w:t>1</w:t>
      </w:r>
      <w:r w:rsidRPr="00A365A9">
        <w:t xml:space="preserve">. Visi kiti smulkūs darbai, </w:t>
      </w:r>
      <w:r w:rsidR="0012496E">
        <w:t xml:space="preserve">naudojamos </w:t>
      </w:r>
      <w:r w:rsidRPr="00A365A9">
        <w:t xml:space="preserve">medžiagos, mechanizmai ar kitos sąnaudos, kurie pagal darbų technologiją gali būti reikalingi šioje Techninėje specifikacijoje nurodytiems Darbams atlikti, turi būti įskaičiuoti į bendrą pasiūlymo kainą. </w:t>
      </w:r>
    </w:p>
    <w:p w14:paraId="72285BCC" w14:textId="5A1A30D1" w:rsidR="002237F1" w:rsidRPr="00A365A9" w:rsidRDefault="002237F1" w:rsidP="002237F1">
      <w:pPr>
        <w:ind w:firstLine="709"/>
        <w:jc w:val="both"/>
      </w:pPr>
      <w:r>
        <w:t>2</w:t>
      </w:r>
      <w:r w:rsidRPr="00A365A9">
        <w:t xml:space="preserve">. </w:t>
      </w:r>
      <w:r w:rsidR="0036734B">
        <w:rPr>
          <w:b/>
          <w:bCs/>
        </w:rPr>
        <w:t>Tiekė</w:t>
      </w:r>
      <w:r w:rsidRPr="00064C1B">
        <w:rPr>
          <w:b/>
          <w:bCs/>
        </w:rPr>
        <w:t>jui, prieš pateikiant pasiūlymą, privaloma įvertinti esamą situaciją Įstaigos objekte</w:t>
      </w:r>
      <w:r w:rsidRPr="00A365A9">
        <w:t>.</w:t>
      </w:r>
    </w:p>
    <w:p w14:paraId="115684B1" w14:textId="75D459B1" w:rsidR="002237F1" w:rsidRPr="00A365A9" w:rsidRDefault="002237F1" w:rsidP="002237F1">
      <w:pPr>
        <w:ind w:firstLine="709"/>
        <w:jc w:val="both"/>
      </w:pPr>
      <w:r>
        <w:t>3</w:t>
      </w:r>
      <w:r w:rsidRPr="00A365A9">
        <w:t xml:space="preserve">. Prekės ir kitos medžiagos, reikalingos Darbams atlikti, į </w:t>
      </w:r>
      <w:r w:rsidR="0012496E">
        <w:t xml:space="preserve">Įstaigos </w:t>
      </w:r>
      <w:r w:rsidRPr="00A365A9">
        <w:t xml:space="preserve">objektą turi būti pristatomos kartu su atitikties deklaracijomis, patvirtinančiomis atitikimą Lietuvos ir/ar europinių standartų reikalavimams. </w:t>
      </w:r>
    </w:p>
    <w:p w14:paraId="3F2D3D36" w14:textId="6CA01F7C" w:rsidR="002237F1" w:rsidRPr="00A365A9" w:rsidRDefault="002237F1" w:rsidP="002237F1">
      <w:pPr>
        <w:ind w:left="75" w:firstLine="634"/>
        <w:jc w:val="both"/>
      </w:pPr>
      <w:r>
        <w:t>4</w:t>
      </w:r>
      <w:r w:rsidRPr="00A365A9">
        <w:t xml:space="preserve">. Visus spalvinius ir dizaino sprendinius </w:t>
      </w:r>
      <w:r w:rsidR="0036734B">
        <w:t>Tiekė</w:t>
      </w:r>
      <w:r w:rsidRPr="00A365A9">
        <w:t>jas prieš Darbų pradžią turi suderinti su Įstaiga.</w:t>
      </w:r>
    </w:p>
    <w:p w14:paraId="45922253" w14:textId="455D5709" w:rsidR="002237F1" w:rsidRPr="00A365A9" w:rsidRDefault="002237F1" w:rsidP="002237F1">
      <w:pPr>
        <w:ind w:firstLine="709"/>
        <w:jc w:val="both"/>
      </w:pPr>
      <w:r>
        <w:t>5</w:t>
      </w:r>
      <w:r w:rsidRPr="00A365A9">
        <w:t xml:space="preserve">. </w:t>
      </w:r>
      <w:r w:rsidR="0036734B">
        <w:t>Tiekė</w:t>
      </w:r>
      <w:r w:rsidRPr="00A365A9">
        <w:t xml:space="preserve">jas visas Darbų metu susidariusias atliekas įsipareigoja utilizuoti savo lėšomis. </w:t>
      </w:r>
    </w:p>
    <w:p w14:paraId="123B9E9A" w14:textId="555DE22D" w:rsidR="002237F1" w:rsidRPr="00A365A9" w:rsidRDefault="002237F1" w:rsidP="002237F1">
      <w:pPr>
        <w:ind w:firstLine="709"/>
        <w:jc w:val="both"/>
      </w:pPr>
      <w:r>
        <w:t>6</w:t>
      </w:r>
      <w:r w:rsidRPr="00A365A9">
        <w:t xml:space="preserve">. </w:t>
      </w:r>
      <w:r w:rsidR="0036734B">
        <w:t>Tiekė</w:t>
      </w:r>
      <w:r w:rsidRPr="00A365A9">
        <w:t>jas, prieš pradėdamas Darbus, turi suderinti Darbų laiką su Įstaiga.</w:t>
      </w:r>
    </w:p>
    <w:p w14:paraId="14402242" w14:textId="50387741" w:rsidR="002237F1" w:rsidRPr="00A365A9" w:rsidRDefault="002237F1" w:rsidP="002237F1">
      <w:pPr>
        <w:ind w:firstLine="709"/>
        <w:jc w:val="both"/>
      </w:pPr>
      <w:r>
        <w:t>7</w:t>
      </w:r>
      <w:r w:rsidRPr="00A365A9">
        <w:t xml:space="preserve">. </w:t>
      </w:r>
      <w:r w:rsidR="0036734B">
        <w:t>Tiekė</w:t>
      </w:r>
      <w:r w:rsidRPr="00A365A9">
        <w:t>jas prisiima visą atsakomybę už Darbų saugą.</w:t>
      </w:r>
    </w:p>
    <w:p w14:paraId="7B6F0D2C" w14:textId="40F928CE" w:rsidR="002237F1" w:rsidRDefault="002237F1" w:rsidP="002237F1">
      <w:pPr>
        <w:ind w:firstLine="709"/>
        <w:jc w:val="both"/>
      </w:pPr>
      <w:r>
        <w:t>8</w:t>
      </w:r>
      <w:r w:rsidRPr="00A365A9">
        <w:t xml:space="preserve">. </w:t>
      </w:r>
      <w:r w:rsidR="0036734B">
        <w:t>Tiekė</w:t>
      </w:r>
      <w:r w:rsidRPr="00A365A9">
        <w:t xml:space="preserve">jas Darbus privalo vykdyti vadovaudamasis gamintojų reikalavimais bei tokios rūšies darbų </w:t>
      </w:r>
      <w:r w:rsidR="0012496E">
        <w:t xml:space="preserve">vykdymo </w:t>
      </w:r>
      <w:r w:rsidRPr="00A365A9">
        <w:t>gerąja praktika.</w:t>
      </w:r>
    </w:p>
    <w:p w14:paraId="1D87E019" w14:textId="08091CAD" w:rsidR="00AB58EA" w:rsidRPr="00856BA5" w:rsidRDefault="002237F1" w:rsidP="00984B03">
      <w:pPr>
        <w:jc w:val="center"/>
        <w:rPr>
          <w:color w:val="000000" w:themeColor="text1"/>
          <w:sz w:val="24"/>
          <w:szCs w:val="24"/>
        </w:rPr>
      </w:pPr>
      <w:r w:rsidRPr="0079505A">
        <w:rPr>
          <w:sz w:val="28"/>
          <w:szCs w:val="28"/>
        </w:rPr>
        <w:t>____________________</w:t>
      </w:r>
    </w:p>
    <w:sectPr w:rsidR="00AB58EA" w:rsidRPr="00856BA5" w:rsidSect="00E725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A7C"/>
    <w:multiLevelType w:val="hybridMultilevel"/>
    <w:tmpl w:val="09FA3F80"/>
    <w:lvl w:ilvl="0" w:tplc="70AAC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F5427D"/>
    <w:multiLevelType w:val="hybridMultilevel"/>
    <w:tmpl w:val="E432D3AA"/>
    <w:lvl w:ilvl="0" w:tplc="DB6EA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A424F"/>
    <w:multiLevelType w:val="hybridMultilevel"/>
    <w:tmpl w:val="3DA44AF8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037787"/>
    <w:multiLevelType w:val="hybridMultilevel"/>
    <w:tmpl w:val="BC5804E2"/>
    <w:lvl w:ilvl="0" w:tplc="423450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464061"/>
    <w:multiLevelType w:val="hybridMultilevel"/>
    <w:tmpl w:val="3EB075D4"/>
    <w:lvl w:ilvl="0" w:tplc="CF7E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16730">
    <w:abstractNumId w:val="4"/>
  </w:num>
  <w:num w:numId="2" w16cid:durableId="999236221">
    <w:abstractNumId w:val="1"/>
  </w:num>
  <w:num w:numId="3" w16cid:durableId="421029322">
    <w:abstractNumId w:val="2"/>
  </w:num>
  <w:num w:numId="4" w16cid:durableId="1524784824">
    <w:abstractNumId w:val="0"/>
  </w:num>
  <w:num w:numId="5" w16cid:durableId="75879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9"/>
    <w:rsid w:val="00042EC6"/>
    <w:rsid w:val="00061E7D"/>
    <w:rsid w:val="00062777"/>
    <w:rsid w:val="000731A0"/>
    <w:rsid w:val="000B2252"/>
    <w:rsid w:val="00103761"/>
    <w:rsid w:val="00110168"/>
    <w:rsid w:val="00117961"/>
    <w:rsid w:val="0012496E"/>
    <w:rsid w:val="00130494"/>
    <w:rsid w:val="0016018E"/>
    <w:rsid w:val="0017444E"/>
    <w:rsid w:val="001A08F6"/>
    <w:rsid w:val="001F1013"/>
    <w:rsid w:val="00203333"/>
    <w:rsid w:val="00204363"/>
    <w:rsid w:val="002211D3"/>
    <w:rsid w:val="002237F1"/>
    <w:rsid w:val="00254A2F"/>
    <w:rsid w:val="00286BA9"/>
    <w:rsid w:val="00305227"/>
    <w:rsid w:val="00353271"/>
    <w:rsid w:val="0036734B"/>
    <w:rsid w:val="00391C63"/>
    <w:rsid w:val="003C5FA5"/>
    <w:rsid w:val="003D116E"/>
    <w:rsid w:val="003F2962"/>
    <w:rsid w:val="00426694"/>
    <w:rsid w:val="004423C9"/>
    <w:rsid w:val="00465871"/>
    <w:rsid w:val="00475ADF"/>
    <w:rsid w:val="004822A9"/>
    <w:rsid w:val="00482E34"/>
    <w:rsid w:val="005401E9"/>
    <w:rsid w:val="00542AEB"/>
    <w:rsid w:val="00554610"/>
    <w:rsid w:val="00607D6F"/>
    <w:rsid w:val="00624B41"/>
    <w:rsid w:val="00665832"/>
    <w:rsid w:val="0066642F"/>
    <w:rsid w:val="006A7F15"/>
    <w:rsid w:val="00703628"/>
    <w:rsid w:val="0073429F"/>
    <w:rsid w:val="00743EC1"/>
    <w:rsid w:val="00765C31"/>
    <w:rsid w:val="007A6510"/>
    <w:rsid w:val="007D3EA3"/>
    <w:rsid w:val="007E6C89"/>
    <w:rsid w:val="008274AF"/>
    <w:rsid w:val="00835CD7"/>
    <w:rsid w:val="00856BA5"/>
    <w:rsid w:val="008579F8"/>
    <w:rsid w:val="00877D0C"/>
    <w:rsid w:val="00891EF2"/>
    <w:rsid w:val="009151F3"/>
    <w:rsid w:val="00923688"/>
    <w:rsid w:val="00951D02"/>
    <w:rsid w:val="00971AA7"/>
    <w:rsid w:val="00984B03"/>
    <w:rsid w:val="009A1F91"/>
    <w:rsid w:val="009A4839"/>
    <w:rsid w:val="009C5347"/>
    <w:rsid w:val="00A47654"/>
    <w:rsid w:val="00AA1158"/>
    <w:rsid w:val="00AA4CD3"/>
    <w:rsid w:val="00AB58EA"/>
    <w:rsid w:val="00AB659B"/>
    <w:rsid w:val="00B038A4"/>
    <w:rsid w:val="00B2696D"/>
    <w:rsid w:val="00B56577"/>
    <w:rsid w:val="00B96053"/>
    <w:rsid w:val="00BA0980"/>
    <w:rsid w:val="00BA3958"/>
    <w:rsid w:val="00BB4339"/>
    <w:rsid w:val="00C37DF9"/>
    <w:rsid w:val="00C47928"/>
    <w:rsid w:val="00CA0898"/>
    <w:rsid w:val="00D21CA7"/>
    <w:rsid w:val="00D239C6"/>
    <w:rsid w:val="00DB46AB"/>
    <w:rsid w:val="00DD38E1"/>
    <w:rsid w:val="00DF412A"/>
    <w:rsid w:val="00E06BD4"/>
    <w:rsid w:val="00E42EF1"/>
    <w:rsid w:val="00E509E8"/>
    <w:rsid w:val="00E7256A"/>
    <w:rsid w:val="00EE31B1"/>
    <w:rsid w:val="00EF5D03"/>
    <w:rsid w:val="00F64812"/>
    <w:rsid w:val="00F900CF"/>
    <w:rsid w:val="00FB565F"/>
    <w:rsid w:val="00FB6203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3CA1"/>
  <w15:chartTrackingRefBased/>
  <w15:docId w15:val="{53B3360C-BC60-4B6B-B4B8-F6031309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5401E9"/>
    <w:pPr>
      <w:ind w:left="720"/>
    </w:pPr>
    <w:rPr>
      <w:rFonts w:ascii="Calibri" w:eastAsia="Calibri" w:hAnsi="Calibri"/>
      <w:sz w:val="22"/>
      <w:szCs w:val="22"/>
      <w:lang w:val="x-none"/>
    </w:rPr>
  </w:style>
  <w:style w:type="character" w:customStyle="1" w:styleId="SraopastraipaDiagrama">
    <w:name w:val="Sąrašo pastraipa Diagrama"/>
    <w:link w:val="Sraopastraipa"/>
    <w:uiPriority w:val="34"/>
    <w:rsid w:val="005401E9"/>
    <w:rPr>
      <w:rFonts w:ascii="Calibri" w:eastAsia="Calibri" w:hAnsi="Calibri" w:cs="Times New Roman"/>
      <w:lang w:val="x-none"/>
    </w:rPr>
  </w:style>
  <w:style w:type="paragraph" w:styleId="Pagrindinistekstas2">
    <w:name w:val="Body Text 2"/>
    <w:basedOn w:val="prastasis"/>
    <w:link w:val="Pagrindinistekstas2Diagrama"/>
    <w:rsid w:val="002237F1"/>
    <w:pPr>
      <w:spacing w:line="360" w:lineRule="auto"/>
    </w:pPr>
    <w:rPr>
      <w:sz w:val="24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237F1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4B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4B0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4B0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4B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4B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B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4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ŠPC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Repečka</dc:creator>
  <cp:keywords/>
  <dc:description/>
  <cp:lastModifiedBy>Arvydas Repečka</cp:lastModifiedBy>
  <cp:revision>2</cp:revision>
  <dcterms:created xsi:type="dcterms:W3CDTF">2026-05-22T04:46:00Z</dcterms:created>
  <dcterms:modified xsi:type="dcterms:W3CDTF">2026-05-22T04:46:00Z</dcterms:modified>
</cp:coreProperties>
</file>