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5B602EE0"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207499">
        <w:rPr>
          <w:rFonts w:ascii="Arial" w:hAnsi="Arial" w:cs="Arial"/>
          <w:i/>
          <w:iCs/>
          <w:sz w:val="22"/>
          <w:szCs w:val="22"/>
        </w:rPr>
        <w:t>4</w:t>
      </w:r>
      <w:r w:rsidR="00207499" w:rsidRPr="00FA6096">
        <w:rPr>
          <w:rFonts w:ascii="Arial" w:hAnsi="Arial" w:cs="Arial"/>
          <w:i/>
          <w:iCs/>
          <w:sz w:val="22"/>
          <w:szCs w:val="22"/>
        </w:rPr>
        <w:t xml:space="preserve"> </w:t>
      </w:r>
      <w:r w:rsidR="005A6195" w:rsidRPr="00FA6096">
        <w:rPr>
          <w:rFonts w:ascii="Arial" w:hAnsi="Arial" w:cs="Arial"/>
          <w:i/>
          <w:iCs/>
          <w:sz w:val="22"/>
          <w:szCs w:val="22"/>
        </w:rPr>
        <w:t>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7D6B95">
      <w:pPr>
        <w:pStyle w:val="paragraph"/>
        <w:numPr>
          <w:ilvl w:val="0"/>
          <w:numId w:val="20"/>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7D6B95">
      <w:pPr>
        <w:pStyle w:val="paragraph"/>
        <w:numPr>
          <w:ilvl w:val="0"/>
          <w:numId w:val="21"/>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6528A928" w:rsidR="005A6195" w:rsidRPr="00FA6096" w:rsidRDefault="005A6195" w:rsidP="007D6B95">
      <w:pPr>
        <w:pStyle w:val="paragraph"/>
        <w:numPr>
          <w:ilvl w:val="0"/>
          <w:numId w:val="22"/>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Perkančioji organizacija su pasiūlymu arba paraiška nereikalauja pateikti lentelėje nurodytų pašalinimo pagrindų nebuvimą įrodančių dokumentų. </w:t>
      </w:r>
      <w:r w:rsidR="001759A1" w:rsidRPr="001759A1">
        <w:rPr>
          <w:rFonts w:ascii="Arial" w:hAnsi="Arial" w:cs="Arial"/>
          <w:color w:val="000000"/>
          <w:sz w:val="22"/>
          <w:szCs w:val="22"/>
          <w:shd w:val="clear" w:color="auto" w:fill="FFFFFF"/>
        </w:rPr>
        <w:t xml:space="preserve">Pažymų, patvirtinančių tiekėjo pašalinimo pagrindų nebuvimą, perkančioji organizacija gali reikalauti iš tiekėjų turėdama pagrįstų abejonių dėl šių tiekėjų patikimumo. </w:t>
      </w:r>
      <w:r w:rsidRPr="00FA6096">
        <w:rPr>
          <w:rStyle w:val="normaltextrun"/>
          <w:rFonts w:ascii="Arial" w:hAnsi="Arial" w:cs="Arial"/>
          <w:color w:val="000000"/>
          <w:sz w:val="22"/>
          <w:szCs w:val="22"/>
          <w:shd w:val="clear" w:color="auto" w:fill="FFFFFF"/>
        </w:rPr>
        <w:t>Perkančioji organizacija pasilieka teisę bet kuriuo pirkimo procedūros metu paprašyti dalyvių pateikti visus ar dalį dokumentų, patvirtinančių jų pašalinimo pagrindų nebuvimą, jeigu tai būtina siekiant užtikrinti tinkamą pirkimo procedūros atlikimą.</w:t>
      </w:r>
    </w:p>
    <w:p w14:paraId="4FDFC204" w14:textId="0EB697E6" w:rsidR="005A6195" w:rsidRPr="00FA6096" w:rsidRDefault="005A6195" w:rsidP="007D6B95">
      <w:pPr>
        <w:pStyle w:val="paragraph"/>
        <w:numPr>
          <w:ilvl w:val="0"/>
          <w:numId w:val="23"/>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w:t>
      </w:r>
    </w:p>
    <w:p w14:paraId="5622E3ED" w14:textId="2F2F9EA9" w:rsidR="005A6195" w:rsidRPr="00FA6096" w:rsidRDefault="005A6195" w:rsidP="007D6B95">
      <w:pPr>
        <w:pStyle w:val="paragraph"/>
        <w:numPr>
          <w:ilvl w:val="0"/>
          <w:numId w:val="24"/>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w:t>
      </w:r>
    </w:p>
    <w:p w14:paraId="138ED816" w14:textId="3957AEB6" w:rsidR="005A6195" w:rsidRPr="00FA6096" w:rsidRDefault="005A6195" w:rsidP="007D6B95">
      <w:pPr>
        <w:pStyle w:val="paragraph"/>
        <w:numPr>
          <w:ilvl w:val="0"/>
          <w:numId w:val="25"/>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4876D" w14:textId="2985B5E0" w:rsidR="005A6195" w:rsidRPr="00FA6096" w:rsidRDefault="005A6195" w:rsidP="007D6B95">
      <w:pPr>
        <w:pStyle w:val="paragraph"/>
        <w:numPr>
          <w:ilvl w:val="0"/>
          <w:numId w:val="26"/>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E0BC7EF" w:rsidR="005A6195" w:rsidRPr="00FA6096" w:rsidRDefault="005A6195" w:rsidP="007D6B95">
      <w:pPr>
        <w:pStyle w:val="paragraph"/>
        <w:numPr>
          <w:ilvl w:val="0"/>
          <w:numId w:val="27"/>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p>
    <w:p w14:paraId="1AA80CCE" w14:textId="5DB20203" w:rsidR="005A6195" w:rsidRPr="00FA6096" w:rsidRDefault="005A6195" w:rsidP="007D6B95">
      <w:pPr>
        <w:pStyle w:val="paragraph"/>
        <w:numPr>
          <w:ilvl w:val="1"/>
          <w:numId w:val="29"/>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000C22" w14:textId="77777777" w:rsidR="005A6195" w:rsidRPr="00FA6096" w:rsidRDefault="005A6195" w:rsidP="007D6B95">
      <w:pPr>
        <w:pStyle w:val="paragraph"/>
        <w:numPr>
          <w:ilvl w:val="1"/>
          <w:numId w:val="29"/>
        </w:numPr>
        <w:tabs>
          <w:tab w:val="left" w:pos="993"/>
        </w:tabs>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643CB69A" w:rsidR="005A6195" w:rsidRPr="00FA6096" w:rsidRDefault="005A6195" w:rsidP="007D6B95">
      <w:pPr>
        <w:pStyle w:val="paragraph"/>
        <w:numPr>
          <w:ilvl w:val="0"/>
          <w:numId w:val="28"/>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E05A2C" w14:textId="20D89CDE" w:rsidR="005A6195" w:rsidRPr="00FA6096" w:rsidRDefault="005A6195" w:rsidP="007D6B95">
      <w:pPr>
        <w:pStyle w:val="paragraph"/>
        <w:numPr>
          <w:ilvl w:val="1"/>
          <w:numId w:val="30"/>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p>
    <w:p w14:paraId="40F013DD" w14:textId="6B429E36" w:rsidR="005A6195" w:rsidRPr="00FA6096" w:rsidRDefault="005A6195" w:rsidP="007D6B95">
      <w:pPr>
        <w:pStyle w:val="paragraph"/>
        <w:numPr>
          <w:ilvl w:val="1"/>
          <w:numId w:val="30"/>
        </w:numPr>
        <w:tabs>
          <w:tab w:val="left" w:pos="993"/>
        </w:tabs>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p>
    <w:p w14:paraId="5536E2DF" w14:textId="75BC6CCF" w:rsidR="005A6195" w:rsidRPr="00FA6096" w:rsidRDefault="005A6195" w:rsidP="007D6B95">
      <w:pPr>
        <w:pStyle w:val="paragraph"/>
        <w:numPr>
          <w:ilvl w:val="0"/>
          <w:numId w:val="30"/>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Pašalinimo pagrindai netaikomi:</w:t>
      </w:r>
    </w:p>
    <w:p w14:paraId="35AA59D5" w14:textId="77777777" w:rsidR="005A6195" w:rsidRPr="00FA6096" w:rsidRDefault="005A6195" w:rsidP="007D6B95">
      <w:pPr>
        <w:tabs>
          <w:tab w:val="left" w:pos="993"/>
        </w:tabs>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7D6B95">
      <w:pPr>
        <w:tabs>
          <w:tab w:val="left" w:pos="993"/>
        </w:tabs>
        <w:spacing w:after="0" w:line="257" w:lineRule="auto"/>
        <w:ind w:firstLine="567"/>
        <w:jc w:val="both"/>
        <w:rPr>
          <w:rFonts w:ascii="Arial" w:eastAsia="Calibri" w:hAnsi="Arial" w:cs="Arial"/>
          <w:sz w:val="22"/>
          <w:szCs w:val="22"/>
        </w:rPr>
      </w:pPr>
      <w:r w:rsidRPr="00FA6096">
        <w:rPr>
          <w:rFonts w:ascii="Arial" w:hAnsi="Arial" w:cs="Arial"/>
          <w:sz w:val="22"/>
          <w:szCs w:val="22"/>
        </w:rPr>
        <w:t xml:space="preserve">10.2. fiziniams asmenims (specialistams), kurių pajėgumais tiekėjas remiasi pagal VPĮ 49 straipsnį ir kuriuos, pirkimo laimėjimo atveju, tiekėjas ketina įdarbinti </w:t>
      </w:r>
      <w:r w:rsidRPr="00FA6096">
        <w:rPr>
          <w:rFonts w:ascii="Arial" w:hAnsi="Arial" w:cs="Arial"/>
          <w:noProof/>
          <w:sz w:val="22"/>
          <w:szCs w:val="22"/>
        </w:rPr>
        <w:t>(kvazisubtiekėjų).</w:t>
      </w:r>
    </w:p>
    <w:p w14:paraId="6AD8415C" w14:textId="77777777" w:rsidR="005A6195" w:rsidRPr="00FA6096" w:rsidRDefault="005A6195" w:rsidP="007D6B95">
      <w:pPr>
        <w:tabs>
          <w:tab w:val="left" w:pos="993"/>
        </w:tabs>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442D6D"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442D6D"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442D6D"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442D6D"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442D6D"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301F" w14:textId="77777777" w:rsidR="00442D6D" w:rsidRDefault="00442D6D" w:rsidP="005A6195">
      <w:pPr>
        <w:spacing w:after="0" w:line="240" w:lineRule="auto"/>
      </w:pPr>
      <w:r>
        <w:separator/>
      </w:r>
    </w:p>
  </w:endnote>
  <w:endnote w:type="continuationSeparator" w:id="0">
    <w:p w14:paraId="0BA23F67" w14:textId="77777777" w:rsidR="00442D6D" w:rsidRDefault="00442D6D" w:rsidP="005A6195">
      <w:pPr>
        <w:spacing w:after="0" w:line="240" w:lineRule="auto"/>
      </w:pPr>
      <w:r>
        <w:continuationSeparator/>
      </w:r>
    </w:p>
  </w:endnote>
  <w:endnote w:type="continuationNotice" w:id="1">
    <w:p w14:paraId="0EC42392" w14:textId="77777777" w:rsidR="00442D6D" w:rsidRDefault="00442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D762" w14:textId="77777777" w:rsidR="00442D6D" w:rsidRDefault="00442D6D" w:rsidP="005A6195">
      <w:pPr>
        <w:spacing w:after="0" w:line="240" w:lineRule="auto"/>
      </w:pPr>
      <w:r>
        <w:separator/>
      </w:r>
    </w:p>
  </w:footnote>
  <w:footnote w:type="continuationSeparator" w:id="0">
    <w:p w14:paraId="0F88D785" w14:textId="77777777" w:rsidR="00442D6D" w:rsidRDefault="00442D6D" w:rsidP="005A6195">
      <w:pPr>
        <w:spacing w:after="0" w:line="240" w:lineRule="auto"/>
      </w:pPr>
      <w:r>
        <w:continuationSeparator/>
      </w:r>
    </w:p>
  </w:footnote>
  <w:footnote w:type="continuationNotice" w:id="1">
    <w:p w14:paraId="6FE6AB9D" w14:textId="77777777" w:rsidR="00442D6D" w:rsidRDefault="00442D6D">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442D6D">
    <w:pPr>
      <w:pStyle w:val="Header"/>
      <w:jc w:val="center"/>
    </w:pPr>
  </w:p>
  <w:p w14:paraId="456E27E1" w14:textId="77777777" w:rsidR="00FE2F38" w:rsidRDefault="00442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442D6D"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59A1"/>
    <w:rsid w:val="001769AA"/>
    <w:rsid w:val="00186A33"/>
    <w:rsid w:val="001B4570"/>
    <w:rsid w:val="001D662D"/>
    <w:rsid w:val="001E6242"/>
    <w:rsid w:val="001E6E65"/>
    <w:rsid w:val="001F0699"/>
    <w:rsid w:val="002074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2D6D"/>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4188A"/>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86D2D"/>
    <w:rsid w:val="007920C1"/>
    <w:rsid w:val="007A103D"/>
    <w:rsid w:val="007A25D4"/>
    <w:rsid w:val="007A2A9E"/>
    <w:rsid w:val="007B2B09"/>
    <w:rsid w:val="007C2A05"/>
    <w:rsid w:val="007C465C"/>
    <w:rsid w:val="007D6B9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C6AC9"/>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5A61"/>
    <w:rsid w:val="00EA6C87"/>
    <w:rsid w:val="00EC2D8F"/>
    <w:rsid w:val="00EC6E6E"/>
    <w:rsid w:val="00ED2281"/>
    <w:rsid w:val="00ED2B94"/>
    <w:rsid w:val="00F04834"/>
    <w:rsid w:val="00F05535"/>
    <w:rsid w:val="00F13696"/>
    <w:rsid w:val="00F152D9"/>
    <w:rsid w:val="00F24BE4"/>
    <w:rsid w:val="00F25D9D"/>
    <w:rsid w:val="00F421E7"/>
    <w:rsid w:val="00F501FF"/>
    <w:rsid w:val="00F55A1D"/>
    <w:rsid w:val="00F762E7"/>
    <w:rsid w:val="00F86C1B"/>
    <w:rsid w:val="00F924CF"/>
    <w:rsid w:val="00F92D67"/>
    <w:rsid w:val="00F93040"/>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2.xml><?xml version="1.0" encoding="utf-8"?>
<ds:datastoreItem xmlns:ds="http://schemas.openxmlformats.org/officeDocument/2006/customXml" ds:itemID="{70B0C3CC-D414-4628-B4D3-B79559A0E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4.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16146</Words>
  <Characters>9204</Characters>
  <Application>Microsoft Office Word</Application>
  <DocSecurity>0</DocSecurity>
  <Lines>76</Lines>
  <Paragraphs>50</Paragraphs>
  <ScaleCrop>false</ScaleCrop>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Sinilga Šilkinė</cp:lastModifiedBy>
  <cp:revision>2</cp:revision>
  <dcterms:created xsi:type="dcterms:W3CDTF">2026-05-22T06:15:00Z</dcterms:created>
  <dcterms:modified xsi:type="dcterms:W3CDTF">2026-05-22T06:15:00Z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