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93DE" w14:textId="77777777" w:rsidR="00C6487A" w:rsidRDefault="00C6487A" w:rsidP="00C6487A">
      <w:pPr>
        <w:jc w:val="center"/>
        <w:rPr>
          <w:b/>
        </w:rPr>
      </w:pPr>
    </w:p>
    <w:p w14:paraId="1AE46C0D" w14:textId="77777777" w:rsidR="00C6487A" w:rsidRDefault="00C6487A" w:rsidP="00C6487A">
      <w:pPr>
        <w:jc w:val="center"/>
        <w:rPr>
          <w:b/>
        </w:rPr>
      </w:pPr>
    </w:p>
    <w:p w14:paraId="7483A924" w14:textId="77777777" w:rsidR="00C6487A" w:rsidRDefault="00C6487A" w:rsidP="00C6487A">
      <w:pPr>
        <w:jc w:val="center"/>
        <w:rPr>
          <w:b/>
        </w:rPr>
      </w:pPr>
    </w:p>
    <w:p w14:paraId="0BFFAF06" w14:textId="325580DA" w:rsidR="00C6487A" w:rsidRDefault="00587483" w:rsidP="00C6487A">
      <w:pPr>
        <w:jc w:val="center"/>
        <w:rPr>
          <w:b/>
        </w:rPr>
      </w:pPr>
      <w:r>
        <w:rPr>
          <w:b/>
        </w:rPr>
        <w:t>NEPERTRAUKIAMŲ MAITINIMO ŠALTINIŲ</w:t>
      </w:r>
      <w:r w:rsidR="004974F3">
        <w:rPr>
          <w:b/>
        </w:rPr>
        <w:t xml:space="preserve"> TECHNINĖ</w:t>
      </w:r>
      <w:r w:rsidR="00C6487A" w:rsidRPr="001B3214">
        <w:rPr>
          <w:b/>
        </w:rPr>
        <w:t xml:space="preserve"> SPECIFIKACIJA</w:t>
      </w:r>
    </w:p>
    <w:p w14:paraId="6F4E1BE7" w14:textId="41D84DFC" w:rsidR="00C6487A" w:rsidRPr="001B3214" w:rsidRDefault="00587483" w:rsidP="00C6487A">
      <w:r>
        <w:t xml:space="preserve"> </w:t>
      </w:r>
    </w:p>
    <w:p w14:paraId="4565E656" w14:textId="77777777" w:rsidR="00C6487A" w:rsidRDefault="00C6487A" w:rsidP="00C6487A">
      <w:pPr>
        <w:rPr>
          <w:u w:val="single"/>
        </w:rPr>
      </w:pPr>
    </w:p>
    <w:tbl>
      <w:tblPr>
        <w:tblW w:w="11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6"/>
        <w:gridCol w:w="1843"/>
        <w:gridCol w:w="6521"/>
        <w:gridCol w:w="850"/>
        <w:gridCol w:w="1418"/>
      </w:tblGrid>
      <w:tr w:rsidR="00587483" w:rsidRPr="006E5C73" w14:paraId="12E5C063" w14:textId="77777777" w:rsidTr="00B15D0F">
        <w:trPr>
          <w:trHeight w:val="52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FA7A" w14:textId="77777777" w:rsidR="00587483" w:rsidRPr="006E5C73" w:rsidRDefault="00587483" w:rsidP="006F50FB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Eil. Nr.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B51" w14:textId="77777777" w:rsidR="00587483" w:rsidRPr="006E5C73" w:rsidRDefault="00587483" w:rsidP="006F50FB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Pirkimo objekto pavadinimas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5648" w14:textId="77777777" w:rsidR="00587483" w:rsidRPr="006E5C73" w:rsidRDefault="00587483" w:rsidP="006F50FB">
            <w:pPr>
              <w:tabs>
                <w:tab w:val="left" w:pos="631"/>
                <w:tab w:val="left" w:pos="757"/>
                <w:tab w:val="left" w:pos="883"/>
              </w:tabs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Techniniai reikalavimai/ specifikacija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735" w14:textId="77777777" w:rsidR="00587483" w:rsidRPr="006E5C73" w:rsidRDefault="00587483" w:rsidP="006F50FB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7EF" w14:textId="77777777" w:rsidR="00587483" w:rsidRPr="006E5C73" w:rsidRDefault="00587483" w:rsidP="006F50FB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Reikalingas</w:t>
            </w:r>
          </w:p>
          <w:p w14:paraId="2B2DB0D6" w14:textId="77777777" w:rsidR="00587483" w:rsidRPr="006E5C73" w:rsidRDefault="00587483" w:rsidP="006F50FB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kiekis ar apimtys</w:t>
            </w:r>
          </w:p>
        </w:tc>
      </w:tr>
      <w:tr w:rsidR="000D6292" w:rsidRPr="006E5C73" w14:paraId="49B340B8" w14:textId="77777777" w:rsidTr="00B15D0F">
        <w:trPr>
          <w:trHeight w:val="15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3C0" w14:textId="77777777" w:rsidR="000D6292" w:rsidRPr="006E5C73" w:rsidRDefault="000D6292" w:rsidP="000D6292">
            <w:pPr>
              <w:jc w:val="center"/>
              <w:rPr>
                <w:color w:val="000000" w:themeColor="text1"/>
              </w:rPr>
            </w:pPr>
            <w:r w:rsidRPr="006E5C73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CF8D" w14:textId="77777777" w:rsidR="000D6292" w:rsidRPr="00D2090C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90C">
              <w:rPr>
                <w:color w:val="000000" w:themeColor="text1"/>
              </w:rPr>
              <w:t>Nepertraukiamo maitinimo šaltinis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03EA" w14:textId="77777777" w:rsidR="000D6292" w:rsidRDefault="000D6292" w:rsidP="000D6292">
            <w:pPr>
              <w:autoSpaceDE w:val="0"/>
              <w:autoSpaceDN w:val="0"/>
              <w:adjustRightInd w:val="0"/>
            </w:pPr>
            <w:r>
              <w:t xml:space="preserve">Tipas - pastatomas nepertraukiamo maitinimo šaltinis. Kištukiniai lizdai SCHUKO ne mažiau 8 (veikimas per bateriją ir apsauga nuo viršįtampių x6, tik apsauga nuo viršįtampių x2), papildomos jungtys - USB A </w:t>
            </w:r>
            <w:proofErr w:type="spellStart"/>
            <w:r>
              <w:t>Female</w:t>
            </w:r>
            <w:proofErr w:type="spellEnd"/>
            <w:r>
              <w:t xml:space="preserve"> x1, USB Type-C </w:t>
            </w:r>
            <w:proofErr w:type="spellStart"/>
            <w:r>
              <w:t>Female</w:t>
            </w:r>
            <w:proofErr w:type="spellEnd"/>
            <w:r>
              <w:t xml:space="preserve"> x1. Galingumas - ne mažiau 500W. Maitinimas - 230V 50-60Hz. Turi įjungimo/išjungimo mygtuką ir baterijos lygio indikatorių. Baterija - 12V, ne mažiau kaip 9Ah. Baterija turi būti lengvai keičiama be papildomų įrankių. Garantija ne trumpiau kaip 24 mėn.</w:t>
            </w:r>
          </w:p>
          <w:p w14:paraId="734CFAA7" w14:textId="77777777" w:rsidR="000D6292" w:rsidRPr="006E5C73" w:rsidRDefault="000D6292" w:rsidP="000D6292">
            <w:pPr>
              <w:rPr>
                <w:bCs/>
              </w:rPr>
            </w:pPr>
            <w:r w:rsidRPr="006E5C73">
              <w:rPr>
                <w:bCs/>
              </w:rPr>
              <w:t xml:space="preserve">Visa pateikiama įranga turi būti nauja ir nenaudota </w:t>
            </w:r>
            <w:r w:rsidRPr="006E5C73">
              <w:t>(negali b</w:t>
            </w:r>
            <w:r w:rsidRPr="006E5C73">
              <w:rPr>
                <w:rFonts w:ascii="TimesNewRoman" w:hAnsi="TimesNewRoman"/>
              </w:rPr>
              <w:t>ū</w:t>
            </w:r>
            <w:r w:rsidRPr="006E5C73">
              <w:t xml:space="preserve">ti atnaujinta, restauruota, angl. </w:t>
            </w:r>
            <w:proofErr w:type="spellStart"/>
            <w:r w:rsidRPr="006E5C73">
              <w:rPr>
                <w:i/>
                <w:iCs/>
              </w:rPr>
              <w:t>refurbished</w:t>
            </w:r>
            <w:proofErr w:type="spellEnd"/>
            <w:r w:rsidRPr="006E5C73">
              <w:t>), nepažeistose gamintojo pakuotėse</w:t>
            </w:r>
            <w:r w:rsidRPr="006E5C73">
              <w:rPr>
                <w:bCs/>
              </w:rPr>
              <w:t>.</w:t>
            </w:r>
          </w:p>
          <w:p w14:paraId="6B38BFEB" w14:textId="77777777" w:rsidR="000D6292" w:rsidRDefault="000D6292" w:rsidP="000D6292">
            <w:pPr>
              <w:tabs>
                <w:tab w:val="left" w:pos="1080"/>
              </w:tabs>
              <w:rPr>
                <w:szCs w:val="20"/>
              </w:rPr>
            </w:pPr>
            <w:r w:rsidRPr="007608A8">
              <w:rPr>
                <w:rFonts w:eastAsiaTheme="minorHAnsi"/>
              </w:rPr>
              <w:t>Pirkimo objektas (įranga, priemonės)</w:t>
            </w:r>
            <w:r w:rsidRPr="007608A8">
              <w:rPr>
                <w:rFonts w:ascii="TimesNewRomanPSMT" w:eastAsiaTheme="minorHAnsi" w:hAnsi="TimesNewRomanPSMT" w:cs="TimesNewRomanPSMT"/>
              </w:rPr>
              <w:t xml:space="preserve"> turi nekelti grėsmės nacionaliniam saugumui. </w:t>
            </w:r>
            <w:r w:rsidRPr="007608A8">
              <w:rPr>
                <w:szCs w:val="20"/>
              </w:rPr>
              <w:t xml:space="preserve">Įranga privalo atitikti reikalavimus pagal 2022 m. kovo 30 d. Lietuvos </w:t>
            </w:r>
            <w:r>
              <w:rPr>
                <w:szCs w:val="20"/>
              </w:rPr>
              <w:t>R</w:t>
            </w:r>
            <w:r w:rsidRPr="007608A8">
              <w:rPr>
                <w:szCs w:val="20"/>
              </w:rPr>
              <w:t xml:space="preserve">espublikos </w:t>
            </w:r>
            <w:r>
              <w:rPr>
                <w:szCs w:val="20"/>
              </w:rPr>
              <w:t>V</w:t>
            </w:r>
            <w:r w:rsidRPr="007608A8">
              <w:rPr>
                <w:szCs w:val="20"/>
              </w:rPr>
              <w:t>yriausybės nutarimą Nr. 280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 xml:space="preserve">„Dėl Lietuvos Respublikos viešųjų pirkimų įstatymo 92 straipsnio 13, 14 ir 15 dalių nuostatų įgyvendinimo“ </w:t>
            </w:r>
            <w:r w:rsidRPr="00795A93">
              <w:rPr>
                <w:i/>
                <w:szCs w:val="20"/>
              </w:rPr>
              <w:t>(aktuali redakcija)</w:t>
            </w:r>
            <w:r w:rsidRPr="007608A8">
              <w:rPr>
                <w:szCs w:val="20"/>
              </w:rPr>
              <w:t>.</w:t>
            </w:r>
          </w:p>
          <w:p w14:paraId="7B277FE5" w14:textId="77777777" w:rsidR="000D6292" w:rsidRDefault="000D6292" w:rsidP="000D6292">
            <w:pPr>
              <w:rPr>
                <w:bCs/>
              </w:rPr>
            </w:pP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įrodantys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dokumentai</w:t>
            </w:r>
            <w:proofErr w:type="spellEnd"/>
            <w:r w:rsidRPr="00FA38D1">
              <w:rPr>
                <w:lang w:val="en-US"/>
              </w:rPr>
              <w:t xml:space="preserve"> - </w:t>
            </w:r>
            <w:proofErr w:type="spellStart"/>
            <w:r w:rsidRPr="00FA38D1">
              <w:rPr>
                <w:lang w:val="en-US"/>
              </w:rPr>
              <w:t>perkančioji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organizacija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pasilieka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teisę</w:t>
            </w:r>
            <w:proofErr w:type="spellEnd"/>
            <w:r w:rsidRPr="00FA38D1">
              <w:rPr>
                <w:lang w:val="en-US"/>
              </w:rPr>
              <w:t xml:space="preserve"> bet </w:t>
            </w:r>
            <w:proofErr w:type="spellStart"/>
            <w:r w:rsidRPr="00FA38D1">
              <w:rPr>
                <w:lang w:val="en-US"/>
              </w:rPr>
              <w:t>kuriuo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metu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prašyti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pateikti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nacionalinio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saugumo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patvirtinančių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dokumentų</w:t>
            </w:r>
            <w:proofErr w:type="spellEnd"/>
            <w:r w:rsidRPr="00FA38D1">
              <w:rPr>
                <w:lang w:val="en-US"/>
              </w:rPr>
              <w:t>.</w:t>
            </w:r>
          </w:p>
          <w:p w14:paraId="17F2BC86" w14:textId="35627931" w:rsidR="000D6292" w:rsidRPr="006E5C73" w:rsidRDefault="000D6292" w:rsidP="000D62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Įranga privalo turėti šiuos sertifikatus – WEEE, </w:t>
            </w:r>
            <w:proofErr w:type="spellStart"/>
            <w:r>
              <w:rPr>
                <w:color w:val="000000" w:themeColor="text1"/>
              </w:rPr>
              <w:t>RoHS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REACh</w:t>
            </w:r>
            <w:proofErr w:type="spellEnd"/>
            <w:r>
              <w:rPr>
                <w:color w:val="000000" w:themeColor="text1"/>
              </w:rPr>
              <w:t xml:space="preserve">, PEP, </w:t>
            </w:r>
            <w:proofErr w:type="spellStart"/>
            <w:r>
              <w:rPr>
                <w:color w:val="000000" w:themeColor="text1"/>
              </w:rPr>
              <w:t>EnergyStar</w:t>
            </w:r>
            <w:proofErr w:type="spellEnd"/>
            <w:r>
              <w:rPr>
                <w:color w:val="000000" w:themeColor="text1"/>
              </w:rPr>
              <w:t xml:space="preserve"> arba lygiavertis, VDE arba lygiavertis.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13DB" w14:textId="77777777" w:rsidR="000D6292" w:rsidRPr="006E5C73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E5C73"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94B9" w14:textId="77777777" w:rsidR="000D6292" w:rsidRPr="006E5C73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0D6292" w14:paraId="5844F642" w14:textId="77777777" w:rsidTr="00B15D0F">
        <w:trPr>
          <w:trHeight w:val="1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9F91" w14:textId="77777777" w:rsidR="000D6292" w:rsidRPr="006E5C73" w:rsidRDefault="000D6292" w:rsidP="000D62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7DE0" w14:textId="77777777" w:rsidR="000D6292" w:rsidRDefault="000D6292" w:rsidP="000D6292">
            <w:pPr>
              <w:jc w:val="center"/>
              <w:rPr>
                <w:b/>
                <w:color w:val="000000" w:themeColor="text1"/>
              </w:rPr>
            </w:pPr>
            <w:r w:rsidRPr="00D2090C">
              <w:rPr>
                <w:color w:val="000000" w:themeColor="text1"/>
              </w:rPr>
              <w:t>Nepertraukiamo maitinimo šaltinis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DA0C" w14:textId="77777777" w:rsidR="000D6292" w:rsidRDefault="000D6292" w:rsidP="000D6292">
            <w:pPr>
              <w:autoSpaceDE w:val="0"/>
              <w:autoSpaceDN w:val="0"/>
              <w:adjustRightInd w:val="0"/>
            </w:pPr>
            <w:r>
              <w:t>Tipas - pastatomas nepertraukiamo maitinimo šaltinis. Kištukiniai lizdai SCHUKO ne mažiau 4 (veikimas per bateriją ir apsauga nuo viršįtampių). Galingumas - ne mažiau 650W. Maitinimas - 230V 50-60Hz. Turi įjungimo/išjungimo mygtuką. Baterija - 12V, ne mažiau kaip 9Ah. Baterija turi būti lengvai keičiama be papildomų įrankių. Garantija ne trumpiau kaip 24 mėn.</w:t>
            </w:r>
          </w:p>
          <w:p w14:paraId="38A1E071" w14:textId="77777777" w:rsidR="000D6292" w:rsidRPr="006E5C73" w:rsidRDefault="000D6292" w:rsidP="000D6292">
            <w:pPr>
              <w:rPr>
                <w:bCs/>
              </w:rPr>
            </w:pPr>
            <w:r w:rsidRPr="006E5C73">
              <w:rPr>
                <w:bCs/>
              </w:rPr>
              <w:t xml:space="preserve">Visa pateikiama įranga turi būti nauja ir nenaudota </w:t>
            </w:r>
            <w:r w:rsidRPr="006E5C73">
              <w:t>(negali b</w:t>
            </w:r>
            <w:r w:rsidRPr="006E5C73">
              <w:rPr>
                <w:rFonts w:ascii="TimesNewRoman" w:hAnsi="TimesNewRoman"/>
              </w:rPr>
              <w:t>ū</w:t>
            </w:r>
            <w:r w:rsidRPr="006E5C73">
              <w:t xml:space="preserve">ti atnaujinta, restauruota, angl. </w:t>
            </w:r>
            <w:proofErr w:type="spellStart"/>
            <w:r w:rsidRPr="006E5C73">
              <w:rPr>
                <w:i/>
                <w:iCs/>
              </w:rPr>
              <w:t>refurbished</w:t>
            </w:r>
            <w:proofErr w:type="spellEnd"/>
            <w:r w:rsidRPr="006E5C73">
              <w:t>), nepažeistose gamintojo pakuotėse</w:t>
            </w:r>
            <w:r w:rsidRPr="006E5C73">
              <w:rPr>
                <w:bCs/>
              </w:rPr>
              <w:t>.</w:t>
            </w:r>
          </w:p>
          <w:p w14:paraId="352C1FF9" w14:textId="77777777" w:rsidR="000D6292" w:rsidRDefault="000D6292" w:rsidP="000D6292">
            <w:pPr>
              <w:tabs>
                <w:tab w:val="left" w:pos="1080"/>
              </w:tabs>
              <w:rPr>
                <w:szCs w:val="20"/>
              </w:rPr>
            </w:pPr>
            <w:r w:rsidRPr="007608A8">
              <w:rPr>
                <w:rFonts w:eastAsiaTheme="minorHAnsi"/>
              </w:rPr>
              <w:t>Pirkimo objektas (įranga, priemonės)</w:t>
            </w:r>
            <w:r w:rsidRPr="007608A8">
              <w:rPr>
                <w:rFonts w:ascii="TimesNewRomanPSMT" w:eastAsiaTheme="minorHAnsi" w:hAnsi="TimesNewRomanPSMT" w:cs="TimesNewRomanPSMT"/>
              </w:rPr>
              <w:t xml:space="preserve"> turi nekelti grėsmės nacionaliniam saugumui. </w:t>
            </w:r>
            <w:r w:rsidRPr="007608A8">
              <w:rPr>
                <w:szCs w:val="20"/>
              </w:rPr>
              <w:t xml:space="preserve">Įranga privalo atitikti reikalavimus pagal 2022 m. kovo 30 d. Lietuvos </w:t>
            </w:r>
            <w:r>
              <w:rPr>
                <w:szCs w:val="20"/>
              </w:rPr>
              <w:t>R</w:t>
            </w:r>
            <w:r w:rsidRPr="007608A8">
              <w:rPr>
                <w:szCs w:val="20"/>
              </w:rPr>
              <w:t xml:space="preserve">espublikos </w:t>
            </w:r>
            <w:r>
              <w:rPr>
                <w:szCs w:val="20"/>
              </w:rPr>
              <w:t>V</w:t>
            </w:r>
            <w:r w:rsidRPr="007608A8">
              <w:rPr>
                <w:szCs w:val="20"/>
              </w:rPr>
              <w:t>yriausybės nutarimą Nr. 280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>„Dėl Lietuvos Respublikos viešųjų pirkimų įstatymo 92 straipsnio 13, 14 ir 15 dalių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 xml:space="preserve">nuostatų įgyvendinimo“ </w:t>
            </w:r>
            <w:r w:rsidRPr="00795A93">
              <w:rPr>
                <w:i/>
                <w:szCs w:val="20"/>
              </w:rPr>
              <w:t>(aktuali redakcija)</w:t>
            </w:r>
            <w:r w:rsidRPr="007608A8">
              <w:rPr>
                <w:szCs w:val="20"/>
              </w:rPr>
              <w:t>.</w:t>
            </w:r>
          </w:p>
          <w:p w14:paraId="78D373E3" w14:textId="77777777" w:rsidR="000D6292" w:rsidRDefault="000D6292" w:rsidP="000D6292">
            <w:pPr>
              <w:rPr>
                <w:bCs/>
              </w:rPr>
            </w:pP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įrodantys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dokumentai</w:t>
            </w:r>
            <w:proofErr w:type="spellEnd"/>
            <w:r w:rsidRPr="00FA38D1">
              <w:rPr>
                <w:lang w:val="en-US"/>
              </w:rPr>
              <w:t xml:space="preserve"> - </w:t>
            </w:r>
            <w:proofErr w:type="spellStart"/>
            <w:r w:rsidRPr="00FA38D1">
              <w:rPr>
                <w:lang w:val="en-US"/>
              </w:rPr>
              <w:t>perkančioji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organizacija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pasilieka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teisę</w:t>
            </w:r>
            <w:proofErr w:type="spellEnd"/>
            <w:r w:rsidRPr="00FA38D1">
              <w:rPr>
                <w:lang w:val="en-US"/>
              </w:rPr>
              <w:t xml:space="preserve"> bet </w:t>
            </w:r>
            <w:proofErr w:type="spellStart"/>
            <w:r w:rsidRPr="00FA38D1">
              <w:rPr>
                <w:lang w:val="en-US"/>
              </w:rPr>
              <w:t>kuriuo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metu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prašyti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pateikti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lastRenderedPageBreak/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nacionalinio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saugumo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patvirtinančių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dokumentų</w:t>
            </w:r>
            <w:proofErr w:type="spellEnd"/>
            <w:r w:rsidRPr="00FA38D1">
              <w:rPr>
                <w:lang w:val="en-US"/>
              </w:rPr>
              <w:t>.</w:t>
            </w:r>
          </w:p>
          <w:p w14:paraId="43563D7E" w14:textId="6311C2E6" w:rsidR="000D6292" w:rsidRPr="006E5C73" w:rsidRDefault="000D6292" w:rsidP="000D629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Įranga privalo turėti šiuos sertifikatus – WEEE, </w:t>
            </w:r>
            <w:proofErr w:type="spellStart"/>
            <w:r>
              <w:rPr>
                <w:color w:val="000000" w:themeColor="text1"/>
              </w:rPr>
              <w:t>RoHS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REACh</w:t>
            </w:r>
            <w:proofErr w:type="spellEnd"/>
            <w:r>
              <w:rPr>
                <w:color w:val="000000" w:themeColor="text1"/>
              </w:rPr>
              <w:t xml:space="preserve">, PEP, </w:t>
            </w:r>
            <w:proofErr w:type="spellStart"/>
            <w:r>
              <w:rPr>
                <w:color w:val="000000" w:themeColor="text1"/>
              </w:rPr>
              <w:t>EnergyStar</w:t>
            </w:r>
            <w:proofErr w:type="spellEnd"/>
            <w:r>
              <w:rPr>
                <w:color w:val="000000" w:themeColor="text1"/>
              </w:rPr>
              <w:t xml:space="preserve"> arba lygiavertis, VDE arba lygiavertis.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F2EC" w14:textId="77777777" w:rsidR="000D6292" w:rsidRPr="006E5C73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3402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0D6292" w14:paraId="07B90AA6" w14:textId="77777777" w:rsidTr="00B15D0F">
        <w:trPr>
          <w:trHeight w:val="1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3165" w14:textId="77777777" w:rsidR="000D6292" w:rsidRDefault="000D6292" w:rsidP="000D62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CD5B" w14:textId="77777777" w:rsidR="000D6292" w:rsidRPr="00D2090C" w:rsidRDefault="000D6292" w:rsidP="000D6292">
            <w:pPr>
              <w:jc w:val="center"/>
              <w:rPr>
                <w:color w:val="000000" w:themeColor="text1"/>
              </w:rPr>
            </w:pPr>
            <w:r w:rsidRPr="00D2090C">
              <w:rPr>
                <w:color w:val="000000" w:themeColor="text1"/>
              </w:rPr>
              <w:t>Nepertraukiamo maitinimo šaltinis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0FAC" w14:textId="66CEAD65" w:rsidR="000D6292" w:rsidRDefault="000D6292" w:rsidP="000D6292">
            <w:pPr>
              <w:autoSpaceDE w:val="0"/>
              <w:autoSpaceDN w:val="0"/>
              <w:adjustRightInd w:val="0"/>
            </w:pPr>
            <w:r w:rsidRPr="003801D8">
              <w:t>Nepertraukiamo maitinimo šaltinis skirtas į 19" spintą. Dydis - 1U. Tipas - Line-</w:t>
            </w:r>
            <w:proofErr w:type="spellStart"/>
            <w:r w:rsidRPr="003801D8">
              <w:t>Interactive</w:t>
            </w:r>
            <w:proofErr w:type="spellEnd"/>
            <w:r w:rsidRPr="003801D8">
              <w:t>. G</w:t>
            </w:r>
            <w:r>
              <w:t xml:space="preserve">alingumas ne mažiau kaip </w:t>
            </w:r>
            <w:r w:rsidRPr="003801D8">
              <w:t xml:space="preserve">900W. </w:t>
            </w:r>
            <w:r>
              <w:t>Galios faktorius ne mažiau kaip 0,</w:t>
            </w:r>
            <w:r w:rsidR="0052374D">
              <w:t>6.</w:t>
            </w:r>
            <w:r>
              <w:t xml:space="preserve"> </w:t>
            </w:r>
            <w:r w:rsidRPr="003801D8">
              <w:t xml:space="preserve">Skystų kristalų LCD. </w:t>
            </w:r>
            <w:r w:rsidRPr="00262932">
              <w:t xml:space="preserve">Talpa </w:t>
            </w:r>
            <w:r w:rsidR="0052374D">
              <w:t xml:space="preserve">nemažiau </w:t>
            </w:r>
            <w:r w:rsidRPr="00262932">
              <w:t xml:space="preserve">- </w:t>
            </w:r>
            <w:r>
              <w:t>4</w:t>
            </w:r>
            <w:r w:rsidRPr="00262932">
              <w:t xml:space="preserve"> x 6V 9Ah</w:t>
            </w:r>
            <w:r>
              <w:t xml:space="preserve"> </w:t>
            </w:r>
            <w:r w:rsidRPr="00262932">
              <w:t>akumuliatoriai.</w:t>
            </w:r>
            <w:r w:rsidRPr="003801D8">
              <w:t xml:space="preserve"> Svoris - ne daugiau kaip </w:t>
            </w:r>
            <w:r>
              <w:t>20</w:t>
            </w:r>
            <w:r w:rsidRPr="003801D8">
              <w:t xml:space="preserve"> kg. Išėjimo jungtys - ne mažiau kaip 4 vnt</w:t>
            </w:r>
            <w:r>
              <w:t>.</w:t>
            </w:r>
            <w:r w:rsidRPr="003801D8">
              <w:t xml:space="preserve"> IEC-320 C13. Maitinimas - 230V 50-60Hz.</w:t>
            </w:r>
            <w:r>
              <w:t xml:space="preserve"> </w:t>
            </w:r>
            <w:r w:rsidRPr="00D46246">
              <w:t xml:space="preserve">Reguliuojamo ilgio </w:t>
            </w:r>
            <w:r>
              <w:t xml:space="preserve">1U </w:t>
            </w:r>
            <w:r w:rsidRPr="00D46246">
              <w:t>bėgeliai nepertraukiamo maitinimo šaltiniui</w:t>
            </w:r>
            <w:r>
              <w:t xml:space="preserve"> (ne mažiau kaip 800 mm.), m</w:t>
            </w:r>
            <w:r w:rsidRPr="00D46246">
              <w:t>edžiaga - metalas</w:t>
            </w:r>
            <w:r>
              <w:t>.</w:t>
            </w:r>
          </w:p>
          <w:p w14:paraId="6940F9FF" w14:textId="77777777" w:rsidR="000D6292" w:rsidRDefault="000D6292" w:rsidP="000D6292">
            <w:pPr>
              <w:autoSpaceDE w:val="0"/>
              <w:autoSpaceDN w:val="0"/>
              <w:adjustRightInd w:val="0"/>
            </w:pPr>
            <w:r>
              <w:t>Garantija ne trumpiau kaip 24 mėn.</w:t>
            </w:r>
          </w:p>
          <w:p w14:paraId="7CC39488" w14:textId="77777777" w:rsidR="000D6292" w:rsidRDefault="000D6292" w:rsidP="000D6292">
            <w:pPr>
              <w:tabs>
                <w:tab w:val="left" w:pos="1080"/>
              </w:tabs>
              <w:rPr>
                <w:szCs w:val="20"/>
              </w:rPr>
            </w:pPr>
            <w:r w:rsidRPr="006E5C73">
              <w:rPr>
                <w:bCs/>
              </w:rPr>
              <w:t xml:space="preserve">Visa pateikiama įranga turi būti nauja ir nenaudota </w:t>
            </w:r>
            <w:r w:rsidRPr="006E5C73">
              <w:t>(negali b</w:t>
            </w:r>
            <w:r w:rsidRPr="006E5C73">
              <w:rPr>
                <w:rFonts w:ascii="TimesNewRoman" w:hAnsi="TimesNewRoman"/>
              </w:rPr>
              <w:t>ū</w:t>
            </w:r>
            <w:r w:rsidRPr="006E5C73">
              <w:t xml:space="preserve">ti atnaujinta, restauruota, angl. </w:t>
            </w:r>
            <w:proofErr w:type="spellStart"/>
            <w:r w:rsidRPr="006E5C73">
              <w:rPr>
                <w:i/>
                <w:iCs/>
              </w:rPr>
              <w:t>refurbished</w:t>
            </w:r>
            <w:proofErr w:type="spellEnd"/>
            <w:r w:rsidRPr="006E5C73">
              <w:t>), nepažeistose gamintojo pakuotėse</w:t>
            </w:r>
            <w:r w:rsidRPr="006E5C7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7608A8">
              <w:rPr>
                <w:rFonts w:eastAsiaTheme="minorHAnsi"/>
              </w:rPr>
              <w:t>Pirkimo objektas (įranga, priemonės)</w:t>
            </w:r>
            <w:r w:rsidRPr="007608A8">
              <w:rPr>
                <w:rFonts w:ascii="TimesNewRomanPSMT" w:eastAsiaTheme="minorHAnsi" w:hAnsi="TimesNewRomanPSMT" w:cs="TimesNewRomanPSMT"/>
              </w:rPr>
              <w:t xml:space="preserve"> turi nekelti grėsmės nacionaliniam saugumui. </w:t>
            </w:r>
            <w:r w:rsidRPr="007608A8">
              <w:rPr>
                <w:szCs w:val="20"/>
              </w:rPr>
              <w:t xml:space="preserve">Įranga privalo atitikti reikalavimus pagal 2022 m. kovo 30 d. Lietuvos </w:t>
            </w:r>
            <w:r>
              <w:rPr>
                <w:szCs w:val="20"/>
              </w:rPr>
              <w:t>R</w:t>
            </w:r>
            <w:r w:rsidRPr="007608A8">
              <w:rPr>
                <w:szCs w:val="20"/>
              </w:rPr>
              <w:t xml:space="preserve">espublikos </w:t>
            </w:r>
            <w:r>
              <w:rPr>
                <w:szCs w:val="20"/>
              </w:rPr>
              <w:t>V</w:t>
            </w:r>
            <w:r w:rsidRPr="007608A8">
              <w:rPr>
                <w:szCs w:val="20"/>
              </w:rPr>
              <w:t>yriausybės nutarimą Nr. 280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>„Dėl Lietuvos Respublikos viešųjų pirkimų įstatymo 92 straipsnio 13, 14 ir 15 dalių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 xml:space="preserve">nuostatų įgyvendinimo“ </w:t>
            </w:r>
            <w:r w:rsidRPr="00795A93">
              <w:rPr>
                <w:i/>
                <w:szCs w:val="20"/>
              </w:rPr>
              <w:t>(aktuali redakcija)</w:t>
            </w:r>
            <w:r w:rsidRPr="007608A8">
              <w:rPr>
                <w:szCs w:val="20"/>
              </w:rPr>
              <w:t>.</w:t>
            </w:r>
          </w:p>
          <w:p w14:paraId="71C4BC23" w14:textId="762630FF" w:rsidR="000D6292" w:rsidRPr="003801D8" w:rsidRDefault="000D6292" w:rsidP="000D6292">
            <w:pPr>
              <w:rPr>
                <w:bCs/>
              </w:rPr>
            </w:pP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įrodantys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dokumentai</w:t>
            </w:r>
            <w:proofErr w:type="spellEnd"/>
            <w:r w:rsidRPr="00FA38D1">
              <w:rPr>
                <w:lang w:val="en-US"/>
              </w:rPr>
              <w:t xml:space="preserve"> - </w:t>
            </w:r>
            <w:proofErr w:type="spellStart"/>
            <w:r w:rsidRPr="00FA38D1">
              <w:rPr>
                <w:lang w:val="en-US"/>
              </w:rPr>
              <w:t>perkančioji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organizacija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pasilieka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teisę</w:t>
            </w:r>
            <w:proofErr w:type="spellEnd"/>
            <w:r w:rsidRPr="00FA38D1">
              <w:rPr>
                <w:lang w:val="en-US"/>
              </w:rPr>
              <w:t xml:space="preserve"> bet </w:t>
            </w:r>
            <w:proofErr w:type="spellStart"/>
            <w:r w:rsidRPr="00FA38D1">
              <w:rPr>
                <w:lang w:val="en-US"/>
              </w:rPr>
              <w:t>kuriuo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metu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prašyti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pateikti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nacionalinio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saugumo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patvirtinančių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dokumentų</w:t>
            </w:r>
            <w:proofErr w:type="spellEnd"/>
            <w:r w:rsidRPr="00FA38D1">
              <w:rPr>
                <w:lang w:val="en-US"/>
              </w:rPr>
              <w:t>.</w:t>
            </w:r>
            <w:r>
              <w:rPr>
                <w:color w:val="000000" w:themeColor="text1"/>
              </w:rPr>
              <w:t xml:space="preserve"> Įranga privalo turėti šiuos sertifikatus – WEEE, </w:t>
            </w:r>
            <w:proofErr w:type="spellStart"/>
            <w:r>
              <w:rPr>
                <w:color w:val="000000" w:themeColor="text1"/>
              </w:rPr>
              <w:t>RoHS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REACh</w:t>
            </w:r>
            <w:proofErr w:type="spellEnd"/>
            <w:r>
              <w:rPr>
                <w:color w:val="000000" w:themeColor="text1"/>
              </w:rPr>
              <w:t xml:space="preserve">, PEP, </w:t>
            </w:r>
            <w:proofErr w:type="spellStart"/>
            <w:r>
              <w:rPr>
                <w:color w:val="000000" w:themeColor="text1"/>
              </w:rPr>
              <w:t>EnergyStar</w:t>
            </w:r>
            <w:proofErr w:type="spellEnd"/>
            <w:r>
              <w:rPr>
                <w:color w:val="000000" w:themeColor="text1"/>
              </w:rPr>
              <w:t xml:space="preserve"> arba lygiavertis, VDE arba lygiavertis.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7E68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20A3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0D6292" w14:paraId="411A1872" w14:textId="77777777" w:rsidTr="00B15D0F">
        <w:trPr>
          <w:trHeight w:val="1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387A" w14:textId="77777777" w:rsidR="000D6292" w:rsidRDefault="000D6292" w:rsidP="000D62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86AC" w14:textId="77777777" w:rsidR="000D6292" w:rsidRPr="00D2090C" w:rsidRDefault="000D6292" w:rsidP="000D6292">
            <w:pPr>
              <w:jc w:val="center"/>
              <w:rPr>
                <w:color w:val="000000" w:themeColor="text1"/>
              </w:rPr>
            </w:pPr>
            <w:r w:rsidRPr="00D2090C">
              <w:rPr>
                <w:color w:val="000000" w:themeColor="text1"/>
              </w:rPr>
              <w:t>Nepertraukiamo maitinimo šaltinis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FFAF" w14:textId="77777777" w:rsidR="000D6292" w:rsidRDefault="000D6292" w:rsidP="000D6292">
            <w:pPr>
              <w:autoSpaceDE w:val="0"/>
              <w:autoSpaceDN w:val="0"/>
              <w:adjustRightInd w:val="0"/>
            </w:pPr>
            <w:r w:rsidRPr="003801D8">
              <w:t>Nepertraukiamo maitinimo šaltinis skirtas į 19" spintą. Dydis - 2U. Tipas - Online. Gal</w:t>
            </w:r>
            <w:r>
              <w:t xml:space="preserve">ingumas - ne mažiau kaip </w:t>
            </w:r>
            <w:r w:rsidRPr="003801D8">
              <w:t xml:space="preserve">1800W. </w:t>
            </w:r>
            <w:r>
              <w:t xml:space="preserve">Galios faktorius ne mažiau kaip 0,9. </w:t>
            </w:r>
            <w:r w:rsidRPr="003801D8">
              <w:t xml:space="preserve">Skystų kristalų LCD. Apsaugos nuo perkrovos, aukštos-žemos baterijų įtampos. Turi garsinius signalus apie baterijos rėžimus. Talpa - 4 x 12V 9Ah </w:t>
            </w:r>
            <w:r>
              <w:t xml:space="preserve">arba 6 x 12V 7Ah </w:t>
            </w:r>
            <w:r w:rsidRPr="003801D8">
              <w:t>akumuliatoriai. Svoris - ne daugiau kaip 3</w:t>
            </w:r>
            <w:r>
              <w:t>4</w:t>
            </w:r>
            <w:r w:rsidRPr="003801D8">
              <w:t xml:space="preserve"> kg. Išėjimo jungtys - ne mažiau kaip 8 vnt</w:t>
            </w:r>
            <w:r>
              <w:t>.</w:t>
            </w:r>
            <w:r w:rsidRPr="003801D8">
              <w:t xml:space="preserve"> IEC-320 C13. Maitinimas - 230V 50-60Hz.</w:t>
            </w:r>
            <w:r>
              <w:t xml:space="preserve"> </w:t>
            </w:r>
            <w:r w:rsidRPr="00D46246">
              <w:t xml:space="preserve">Reguliuojamo ilgio </w:t>
            </w:r>
            <w:r>
              <w:t xml:space="preserve">1U arba 2U </w:t>
            </w:r>
            <w:r w:rsidRPr="00D46246">
              <w:t>bėgeliai nepertraukiamo maitinimo šaltiniui</w:t>
            </w:r>
            <w:r>
              <w:t xml:space="preserve"> (ne mažiau kaip 800 mm.), m</w:t>
            </w:r>
            <w:r w:rsidRPr="00D46246">
              <w:t>edžiaga - metalas.</w:t>
            </w:r>
          </w:p>
          <w:p w14:paraId="257AC03B" w14:textId="77777777" w:rsidR="000D6292" w:rsidRDefault="000D6292" w:rsidP="000D6292">
            <w:pPr>
              <w:autoSpaceDE w:val="0"/>
              <w:autoSpaceDN w:val="0"/>
              <w:adjustRightInd w:val="0"/>
            </w:pPr>
            <w:r>
              <w:t>Turi turėti galimybę pajungti praplėtimo bloką, kurio talpa 8x 12V 9Ah arba 12 x 12V 7Ah akumuliatoriai.</w:t>
            </w:r>
          </w:p>
          <w:p w14:paraId="712D613C" w14:textId="77777777" w:rsidR="000D6292" w:rsidRDefault="000D6292" w:rsidP="000D6292">
            <w:pPr>
              <w:autoSpaceDE w:val="0"/>
              <w:autoSpaceDN w:val="0"/>
              <w:adjustRightInd w:val="0"/>
            </w:pPr>
            <w:r>
              <w:t>Garantija ne trumpiau kaip 24 mėn.</w:t>
            </w:r>
          </w:p>
          <w:p w14:paraId="74F837C6" w14:textId="77777777" w:rsidR="000D6292" w:rsidRDefault="000D6292" w:rsidP="000D6292">
            <w:pPr>
              <w:tabs>
                <w:tab w:val="left" w:pos="1080"/>
              </w:tabs>
              <w:rPr>
                <w:lang w:val="en-US"/>
              </w:rPr>
            </w:pPr>
            <w:r w:rsidRPr="006E5C73">
              <w:rPr>
                <w:bCs/>
              </w:rPr>
              <w:t xml:space="preserve">Visa pateikiama įranga turi būti nauja ir nenaudota </w:t>
            </w:r>
            <w:r w:rsidRPr="006E5C73">
              <w:t>(negali b</w:t>
            </w:r>
            <w:r w:rsidRPr="006E5C73">
              <w:rPr>
                <w:rFonts w:ascii="TimesNewRoman" w:hAnsi="TimesNewRoman"/>
              </w:rPr>
              <w:t>ū</w:t>
            </w:r>
            <w:r w:rsidRPr="006E5C73">
              <w:t xml:space="preserve">ti atnaujinta, restauruota, angl. </w:t>
            </w:r>
            <w:proofErr w:type="spellStart"/>
            <w:r w:rsidRPr="006E5C73">
              <w:rPr>
                <w:i/>
                <w:iCs/>
              </w:rPr>
              <w:t>refurbished</w:t>
            </w:r>
            <w:proofErr w:type="spellEnd"/>
            <w:r w:rsidRPr="006E5C73">
              <w:t>), nepažeistose gamintojo pakuotėse</w:t>
            </w:r>
            <w:r w:rsidRPr="006E5C7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7608A8">
              <w:rPr>
                <w:rFonts w:eastAsiaTheme="minorHAnsi"/>
              </w:rPr>
              <w:t>Pirkimo objektas (įranga, priemonės)</w:t>
            </w:r>
            <w:r w:rsidRPr="007608A8">
              <w:rPr>
                <w:rFonts w:ascii="TimesNewRomanPSMT" w:eastAsiaTheme="minorHAnsi" w:hAnsi="TimesNewRomanPSMT" w:cs="TimesNewRomanPSMT"/>
              </w:rPr>
              <w:t xml:space="preserve"> turi nekelti grėsmės nacionaliniam saugumui. </w:t>
            </w:r>
            <w:r w:rsidRPr="007608A8">
              <w:rPr>
                <w:szCs w:val="20"/>
              </w:rPr>
              <w:t xml:space="preserve">Įranga privalo atitikti reikalavimus pagal 2022 m. kovo 30 d. Lietuvos </w:t>
            </w:r>
            <w:r>
              <w:rPr>
                <w:szCs w:val="20"/>
              </w:rPr>
              <w:t>R</w:t>
            </w:r>
            <w:r w:rsidRPr="007608A8">
              <w:rPr>
                <w:szCs w:val="20"/>
              </w:rPr>
              <w:t xml:space="preserve">espublikos </w:t>
            </w:r>
            <w:r>
              <w:rPr>
                <w:szCs w:val="20"/>
              </w:rPr>
              <w:t>V</w:t>
            </w:r>
            <w:r w:rsidRPr="007608A8">
              <w:rPr>
                <w:szCs w:val="20"/>
              </w:rPr>
              <w:t>yriausybės nutarimą Nr. 280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>„Dėl Lietuvos Respublikos viešųjų pirkimų įstatymo 92 straipsnio 13, 14 ir 15 dalių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 xml:space="preserve">nuostatų įgyvendinimo“ </w:t>
            </w:r>
            <w:r w:rsidRPr="00795A93">
              <w:rPr>
                <w:i/>
                <w:szCs w:val="20"/>
              </w:rPr>
              <w:t>(aktuali redakcija)</w:t>
            </w:r>
            <w:r w:rsidRPr="007608A8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įrodantys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dokumentai</w:t>
            </w:r>
            <w:proofErr w:type="spellEnd"/>
            <w:r w:rsidRPr="00FA38D1">
              <w:rPr>
                <w:lang w:val="en-US"/>
              </w:rPr>
              <w:t xml:space="preserve"> - </w:t>
            </w:r>
            <w:proofErr w:type="spellStart"/>
            <w:r w:rsidRPr="00FA38D1">
              <w:rPr>
                <w:lang w:val="en-US"/>
              </w:rPr>
              <w:t>perkančioji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organizacija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pasilieka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teisę</w:t>
            </w:r>
            <w:proofErr w:type="spellEnd"/>
            <w:r w:rsidRPr="00FA38D1">
              <w:rPr>
                <w:lang w:val="en-US"/>
              </w:rPr>
              <w:t xml:space="preserve"> bet </w:t>
            </w:r>
            <w:proofErr w:type="spellStart"/>
            <w:r w:rsidRPr="00FA38D1">
              <w:rPr>
                <w:lang w:val="en-US"/>
              </w:rPr>
              <w:t>kuriuo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metu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prašyti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pateikti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nacionalinio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saugumo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patvirtinančių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dokumentų</w:t>
            </w:r>
            <w:proofErr w:type="spellEnd"/>
            <w:r w:rsidRPr="00FA38D1">
              <w:rPr>
                <w:lang w:val="en-US"/>
              </w:rPr>
              <w:t>.</w:t>
            </w:r>
          </w:p>
          <w:p w14:paraId="0CA7CE57" w14:textId="7180A63B" w:rsidR="000D6292" w:rsidRDefault="000D6292" w:rsidP="000D6292">
            <w:pPr>
              <w:tabs>
                <w:tab w:val="left" w:pos="1080"/>
              </w:tabs>
            </w:pPr>
            <w:r>
              <w:rPr>
                <w:color w:val="000000" w:themeColor="text1"/>
              </w:rPr>
              <w:lastRenderedPageBreak/>
              <w:t xml:space="preserve">Įranga privalo turėti šiuos sertifikatus – WEEE, </w:t>
            </w:r>
            <w:proofErr w:type="spellStart"/>
            <w:r>
              <w:rPr>
                <w:color w:val="000000" w:themeColor="text1"/>
              </w:rPr>
              <w:t>RoHS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REACh</w:t>
            </w:r>
            <w:proofErr w:type="spellEnd"/>
            <w:r>
              <w:rPr>
                <w:color w:val="000000" w:themeColor="text1"/>
              </w:rPr>
              <w:t xml:space="preserve">, PEP, </w:t>
            </w:r>
            <w:proofErr w:type="spellStart"/>
            <w:r>
              <w:rPr>
                <w:color w:val="000000" w:themeColor="text1"/>
              </w:rPr>
              <w:t>EnergyStar</w:t>
            </w:r>
            <w:proofErr w:type="spellEnd"/>
            <w:r>
              <w:rPr>
                <w:color w:val="000000" w:themeColor="text1"/>
              </w:rPr>
              <w:t xml:space="preserve"> arba lygiavertis, VDE arba lygiavertis.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A00C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7ED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0D6292" w14:paraId="3582B383" w14:textId="77777777" w:rsidTr="00B15D0F">
        <w:trPr>
          <w:trHeight w:val="1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B617" w14:textId="77777777" w:rsidR="000D6292" w:rsidRDefault="000D6292" w:rsidP="000D62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0AE" w14:textId="77777777" w:rsidR="000D6292" w:rsidRPr="00D2090C" w:rsidRDefault="000D6292" w:rsidP="000D62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Nepertraukiamo maitinimo šaltinio praplėtimo blokas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C9D4" w14:textId="77777777" w:rsidR="000D6292" w:rsidRDefault="000D6292" w:rsidP="000D6292">
            <w:pPr>
              <w:autoSpaceDE w:val="0"/>
              <w:autoSpaceDN w:val="0"/>
              <w:adjustRightInd w:val="0"/>
            </w:pPr>
            <w:r w:rsidRPr="00D46246">
              <w:t xml:space="preserve">Nepertraukiamo maitinimo šaltinio praplėtimo blokas skirtas į 19" spintą. Dydis - 2U. Talpa - 8 x 12V 9Ah </w:t>
            </w:r>
            <w:r>
              <w:t xml:space="preserve">arba 12 x 12V 7Ah </w:t>
            </w:r>
            <w:r w:rsidRPr="00D46246">
              <w:t>akumuliatoriai. Svoris - ne daugiau kaip 3</w:t>
            </w:r>
            <w:r>
              <w:t>5</w:t>
            </w:r>
            <w:r w:rsidRPr="00D46246">
              <w:t xml:space="preserve"> kg. Turi sujungimo kabelius su nepertraukiamo maitinimo šaltiniu.</w:t>
            </w:r>
            <w:r>
              <w:t xml:space="preserve"> </w:t>
            </w:r>
            <w:r w:rsidRPr="00D46246">
              <w:t xml:space="preserve">Reguliuojamo ilgio </w:t>
            </w:r>
            <w:r>
              <w:t xml:space="preserve">1U arba 2U </w:t>
            </w:r>
            <w:r w:rsidRPr="00D46246">
              <w:t>bėgeliai nepertraukiamo maitinimo šaltiniui</w:t>
            </w:r>
            <w:r>
              <w:t xml:space="preserve"> (ne mažiau kaip 800 mm.), m</w:t>
            </w:r>
            <w:r w:rsidRPr="00D46246">
              <w:t>edžiaga - metalas.</w:t>
            </w:r>
            <w:r>
              <w:t xml:space="preserve"> Garantija ne trumpiau kaip 24 mėn.</w:t>
            </w:r>
          </w:p>
          <w:p w14:paraId="2FFE96AB" w14:textId="77777777" w:rsidR="000D6292" w:rsidRDefault="000D6292" w:rsidP="000D6292">
            <w:pPr>
              <w:tabs>
                <w:tab w:val="left" w:pos="1080"/>
              </w:tabs>
              <w:rPr>
                <w:lang w:val="en-US"/>
              </w:rPr>
            </w:pPr>
            <w:r w:rsidRPr="006E5C73">
              <w:rPr>
                <w:bCs/>
              </w:rPr>
              <w:t xml:space="preserve">Visa pateikiama įranga turi būti nauja ir nenaudota </w:t>
            </w:r>
            <w:r w:rsidRPr="006E5C73">
              <w:t>(negali b</w:t>
            </w:r>
            <w:r w:rsidRPr="006E5C73">
              <w:rPr>
                <w:rFonts w:ascii="TimesNewRoman" w:hAnsi="TimesNewRoman"/>
              </w:rPr>
              <w:t>ū</w:t>
            </w:r>
            <w:r w:rsidRPr="006E5C73">
              <w:t xml:space="preserve">ti atnaujinta, restauruota, angl. </w:t>
            </w:r>
            <w:proofErr w:type="spellStart"/>
            <w:r w:rsidRPr="006E5C73">
              <w:rPr>
                <w:i/>
                <w:iCs/>
              </w:rPr>
              <w:t>refurbished</w:t>
            </w:r>
            <w:proofErr w:type="spellEnd"/>
            <w:r w:rsidRPr="006E5C73">
              <w:t>), nepažeistose gamintojo pakuotėse</w:t>
            </w:r>
            <w:r w:rsidRPr="006E5C7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7608A8">
              <w:rPr>
                <w:rFonts w:eastAsiaTheme="minorHAnsi"/>
              </w:rPr>
              <w:t>Pirkimo objektas (įranga, priemonės)</w:t>
            </w:r>
            <w:r w:rsidRPr="007608A8">
              <w:rPr>
                <w:rFonts w:ascii="TimesNewRomanPSMT" w:eastAsiaTheme="minorHAnsi" w:hAnsi="TimesNewRomanPSMT" w:cs="TimesNewRomanPSMT"/>
              </w:rPr>
              <w:t xml:space="preserve"> turi nekelti grėsmės nacionaliniam saugumui. </w:t>
            </w:r>
            <w:r w:rsidRPr="007608A8">
              <w:rPr>
                <w:szCs w:val="20"/>
              </w:rPr>
              <w:t xml:space="preserve">Įranga privalo atitikti reikalavimus pagal 2022 m. kovo 30 d. Lietuvos </w:t>
            </w:r>
            <w:r>
              <w:rPr>
                <w:szCs w:val="20"/>
              </w:rPr>
              <w:t>R</w:t>
            </w:r>
            <w:r w:rsidRPr="007608A8">
              <w:rPr>
                <w:szCs w:val="20"/>
              </w:rPr>
              <w:t xml:space="preserve">espublikos </w:t>
            </w:r>
            <w:r>
              <w:rPr>
                <w:szCs w:val="20"/>
              </w:rPr>
              <w:t>V</w:t>
            </w:r>
            <w:r w:rsidRPr="007608A8">
              <w:rPr>
                <w:szCs w:val="20"/>
              </w:rPr>
              <w:t>yriausybės nutarimą Nr. 280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>„Dėl Lietuvos Respublikos viešųjų pirkimų įstatymo 92 straipsnio 13, 14 ir 15 dalių</w:t>
            </w:r>
            <w:r>
              <w:rPr>
                <w:szCs w:val="20"/>
              </w:rPr>
              <w:t xml:space="preserve"> </w:t>
            </w:r>
            <w:r w:rsidRPr="007608A8">
              <w:rPr>
                <w:szCs w:val="20"/>
              </w:rPr>
              <w:t xml:space="preserve">nuostatų įgyvendinimo“ </w:t>
            </w:r>
            <w:r w:rsidRPr="00795A93">
              <w:rPr>
                <w:i/>
                <w:szCs w:val="20"/>
              </w:rPr>
              <w:t>(aktuali redakcija)</w:t>
            </w:r>
            <w:r w:rsidRPr="007608A8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įrodantys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dokumentai</w:t>
            </w:r>
            <w:proofErr w:type="spellEnd"/>
            <w:r w:rsidRPr="00FA38D1">
              <w:rPr>
                <w:lang w:val="en-US"/>
              </w:rPr>
              <w:t xml:space="preserve"> - </w:t>
            </w:r>
            <w:proofErr w:type="spellStart"/>
            <w:r w:rsidRPr="00FA38D1">
              <w:rPr>
                <w:lang w:val="en-US"/>
              </w:rPr>
              <w:t>perkančioji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organizacija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pasilieka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teisę</w:t>
            </w:r>
            <w:proofErr w:type="spellEnd"/>
            <w:r w:rsidRPr="00FA38D1">
              <w:rPr>
                <w:lang w:val="en-US"/>
              </w:rPr>
              <w:t xml:space="preserve"> bet </w:t>
            </w:r>
            <w:proofErr w:type="spellStart"/>
            <w:r w:rsidRPr="00FA38D1">
              <w:rPr>
                <w:lang w:val="en-US"/>
              </w:rPr>
              <w:t>kuriuo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metu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prašyti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pateikti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atitiktį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nacionalinio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saugumo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reikalavimams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patvirtinančių</w:t>
            </w:r>
            <w:proofErr w:type="spellEnd"/>
            <w:r w:rsidRPr="00FA38D1">
              <w:rPr>
                <w:lang w:val="en-US"/>
              </w:rPr>
              <w:t xml:space="preserve"> </w:t>
            </w:r>
            <w:proofErr w:type="spellStart"/>
            <w:r w:rsidRPr="00FA38D1">
              <w:rPr>
                <w:lang w:val="en-US"/>
              </w:rPr>
              <w:t>dokumentų</w:t>
            </w:r>
            <w:proofErr w:type="spellEnd"/>
            <w:r w:rsidRPr="00FA38D1">
              <w:rPr>
                <w:lang w:val="en-US"/>
              </w:rPr>
              <w:t>.</w:t>
            </w:r>
          </w:p>
          <w:p w14:paraId="4ED694D3" w14:textId="54E6F0FE" w:rsidR="000D6292" w:rsidRPr="003801D8" w:rsidRDefault="000D6292" w:rsidP="000D6292">
            <w:pPr>
              <w:tabs>
                <w:tab w:val="left" w:pos="1080"/>
              </w:tabs>
            </w:pPr>
            <w:r>
              <w:rPr>
                <w:color w:val="000000" w:themeColor="text1"/>
              </w:rPr>
              <w:t xml:space="preserve">Įranga privalo turėti šiuos sertifikatus – WEEE, </w:t>
            </w:r>
            <w:proofErr w:type="spellStart"/>
            <w:r>
              <w:rPr>
                <w:color w:val="000000" w:themeColor="text1"/>
              </w:rPr>
              <w:t>RoHS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REACh</w:t>
            </w:r>
            <w:proofErr w:type="spellEnd"/>
            <w:r>
              <w:rPr>
                <w:color w:val="000000" w:themeColor="text1"/>
              </w:rPr>
              <w:t xml:space="preserve">, PEP, </w:t>
            </w:r>
            <w:proofErr w:type="spellStart"/>
            <w:r>
              <w:rPr>
                <w:color w:val="000000" w:themeColor="text1"/>
              </w:rPr>
              <w:t>EnergyStar</w:t>
            </w:r>
            <w:proofErr w:type="spellEnd"/>
            <w:r>
              <w:rPr>
                <w:color w:val="000000" w:themeColor="text1"/>
              </w:rPr>
              <w:t xml:space="preserve"> arba lygiavertis, VDE arba lygiavertis.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47A9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CC2D" w14:textId="77777777" w:rsidR="000D6292" w:rsidRDefault="000D6292" w:rsidP="000D62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142E50A4" w14:textId="77777777" w:rsidR="00C6487A" w:rsidRDefault="00C6487A" w:rsidP="00C6487A">
      <w:pPr>
        <w:rPr>
          <w:u w:val="single"/>
        </w:rPr>
      </w:pPr>
    </w:p>
    <w:p w14:paraId="4FD85C60" w14:textId="77777777" w:rsidR="00C6487A" w:rsidRDefault="00C6487A" w:rsidP="00C6487A">
      <w:pPr>
        <w:rPr>
          <w:u w:val="single"/>
        </w:rPr>
      </w:pPr>
    </w:p>
    <w:p w14:paraId="3438F5F8" w14:textId="6F44EA2A" w:rsidR="003C66A2" w:rsidRPr="00C6487A" w:rsidRDefault="003C66A2" w:rsidP="00AB5EA7">
      <w:pPr>
        <w:tabs>
          <w:tab w:val="left" w:pos="13098"/>
          <w:tab w:val="right" w:pos="15562"/>
        </w:tabs>
      </w:pPr>
    </w:p>
    <w:sectPr w:rsidR="003C66A2" w:rsidRPr="00C6487A" w:rsidSect="00B15D0F">
      <w:headerReference w:type="default" r:id="rId9"/>
      <w:pgSz w:w="11906" w:h="16838"/>
      <w:pgMar w:top="1134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6277" w14:textId="77777777" w:rsidR="006B4D3A" w:rsidRDefault="006B4D3A">
      <w:r>
        <w:separator/>
      </w:r>
    </w:p>
  </w:endnote>
  <w:endnote w:type="continuationSeparator" w:id="0">
    <w:p w14:paraId="4F45CC00" w14:textId="77777777" w:rsidR="006B4D3A" w:rsidRDefault="006B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4131" w14:textId="77777777" w:rsidR="006B4D3A" w:rsidRDefault="006B4D3A">
      <w:r>
        <w:separator/>
      </w:r>
    </w:p>
  </w:footnote>
  <w:footnote w:type="continuationSeparator" w:id="0">
    <w:p w14:paraId="110529B9" w14:textId="77777777" w:rsidR="006B4D3A" w:rsidRDefault="006B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547757"/>
    </w:sdtPr>
    <w:sdtContent>
      <w:p w14:paraId="3438F60F" w14:textId="348152BC" w:rsidR="000B0CA2" w:rsidRDefault="00AA5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9AF">
          <w:rPr>
            <w:noProof/>
          </w:rPr>
          <w:t>2</w:t>
        </w:r>
        <w:r>
          <w:fldChar w:fldCharType="end"/>
        </w:r>
      </w:p>
    </w:sdtContent>
  </w:sdt>
  <w:p w14:paraId="3438F610" w14:textId="77777777" w:rsidR="000B0CA2" w:rsidRDefault="000B0C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727946"/>
    <w:multiLevelType w:val="multilevel"/>
    <w:tmpl w:val="6F2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93">
    <w:abstractNumId w:val="0"/>
  </w:num>
  <w:num w:numId="2" w16cid:durableId="900284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3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04"/>
    <w:rsid w:val="00006CDD"/>
    <w:rsid w:val="00007D22"/>
    <w:rsid w:val="000200F9"/>
    <w:rsid w:val="0005286C"/>
    <w:rsid w:val="00057E11"/>
    <w:rsid w:val="00063025"/>
    <w:rsid w:val="00074305"/>
    <w:rsid w:val="0008234B"/>
    <w:rsid w:val="00082F51"/>
    <w:rsid w:val="0008500E"/>
    <w:rsid w:val="00090073"/>
    <w:rsid w:val="000901A6"/>
    <w:rsid w:val="000976FA"/>
    <w:rsid w:val="000A2942"/>
    <w:rsid w:val="000B0CA2"/>
    <w:rsid w:val="000C1873"/>
    <w:rsid w:val="000C4541"/>
    <w:rsid w:val="000D0DD0"/>
    <w:rsid w:val="000D2DC2"/>
    <w:rsid w:val="000D6292"/>
    <w:rsid w:val="000D6CB1"/>
    <w:rsid w:val="000E6960"/>
    <w:rsid w:val="000F3225"/>
    <w:rsid w:val="00100AF5"/>
    <w:rsid w:val="00104823"/>
    <w:rsid w:val="00112EF1"/>
    <w:rsid w:val="00116688"/>
    <w:rsid w:val="001267E9"/>
    <w:rsid w:val="001271B0"/>
    <w:rsid w:val="00130574"/>
    <w:rsid w:val="001348B4"/>
    <w:rsid w:val="00140411"/>
    <w:rsid w:val="00142877"/>
    <w:rsid w:val="0014689B"/>
    <w:rsid w:val="001569A5"/>
    <w:rsid w:val="001611BB"/>
    <w:rsid w:val="00161692"/>
    <w:rsid w:val="001645AB"/>
    <w:rsid w:val="0016639B"/>
    <w:rsid w:val="00166594"/>
    <w:rsid w:val="001735C2"/>
    <w:rsid w:val="00173C78"/>
    <w:rsid w:val="0018276D"/>
    <w:rsid w:val="001A5225"/>
    <w:rsid w:val="001A669C"/>
    <w:rsid w:val="001B23D9"/>
    <w:rsid w:val="001B4A3A"/>
    <w:rsid w:val="001B4E48"/>
    <w:rsid w:val="001C5204"/>
    <w:rsid w:val="001C6908"/>
    <w:rsid w:val="001D658D"/>
    <w:rsid w:val="001E4E1A"/>
    <w:rsid w:val="001E6055"/>
    <w:rsid w:val="001F1590"/>
    <w:rsid w:val="001F31C8"/>
    <w:rsid w:val="001F3638"/>
    <w:rsid w:val="002018B9"/>
    <w:rsid w:val="00214470"/>
    <w:rsid w:val="002168E6"/>
    <w:rsid w:val="0022314E"/>
    <w:rsid w:val="0023218D"/>
    <w:rsid w:val="002343FC"/>
    <w:rsid w:val="00237B9A"/>
    <w:rsid w:val="002404D5"/>
    <w:rsid w:val="00247413"/>
    <w:rsid w:val="00247B16"/>
    <w:rsid w:val="002509AF"/>
    <w:rsid w:val="002512F6"/>
    <w:rsid w:val="00252163"/>
    <w:rsid w:val="002604A1"/>
    <w:rsid w:val="002651E6"/>
    <w:rsid w:val="00266D23"/>
    <w:rsid w:val="00275B18"/>
    <w:rsid w:val="00276038"/>
    <w:rsid w:val="002824EF"/>
    <w:rsid w:val="002B22C1"/>
    <w:rsid w:val="002B48A4"/>
    <w:rsid w:val="002B5984"/>
    <w:rsid w:val="002B6368"/>
    <w:rsid w:val="002C11A9"/>
    <w:rsid w:val="002E3F44"/>
    <w:rsid w:val="002E54F7"/>
    <w:rsid w:val="002F0C49"/>
    <w:rsid w:val="002F1D52"/>
    <w:rsid w:val="002F2DEE"/>
    <w:rsid w:val="00305D4E"/>
    <w:rsid w:val="00332E65"/>
    <w:rsid w:val="003537DC"/>
    <w:rsid w:val="00363B13"/>
    <w:rsid w:val="003704F9"/>
    <w:rsid w:val="00373803"/>
    <w:rsid w:val="00381BBC"/>
    <w:rsid w:val="003953A0"/>
    <w:rsid w:val="003953C1"/>
    <w:rsid w:val="00396135"/>
    <w:rsid w:val="00396C5F"/>
    <w:rsid w:val="003B0EA4"/>
    <w:rsid w:val="003C0B12"/>
    <w:rsid w:val="003C0EDB"/>
    <w:rsid w:val="003C49BD"/>
    <w:rsid w:val="003C66A2"/>
    <w:rsid w:val="003E031E"/>
    <w:rsid w:val="003E4DA3"/>
    <w:rsid w:val="003E700F"/>
    <w:rsid w:val="003F0AF1"/>
    <w:rsid w:val="003F0F26"/>
    <w:rsid w:val="004028CD"/>
    <w:rsid w:val="004064DE"/>
    <w:rsid w:val="004074F4"/>
    <w:rsid w:val="00411CBF"/>
    <w:rsid w:val="0042513A"/>
    <w:rsid w:val="004275DA"/>
    <w:rsid w:val="00437A01"/>
    <w:rsid w:val="004439E3"/>
    <w:rsid w:val="004515A3"/>
    <w:rsid w:val="00462864"/>
    <w:rsid w:val="004671A9"/>
    <w:rsid w:val="00471196"/>
    <w:rsid w:val="00477489"/>
    <w:rsid w:val="00477EF7"/>
    <w:rsid w:val="00486FE7"/>
    <w:rsid w:val="00492F2C"/>
    <w:rsid w:val="00495097"/>
    <w:rsid w:val="004973BD"/>
    <w:rsid w:val="004974F3"/>
    <w:rsid w:val="004A1581"/>
    <w:rsid w:val="004A2602"/>
    <w:rsid w:val="004B079F"/>
    <w:rsid w:val="004C2880"/>
    <w:rsid w:val="004C7FE8"/>
    <w:rsid w:val="004D625D"/>
    <w:rsid w:val="004E2910"/>
    <w:rsid w:val="004E2BEA"/>
    <w:rsid w:val="004E4138"/>
    <w:rsid w:val="004F14E1"/>
    <w:rsid w:val="004F6761"/>
    <w:rsid w:val="00507A7F"/>
    <w:rsid w:val="0051674D"/>
    <w:rsid w:val="00521008"/>
    <w:rsid w:val="005230F7"/>
    <w:rsid w:val="0052374D"/>
    <w:rsid w:val="0053639B"/>
    <w:rsid w:val="00542D23"/>
    <w:rsid w:val="0055215C"/>
    <w:rsid w:val="00552E35"/>
    <w:rsid w:val="005613CE"/>
    <w:rsid w:val="0056174C"/>
    <w:rsid w:val="00561DBA"/>
    <w:rsid w:val="00566685"/>
    <w:rsid w:val="005755A0"/>
    <w:rsid w:val="00577896"/>
    <w:rsid w:val="00582C55"/>
    <w:rsid w:val="00587483"/>
    <w:rsid w:val="00587624"/>
    <w:rsid w:val="005B0491"/>
    <w:rsid w:val="005C0C87"/>
    <w:rsid w:val="005D36BA"/>
    <w:rsid w:val="005D4572"/>
    <w:rsid w:val="005D5F30"/>
    <w:rsid w:val="005F5FDD"/>
    <w:rsid w:val="0060112A"/>
    <w:rsid w:val="006030FD"/>
    <w:rsid w:val="00605D7A"/>
    <w:rsid w:val="00620E78"/>
    <w:rsid w:val="006222E8"/>
    <w:rsid w:val="00622F95"/>
    <w:rsid w:val="0063058E"/>
    <w:rsid w:val="00633A0F"/>
    <w:rsid w:val="00636A6D"/>
    <w:rsid w:val="00637BB8"/>
    <w:rsid w:val="006471C3"/>
    <w:rsid w:val="00650073"/>
    <w:rsid w:val="00670F62"/>
    <w:rsid w:val="00686161"/>
    <w:rsid w:val="006A652F"/>
    <w:rsid w:val="006B10C1"/>
    <w:rsid w:val="006B1210"/>
    <w:rsid w:val="006B4D3A"/>
    <w:rsid w:val="006C1574"/>
    <w:rsid w:val="006C7505"/>
    <w:rsid w:val="006D399C"/>
    <w:rsid w:val="006E1BD9"/>
    <w:rsid w:val="006E576B"/>
    <w:rsid w:val="006E6A23"/>
    <w:rsid w:val="006F3434"/>
    <w:rsid w:val="006F3ABF"/>
    <w:rsid w:val="006F7D01"/>
    <w:rsid w:val="00701649"/>
    <w:rsid w:val="00701A8D"/>
    <w:rsid w:val="00712CCF"/>
    <w:rsid w:val="0072775D"/>
    <w:rsid w:val="00735C3A"/>
    <w:rsid w:val="00745E89"/>
    <w:rsid w:val="007634CA"/>
    <w:rsid w:val="007642FC"/>
    <w:rsid w:val="007779E5"/>
    <w:rsid w:val="00781086"/>
    <w:rsid w:val="00785A4A"/>
    <w:rsid w:val="0078786B"/>
    <w:rsid w:val="0079132F"/>
    <w:rsid w:val="007A0249"/>
    <w:rsid w:val="007A040B"/>
    <w:rsid w:val="007A05F2"/>
    <w:rsid w:val="007A0F7B"/>
    <w:rsid w:val="007B6F1D"/>
    <w:rsid w:val="007C6310"/>
    <w:rsid w:val="007D0746"/>
    <w:rsid w:val="007D1873"/>
    <w:rsid w:val="007D1A2C"/>
    <w:rsid w:val="007D29DD"/>
    <w:rsid w:val="007D3C49"/>
    <w:rsid w:val="007D3E4B"/>
    <w:rsid w:val="007D6BE1"/>
    <w:rsid w:val="007D7182"/>
    <w:rsid w:val="007E433C"/>
    <w:rsid w:val="007E5CD2"/>
    <w:rsid w:val="007E6124"/>
    <w:rsid w:val="007F7FA2"/>
    <w:rsid w:val="00802B8A"/>
    <w:rsid w:val="00804A09"/>
    <w:rsid w:val="0080576A"/>
    <w:rsid w:val="0081073C"/>
    <w:rsid w:val="00810E6A"/>
    <w:rsid w:val="008135C1"/>
    <w:rsid w:val="00817596"/>
    <w:rsid w:val="00826692"/>
    <w:rsid w:val="00830D0C"/>
    <w:rsid w:val="00835F41"/>
    <w:rsid w:val="00835F69"/>
    <w:rsid w:val="0083755C"/>
    <w:rsid w:val="00857113"/>
    <w:rsid w:val="00865463"/>
    <w:rsid w:val="00865818"/>
    <w:rsid w:val="008709B2"/>
    <w:rsid w:val="00881AEB"/>
    <w:rsid w:val="008867F1"/>
    <w:rsid w:val="0089322D"/>
    <w:rsid w:val="00895F69"/>
    <w:rsid w:val="008A1E47"/>
    <w:rsid w:val="008B2B74"/>
    <w:rsid w:val="008C2857"/>
    <w:rsid w:val="008C4976"/>
    <w:rsid w:val="008C6747"/>
    <w:rsid w:val="008D2824"/>
    <w:rsid w:val="008D5EB2"/>
    <w:rsid w:val="008E7166"/>
    <w:rsid w:val="008E723C"/>
    <w:rsid w:val="008F106E"/>
    <w:rsid w:val="008F12F6"/>
    <w:rsid w:val="008F3EC0"/>
    <w:rsid w:val="0090000F"/>
    <w:rsid w:val="009047CD"/>
    <w:rsid w:val="00922273"/>
    <w:rsid w:val="00926807"/>
    <w:rsid w:val="00931327"/>
    <w:rsid w:val="00932727"/>
    <w:rsid w:val="0093573F"/>
    <w:rsid w:val="00937917"/>
    <w:rsid w:val="00937E6B"/>
    <w:rsid w:val="00946644"/>
    <w:rsid w:val="00950C23"/>
    <w:rsid w:val="009511B1"/>
    <w:rsid w:val="00954CDF"/>
    <w:rsid w:val="009567CB"/>
    <w:rsid w:val="00956C27"/>
    <w:rsid w:val="0096101D"/>
    <w:rsid w:val="009647A9"/>
    <w:rsid w:val="00966FFF"/>
    <w:rsid w:val="00967CD2"/>
    <w:rsid w:val="00972F05"/>
    <w:rsid w:val="00983F6F"/>
    <w:rsid w:val="009912E5"/>
    <w:rsid w:val="009921F2"/>
    <w:rsid w:val="00997AA5"/>
    <w:rsid w:val="009A4F41"/>
    <w:rsid w:val="009A7B3F"/>
    <w:rsid w:val="009B063F"/>
    <w:rsid w:val="009C08F5"/>
    <w:rsid w:val="009C7063"/>
    <w:rsid w:val="009D5174"/>
    <w:rsid w:val="009F0378"/>
    <w:rsid w:val="00A031E1"/>
    <w:rsid w:val="00A04C89"/>
    <w:rsid w:val="00A05630"/>
    <w:rsid w:val="00A07A92"/>
    <w:rsid w:val="00A15EB4"/>
    <w:rsid w:val="00A168DC"/>
    <w:rsid w:val="00A16CFA"/>
    <w:rsid w:val="00A21CC1"/>
    <w:rsid w:val="00A221C2"/>
    <w:rsid w:val="00A228D8"/>
    <w:rsid w:val="00A37856"/>
    <w:rsid w:val="00A4037C"/>
    <w:rsid w:val="00A470B0"/>
    <w:rsid w:val="00A557C2"/>
    <w:rsid w:val="00A70985"/>
    <w:rsid w:val="00A728F3"/>
    <w:rsid w:val="00A9548F"/>
    <w:rsid w:val="00AA26E1"/>
    <w:rsid w:val="00AA5236"/>
    <w:rsid w:val="00AA69CF"/>
    <w:rsid w:val="00AA6D93"/>
    <w:rsid w:val="00AB3FF6"/>
    <w:rsid w:val="00AB5EA7"/>
    <w:rsid w:val="00AC0862"/>
    <w:rsid w:val="00AC0AAF"/>
    <w:rsid w:val="00AC4C7A"/>
    <w:rsid w:val="00AC573F"/>
    <w:rsid w:val="00AE2D04"/>
    <w:rsid w:val="00AE46E0"/>
    <w:rsid w:val="00AF6A9A"/>
    <w:rsid w:val="00AF6FE2"/>
    <w:rsid w:val="00B048CD"/>
    <w:rsid w:val="00B07B63"/>
    <w:rsid w:val="00B15D0F"/>
    <w:rsid w:val="00B36065"/>
    <w:rsid w:val="00B37516"/>
    <w:rsid w:val="00B37F7A"/>
    <w:rsid w:val="00B400C3"/>
    <w:rsid w:val="00B40C9F"/>
    <w:rsid w:val="00B415AE"/>
    <w:rsid w:val="00B44A3A"/>
    <w:rsid w:val="00B51C4E"/>
    <w:rsid w:val="00B540A2"/>
    <w:rsid w:val="00B5606E"/>
    <w:rsid w:val="00B714D4"/>
    <w:rsid w:val="00B83EE6"/>
    <w:rsid w:val="00B86E1E"/>
    <w:rsid w:val="00B87A66"/>
    <w:rsid w:val="00B96501"/>
    <w:rsid w:val="00B966BD"/>
    <w:rsid w:val="00BA5A0E"/>
    <w:rsid w:val="00BB672C"/>
    <w:rsid w:val="00BD4DB6"/>
    <w:rsid w:val="00BD6EC4"/>
    <w:rsid w:val="00BE0494"/>
    <w:rsid w:val="00BF6177"/>
    <w:rsid w:val="00BF61F5"/>
    <w:rsid w:val="00C01157"/>
    <w:rsid w:val="00C130C6"/>
    <w:rsid w:val="00C23F29"/>
    <w:rsid w:val="00C243BA"/>
    <w:rsid w:val="00C26601"/>
    <w:rsid w:val="00C26D49"/>
    <w:rsid w:val="00C54C93"/>
    <w:rsid w:val="00C61269"/>
    <w:rsid w:val="00C61925"/>
    <w:rsid w:val="00C6487A"/>
    <w:rsid w:val="00C6698B"/>
    <w:rsid w:val="00C737A1"/>
    <w:rsid w:val="00C7725B"/>
    <w:rsid w:val="00C8180E"/>
    <w:rsid w:val="00C87F19"/>
    <w:rsid w:val="00C9622B"/>
    <w:rsid w:val="00CA34D6"/>
    <w:rsid w:val="00CA79FA"/>
    <w:rsid w:val="00CC0901"/>
    <w:rsid w:val="00CC5899"/>
    <w:rsid w:val="00CD639F"/>
    <w:rsid w:val="00CD7F58"/>
    <w:rsid w:val="00CE6AC8"/>
    <w:rsid w:val="00CF7949"/>
    <w:rsid w:val="00D113BA"/>
    <w:rsid w:val="00D124AF"/>
    <w:rsid w:val="00D17A17"/>
    <w:rsid w:val="00D2086C"/>
    <w:rsid w:val="00D24797"/>
    <w:rsid w:val="00D257CB"/>
    <w:rsid w:val="00D32D72"/>
    <w:rsid w:val="00D32F73"/>
    <w:rsid w:val="00D37F4B"/>
    <w:rsid w:val="00D45143"/>
    <w:rsid w:val="00D463FB"/>
    <w:rsid w:val="00D554DE"/>
    <w:rsid w:val="00D5702E"/>
    <w:rsid w:val="00D66FC3"/>
    <w:rsid w:val="00D747E5"/>
    <w:rsid w:val="00D82A82"/>
    <w:rsid w:val="00D84E8F"/>
    <w:rsid w:val="00D86512"/>
    <w:rsid w:val="00D90A5D"/>
    <w:rsid w:val="00D91801"/>
    <w:rsid w:val="00D9712B"/>
    <w:rsid w:val="00DA0928"/>
    <w:rsid w:val="00DA6747"/>
    <w:rsid w:val="00DA7C39"/>
    <w:rsid w:val="00DB5844"/>
    <w:rsid w:val="00DB67F0"/>
    <w:rsid w:val="00DB771F"/>
    <w:rsid w:val="00DC79FE"/>
    <w:rsid w:val="00DE289B"/>
    <w:rsid w:val="00DE432E"/>
    <w:rsid w:val="00DE6EC8"/>
    <w:rsid w:val="00DF0A8F"/>
    <w:rsid w:val="00DF3032"/>
    <w:rsid w:val="00E01BEB"/>
    <w:rsid w:val="00E01E03"/>
    <w:rsid w:val="00E1727F"/>
    <w:rsid w:val="00E20190"/>
    <w:rsid w:val="00E25766"/>
    <w:rsid w:val="00E37514"/>
    <w:rsid w:val="00E51EDE"/>
    <w:rsid w:val="00E66704"/>
    <w:rsid w:val="00E66F41"/>
    <w:rsid w:val="00E759B1"/>
    <w:rsid w:val="00E7600E"/>
    <w:rsid w:val="00E94E47"/>
    <w:rsid w:val="00E95AFE"/>
    <w:rsid w:val="00EB200A"/>
    <w:rsid w:val="00EB403F"/>
    <w:rsid w:val="00EB46E4"/>
    <w:rsid w:val="00EC071C"/>
    <w:rsid w:val="00EC7813"/>
    <w:rsid w:val="00ED4F9F"/>
    <w:rsid w:val="00ED5DFE"/>
    <w:rsid w:val="00ED766D"/>
    <w:rsid w:val="00ED77B3"/>
    <w:rsid w:val="00EE2AC5"/>
    <w:rsid w:val="00EE4BF4"/>
    <w:rsid w:val="00EF1B09"/>
    <w:rsid w:val="00EF6E88"/>
    <w:rsid w:val="00F03E5F"/>
    <w:rsid w:val="00F04CF3"/>
    <w:rsid w:val="00F12653"/>
    <w:rsid w:val="00F21D84"/>
    <w:rsid w:val="00F344C6"/>
    <w:rsid w:val="00F35608"/>
    <w:rsid w:val="00F47748"/>
    <w:rsid w:val="00F52177"/>
    <w:rsid w:val="00F529B0"/>
    <w:rsid w:val="00F6178E"/>
    <w:rsid w:val="00F6621E"/>
    <w:rsid w:val="00F70CDE"/>
    <w:rsid w:val="00F74DEF"/>
    <w:rsid w:val="00F75422"/>
    <w:rsid w:val="00F87BBF"/>
    <w:rsid w:val="00F9054E"/>
    <w:rsid w:val="00FA19F1"/>
    <w:rsid w:val="00FA3752"/>
    <w:rsid w:val="00FC0383"/>
    <w:rsid w:val="00FC71C6"/>
    <w:rsid w:val="00FD70B3"/>
    <w:rsid w:val="00FE6982"/>
    <w:rsid w:val="00FF61A1"/>
    <w:rsid w:val="09CE171A"/>
    <w:rsid w:val="31010E36"/>
    <w:rsid w:val="538A62D2"/>
    <w:rsid w:val="71FD6658"/>
    <w:rsid w:val="75F72B10"/>
    <w:rsid w:val="7BD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8F51E"/>
  <w15:docId w15:val="{3DCF1E8B-DEEC-4EF1-9851-591D47B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suppressAutoHyphens w:val="0"/>
      <w:outlineLvl w:val="0"/>
    </w:pPr>
    <w:rPr>
      <w:lang w:eastAsia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suppressAutoHyphens w:val="0"/>
      <w:jc w:val="center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qFormat/>
    <w:pPr>
      <w:keepNext/>
      <w:numPr>
        <w:ilvl w:val="2"/>
        <w:numId w:val="1"/>
      </w:numPr>
      <w:suppressAutoHyphens w:val="0"/>
      <w:jc w:val="both"/>
      <w:outlineLvl w:val="2"/>
    </w:pPr>
    <w:rPr>
      <w:b/>
      <w:lang w:eastAsia="lt-LT"/>
    </w:rPr>
  </w:style>
  <w:style w:type="paragraph" w:styleId="Antrat4">
    <w:name w:val="heading 4"/>
    <w:basedOn w:val="prastasis"/>
    <w:next w:val="prastasis"/>
    <w:link w:val="Antrat4Diagrama"/>
    <w:qFormat/>
    <w:pPr>
      <w:keepNext/>
      <w:numPr>
        <w:ilvl w:val="3"/>
        <w:numId w:val="1"/>
      </w:numPr>
      <w:suppressAutoHyphens w:val="0"/>
      <w:jc w:val="center"/>
      <w:outlineLvl w:val="3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pPr>
      <w:suppressAutoHyphens w:val="0"/>
      <w:ind w:firstLine="403"/>
      <w:jc w:val="both"/>
    </w:pPr>
    <w:rPr>
      <w:rFonts w:eastAsia="Calibri"/>
      <w:sz w:val="20"/>
      <w:szCs w:val="20"/>
      <w:lang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character" w:styleId="Grietas">
    <w:name w:val="Strong"/>
    <w:basedOn w:val="Numatytasispastraiposriftas"/>
    <w:uiPriority w:val="22"/>
    <w:qFormat/>
    <w:rPr>
      <w:b/>
      <w:bCs/>
      <w:color w:val="000000"/>
    </w:rPr>
  </w:style>
  <w:style w:type="character" w:customStyle="1" w:styleId="Pagrindinistekstas3Diagrama">
    <w:name w:val="Pagrindinis tekstas 3 Diagrama"/>
    <w:basedOn w:val="Numatytasispastraiposriftas"/>
    <w:link w:val="Pagrindinistekstas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otranslate">
    <w:name w:val="notranslate"/>
    <w:basedOn w:val="Numatytasispastraiposriftas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  <w:lang w:val="lt-LT" w:eastAsia="ar-SA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suppressAutoHyphens w:val="0"/>
      <w:ind w:left="720"/>
      <w:contextualSpacing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F14E1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F905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C08C52-5478-4240-BFDD-DF4B397EC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4288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LK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arunas.taraskevicius</dc:creator>
  <cp:lastModifiedBy>Gediminas Banuškevičius</cp:lastModifiedBy>
  <cp:revision>2</cp:revision>
  <cp:lastPrinted>2023-06-07T05:59:00Z</cp:lastPrinted>
  <dcterms:created xsi:type="dcterms:W3CDTF">2026-05-22T10:50:00Z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