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C5B75" w14:textId="77777777" w:rsidR="000E7709" w:rsidRPr="00446C99" w:rsidRDefault="000E7709" w:rsidP="000E7709">
      <w:pPr>
        <w:spacing w:before="40" w:after="40"/>
        <w:jc w:val="center"/>
        <w:rPr>
          <w:rFonts w:ascii="Arial" w:hAnsi="Arial" w:cs="Arial"/>
          <w:sz w:val="20"/>
          <w:szCs w:val="20"/>
        </w:rPr>
      </w:pPr>
      <w:r w:rsidRPr="00446C99">
        <w:rPr>
          <w:rFonts w:ascii="Arial" w:hAnsi="Arial" w:cs="Arial"/>
          <w:noProof/>
          <w:sz w:val="20"/>
          <w:szCs w:val="20"/>
        </w:rPr>
        <w:drawing>
          <wp:inline distT="0" distB="0" distL="0" distR="0" wp14:anchorId="4EEC8CFB" wp14:editId="63E94E4D">
            <wp:extent cx="2057400" cy="609600"/>
            <wp:effectExtent l="0" t="0" r="0" b="0"/>
            <wp:docPr id="1430324966" name="Paveikslėlis 1" descr="A black and white logo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black and white logo  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057400" cy="609600"/>
                    </a:xfrm>
                    <a:prstGeom prst="rect">
                      <a:avLst/>
                    </a:prstGeom>
                    <a:noFill/>
                    <a:ln>
                      <a:noFill/>
                    </a:ln>
                  </pic:spPr>
                </pic:pic>
              </a:graphicData>
            </a:graphic>
          </wp:inline>
        </w:drawing>
      </w:r>
    </w:p>
    <w:p w14:paraId="0A4D71A5" w14:textId="77777777" w:rsidR="000E7709" w:rsidRPr="00446C99" w:rsidRDefault="000E7709" w:rsidP="000E7709">
      <w:pPr>
        <w:spacing w:before="40" w:after="40"/>
        <w:jc w:val="center"/>
        <w:rPr>
          <w:rFonts w:ascii="Arial" w:hAnsi="Arial" w:cs="Arial"/>
          <w:sz w:val="20"/>
          <w:szCs w:val="20"/>
        </w:rPr>
      </w:pPr>
    </w:p>
    <w:p w14:paraId="580D8E1F" w14:textId="77777777" w:rsidR="000E7709" w:rsidRPr="00446C99" w:rsidRDefault="000E7709" w:rsidP="000E7709">
      <w:pPr>
        <w:jc w:val="center"/>
        <w:rPr>
          <w:rFonts w:ascii="Arial" w:hAnsi="Arial" w:cs="Arial"/>
          <w:b/>
          <w:sz w:val="20"/>
          <w:szCs w:val="20"/>
        </w:rPr>
      </w:pPr>
      <w:r w:rsidRPr="00446C99">
        <w:rPr>
          <w:rFonts w:ascii="Arial" w:hAnsi="Arial" w:cs="Arial"/>
          <w:b/>
          <w:sz w:val="20"/>
          <w:szCs w:val="20"/>
        </w:rPr>
        <w:t xml:space="preserve">AKCINĖ BENDROVĖ LIETUVOS PAŠTAS </w:t>
      </w:r>
    </w:p>
    <w:p w14:paraId="1B122A88" w14:textId="77777777" w:rsidR="000E7709" w:rsidRPr="00446C99" w:rsidRDefault="000E7709" w:rsidP="000E7709">
      <w:pPr>
        <w:rPr>
          <w:rFonts w:ascii="Arial" w:hAnsi="Arial" w:cs="Arial"/>
          <w:color w:val="000000" w:themeColor="text1"/>
          <w:sz w:val="20"/>
          <w:szCs w:val="20"/>
          <w:lang w:eastAsia="lt-LT"/>
        </w:rPr>
      </w:pPr>
    </w:p>
    <w:tbl>
      <w:tblPr>
        <w:tblW w:w="10031" w:type="dxa"/>
        <w:tblLook w:val="04A0" w:firstRow="1" w:lastRow="0" w:firstColumn="1" w:lastColumn="0" w:noHBand="0" w:noVBand="1"/>
      </w:tblPr>
      <w:tblGrid>
        <w:gridCol w:w="4545"/>
        <w:gridCol w:w="282"/>
        <w:gridCol w:w="1659"/>
        <w:gridCol w:w="3120"/>
        <w:gridCol w:w="425"/>
      </w:tblGrid>
      <w:tr w:rsidR="000E7709" w:rsidRPr="00446C99" w14:paraId="6A0AB3F4" w14:textId="77777777" w:rsidTr="00FD692A">
        <w:tc>
          <w:tcPr>
            <w:tcW w:w="4545" w:type="dxa"/>
          </w:tcPr>
          <w:p w14:paraId="22F67322" w14:textId="77777777" w:rsidR="000E7709" w:rsidRPr="00446C99" w:rsidRDefault="000E7709" w:rsidP="00FD692A">
            <w:pPr>
              <w:spacing w:line="276" w:lineRule="auto"/>
              <w:rPr>
                <w:rFonts w:ascii="Arial" w:hAnsi="Arial" w:cs="Arial"/>
                <w:b/>
                <w:bCs/>
                <w:sz w:val="20"/>
                <w:szCs w:val="20"/>
              </w:rPr>
            </w:pPr>
          </w:p>
        </w:tc>
        <w:tc>
          <w:tcPr>
            <w:tcW w:w="282" w:type="dxa"/>
          </w:tcPr>
          <w:p w14:paraId="63AB9D04" w14:textId="77777777" w:rsidR="000E7709" w:rsidRPr="00446C99" w:rsidRDefault="000E7709" w:rsidP="00FD692A">
            <w:pPr>
              <w:spacing w:line="276" w:lineRule="auto"/>
              <w:rPr>
                <w:rFonts w:ascii="Arial" w:hAnsi="Arial" w:cs="Arial"/>
                <w:b/>
                <w:bCs/>
                <w:sz w:val="20"/>
                <w:szCs w:val="20"/>
              </w:rPr>
            </w:pPr>
          </w:p>
          <w:p w14:paraId="49B38F19" w14:textId="77777777" w:rsidR="000E7709" w:rsidRPr="00446C99" w:rsidRDefault="000E7709" w:rsidP="00FD692A">
            <w:pPr>
              <w:spacing w:line="276" w:lineRule="auto"/>
              <w:rPr>
                <w:rFonts w:ascii="Arial" w:hAnsi="Arial" w:cs="Arial"/>
                <w:b/>
                <w:bCs/>
                <w:sz w:val="20"/>
                <w:szCs w:val="20"/>
              </w:rPr>
            </w:pPr>
          </w:p>
        </w:tc>
        <w:tc>
          <w:tcPr>
            <w:tcW w:w="1659" w:type="dxa"/>
          </w:tcPr>
          <w:p w14:paraId="08859A76" w14:textId="77777777" w:rsidR="000E7709" w:rsidRPr="00446C99" w:rsidRDefault="000E7709" w:rsidP="00FD692A">
            <w:pPr>
              <w:spacing w:line="276" w:lineRule="auto"/>
              <w:rPr>
                <w:rFonts w:ascii="Arial" w:hAnsi="Arial" w:cs="Arial"/>
                <w:b/>
                <w:bCs/>
                <w:sz w:val="20"/>
                <w:szCs w:val="20"/>
              </w:rPr>
            </w:pPr>
          </w:p>
        </w:tc>
        <w:tc>
          <w:tcPr>
            <w:tcW w:w="3120" w:type="dxa"/>
          </w:tcPr>
          <w:p w14:paraId="08835552" w14:textId="77777777" w:rsidR="000E7709" w:rsidRPr="00446C99" w:rsidRDefault="000E7709" w:rsidP="00FD692A">
            <w:pPr>
              <w:spacing w:line="276" w:lineRule="auto"/>
              <w:rPr>
                <w:rFonts w:ascii="Arial" w:hAnsi="Arial" w:cs="Arial"/>
                <w:b/>
                <w:bCs/>
                <w:sz w:val="20"/>
                <w:szCs w:val="20"/>
              </w:rPr>
            </w:pPr>
          </w:p>
          <w:p w14:paraId="316CE3F6" w14:textId="77777777" w:rsidR="000E7709" w:rsidRPr="00446C99" w:rsidRDefault="000E7709" w:rsidP="00FD692A">
            <w:pPr>
              <w:spacing w:line="276" w:lineRule="auto"/>
              <w:rPr>
                <w:rFonts w:ascii="Arial" w:hAnsi="Arial" w:cs="Arial"/>
                <w:b/>
                <w:bCs/>
                <w:sz w:val="20"/>
                <w:szCs w:val="20"/>
              </w:rPr>
            </w:pPr>
          </w:p>
        </w:tc>
        <w:tc>
          <w:tcPr>
            <w:tcW w:w="425" w:type="dxa"/>
          </w:tcPr>
          <w:p w14:paraId="39721E8C" w14:textId="77777777" w:rsidR="000E7709" w:rsidRPr="00446C99" w:rsidRDefault="000E7709" w:rsidP="00FD692A">
            <w:pPr>
              <w:spacing w:line="276" w:lineRule="auto"/>
              <w:rPr>
                <w:rFonts w:ascii="Arial" w:hAnsi="Arial" w:cs="Arial"/>
                <w:b/>
                <w:bCs/>
                <w:sz w:val="20"/>
                <w:szCs w:val="20"/>
              </w:rPr>
            </w:pPr>
          </w:p>
        </w:tc>
      </w:tr>
      <w:tr w:rsidR="000E7709" w:rsidRPr="00446C99" w14:paraId="1C4425D4" w14:textId="77777777" w:rsidTr="00FD692A">
        <w:tc>
          <w:tcPr>
            <w:tcW w:w="4545" w:type="dxa"/>
          </w:tcPr>
          <w:p w14:paraId="37A68257" w14:textId="77777777" w:rsidR="000E7709" w:rsidRPr="00446C99" w:rsidRDefault="000E7709" w:rsidP="00FD692A">
            <w:pPr>
              <w:spacing w:line="276" w:lineRule="auto"/>
              <w:rPr>
                <w:rFonts w:ascii="Arial" w:hAnsi="Arial" w:cs="Arial"/>
                <w:b/>
                <w:bCs/>
                <w:sz w:val="20"/>
                <w:szCs w:val="20"/>
              </w:rPr>
            </w:pPr>
          </w:p>
        </w:tc>
        <w:tc>
          <w:tcPr>
            <w:tcW w:w="282" w:type="dxa"/>
          </w:tcPr>
          <w:p w14:paraId="09E31043" w14:textId="77777777" w:rsidR="000E7709" w:rsidRPr="00446C99" w:rsidRDefault="000E7709" w:rsidP="00FD692A">
            <w:pPr>
              <w:spacing w:line="276" w:lineRule="auto"/>
              <w:rPr>
                <w:rFonts w:ascii="Arial" w:hAnsi="Arial" w:cs="Arial"/>
                <w:b/>
                <w:bCs/>
                <w:sz w:val="20"/>
                <w:szCs w:val="20"/>
              </w:rPr>
            </w:pPr>
          </w:p>
        </w:tc>
        <w:tc>
          <w:tcPr>
            <w:tcW w:w="1659" w:type="dxa"/>
          </w:tcPr>
          <w:p w14:paraId="66F386D8" w14:textId="77777777" w:rsidR="000E7709" w:rsidRPr="00446C99" w:rsidRDefault="000E7709" w:rsidP="00FD692A">
            <w:pPr>
              <w:spacing w:line="276" w:lineRule="auto"/>
              <w:rPr>
                <w:rFonts w:ascii="Arial" w:hAnsi="Arial" w:cs="Arial"/>
                <w:b/>
                <w:bCs/>
                <w:sz w:val="20"/>
                <w:szCs w:val="20"/>
              </w:rPr>
            </w:pPr>
          </w:p>
        </w:tc>
        <w:tc>
          <w:tcPr>
            <w:tcW w:w="3120" w:type="dxa"/>
          </w:tcPr>
          <w:p w14:paraId="278908A0" w14:textId="77777777" w:rsidR="000E7709" w:rsidRPr="00446C99" w:rsidRDefault="000E7709" w:rsidP="00FD692A">
            <w:pPr>
              <w:spacing w:line="276" w:lineRule="auto"/>
              <w:rPr>
                <w:rFonts w:ascii="Arial" w:hAnsi="Arial" w:cs="Arial"/>
                <w:b/>
                <w:bCs/>
                <w:sz w:val="20"/>
                <w:szCs w:val="20"/>
              </w:rPr>
            </w:pPr>
          </w:p>
        </w:tc>
        <w:tc>
          <w:tcPr>
            <w:tcW w:w="425" w:type="dxa"/>
          </w:tcPr>
          <w:p w14:paraId="4F1CBB24" w14:textId="77777777" w:rsidR="000E7709" w:rsidRPr="00446C99" w:rsidRDefault="000E7709" w:rsidP="00FD692A">
            <w:pPr>
              <w:spacing w:line="276" w:lineRule="auto"/>
              <w:rPr>
                <w:rFonts w:ascii="Arial" w:hAnsi="Arial" w:cs="Arial"/>
                <w:b/>
                <w:bCs/>
                <w:sz w:val="20"/>
                <w:szCs w:val="20"/>
              </w:rPr>
            </w:pPr>
          </w:p>
        </w:tc>
      </w:tr>
    </w:tbl>
    <w:p w14:paraId="7D6BF002" w14:textId="77777777" w:rsidR="000E7709" w:rsidRPr="00446C99" w:rsidRDefault="000E7709" w:rsidP="000E7709">
      <w:pPr>
        <w:spacing w:after="120"/>
        <w:ind w:firstLine="426"/>
        <w:jc w:val="both"/>
        <w:rPr>
          <w:rFonts w:ascii="Arial" w:hAnsi="Arial" w:cs="Arial"/>
          <w:bCs/>
          <w:sz w:val="20"/>
          <w:szCs w:val="20"/>
        </w:rPr>
      </w:pPr>
      <w:r>
        <w:rPr>
          <w:rFonts w:ascii="Arial" w:hAnsi="Arial" w:cs="Arial"/>
          <w:bCs/>
          <w:sz w:val="20"/>
          <w:szCs w:val="20"/>
        </w:rPr>
        <w:t>Suinteresuotiems tiekėjams</w:t>
      </w:r>
      <w:r w:rsidRPr="00446C99">
        <w:rPr>
          <w:rFonts w:ascii="Arial" w:hAnsi="Arial" w:cs="Arial"/>
          <w:bCs/>
          <w:sz w:val="20"/>
          <w:szCs w:val="20"/>
        </w:rPr>
        <w:tab/>
      </w:r>
      <w:r w:rsidRPr="00446C99">
        <w:rPr>
          <w:rFonts w:ascii="Arial" w:hAnsi="Arial" w:cs="Arial"/>
          <w:bCs/>
          <w:sz w:val="20"/>
          <w:szCs w:val="20"/>
        </w:rPr>
        <w:tab/>
      </w:r>
      <w:r w:rsidRPr="00446C99">
        <w:rPr>
          <w:rFonts w:ascii="Arial" w:hAnsi="Arial" w:cs="Arial"/>
          <w:bCs/>
          <w:sz w:val="20"/>
          <w:szCs w:val="20"/>
        </w:rPr>
        <w:tab/>
        <w:t xml:space="preserve">                           </w:t>
      </w:r>
    </w:p>
    <w:p w14:paraId="30E36D32" w14:textId="77777777" w:rsidR="000E7709" w:rsidRPr="00446C99" w:rsidRDefault="000E7709" w:rsidP="000E7709">
      <w:pPr>
        <w:spacing w:after="120"/>
        <w:ind w:firstLine="426"/>
        <w:jc w:val="both"/>
        <w:rPr>
          <w:rFonts w:ascii="Arial" w:hAnsi="Arial" w:cs="Arial"/>
          <w:bCs/>
          <w:sz w:val="20"/>
          <w:szCs w:val="20"/>
        </w:rPr>
      </w:pPr>
      <w:r w:rsidRPr="00446C99">
        <w:rPr>
          <w:rFonts w:ascii="Arial" w:hAnsi="Arial" w:cs="Arial"/>
          <w:bCs/>
          <w:sz w:val="20"/>
          <w:szCs w:val="20"/>
        </w:rPr>
        <w:t xml:space="preserve">CVP IS susirašinėjimo priemonėmis </w:t>
      </w:r>
    </w:p>
    <w:p w14:paraId="1FE0E35E" w14:textId="77777777" w:rsidR="000E7709" w:rsidRDefault="000E7709" w:rsidP="000E7709">
      <w:pPr>
        <w:spacing w:after="120"/>
        <w:ind w:firstLine="426"/>
        <w:jc w:val="both"/>
        <w:rPr>
          <w:rFonts w:ascii="Arial" w:hAnsi="Arial" w:cs="Arial"/>
          <w:b/>
          <w:sz w:val="20"/>
          <w:szCs w:val="20"/>
        </w:rPr>
      </w:pPr>
      <w:r w:rsidRPr="00446C99">
        <w:rPr>
          <w:rFonts w:ascii="Arial" w:hAnsi="Arial" w:cs="Arial"/>
          <w:b/>
          <w:sz w:val="20"/>
          <w:szCs w:val="20"/>
        </w:rPr>
        <w:t xml:space="preserve">DĖL </w:t>
      </w:r>
      <w:r>
        <w:rPr>
          <w:rFonts w:ascii="Arial" w:hAnsi="Arial" w:cs="Arial"/>
          <w:b/>
          <w:sz w:val="20"/>
          <w:szCs w:val="20"/>
        </w:rPr>
        <w:t>PATEIKTŲ KLAUSIMŲ</w:t>
      </w:r>
      <w:r w:rsidRPr="00446C99">
        <w:rPr>
          <w:rFonts w:ascii="Arial" w:hAnsi="Arial" w:cs="Arial"/>
          <w:b/>
          <w:sz w:val="20"/>
          <w:szCs w:val="20"/>
        </w:rPr>
        <w:t xml:space="preserve"> </w:t>
      </w:r>
    </w:p>
    <w:p w14:paraId="117F5C93" w14:textId="77777777" w:rsidR="000E7709" w:rsidRDefault="000E7709" w:rsidP="000E7709">
      <w:pPr>
        <w:spacing w:after="120"/>
        <w:jc w:val="both"/>
        <w:rPr>
          <w:rFonts w:ascii="Arial" w:hAnsi="Arial" w:cs="Arial"/>
          <w:b/>
          <w:sz w:val="20"/>
          <w:szCs w:val="20"/>
        </w:rPr>
      </w:pPr>
    </w:p>
    <w:p w14:paraId="5E0F3B8F" w14:textId="5FB33662" w:rsidR="000E7709" w:rsidRPr="00E74072" w:rsidRDefault="000E7709" w:rsidP="000E7709">
      <w:pPr>
        <w:spacing w:before="60" w:after="60"/>
        <w:jc w:val="both"/>
        <w:rPr>
          <w:rFonts w:ascii="Arial" w:eastAsia="MS Gothic" w:hAnsi="Arial" w:cs="Arial"/>
          <w:bCs/>
          <w:sz w:val="20"/>
          <w:szCs w:val="20"/>
        </w:rPr>
      </w:pPr>
      <w:r w:rsidRPr="00E74072">
        <w:rPr>
          <w:rFonts w:ascii="Arial" w:eastAsia="MS Gothic" w:hAnsi="Arial" w:cs="Arial"/>
          <w:bCs/>
          <w:sz w:val="20"/>
          <w:szCs w:val="20"/>
        </w:rPr>
        <w:t>Informuojame, kad Akcinės bendrovės Lietuvos pašto (toliau – Pirkėjas) mažos vertės viešųjų pirkimų komisija (toliau – komisija), 2026-05-1</w:t>
      </w:r>
      <w:r w:rsidR="00A02DED">
        <w:rPr>
          <w:rFonts w:ascii="Arial" w:eastAsia="MS Gothic" w:hAnsi="Arial" w:cs="Arial"/>
          <w:bCs/>
          <w:sz w:val="20"/>
          <w:szCs w:val="20"/>
        </w:rPr>
        <w:t>6</w:t>
      </w:r>
      <w:r w:rsidRPr="00E74072">
        <w:rPr>
          <w:rFonts w:ascii="Arial" w:eastAsia="MS Gothic" w:hAnsi="Arial" w:cs="Arial"/>
          <w:bCs/>
          <w:sz w:val="20"/>
          <w:szCs w:val="20"/>
        </w:rPr>
        <w:t xml:space="preserve"> gavo iš suinteresuoto Tiekėjo (toliau – Tiekėjas) klausimus pirkime Nr. 7822947 „ARCHYVINIŲ DOKUMENTŲ SAUGOJIMO PASLAUGOS“ ir pateikia atsakymus:</w:t>
      </w:r>
    </w:p>
    <w:p w14:paraId="096CB3B8" w14:textId="77777777" w:rsidR="000E7709" w:rsidRDefault="000E7709" w:rsidP="000E7709">
      <w:pPr>
        <w:spacing w:before="60" w:after="60"/>
        <w:jc w:val="both"/>
        <w:rPr>
          <w:rFonts w:ascii="Arial" w:eastAsia="MS Gothic" w:hAnsi="Arial" w:cs="Arial"/>
          <w:bCs/>
          <w:i/>
          <w:iCs/>
          <w:sz w:val="20"/>
          <w:szCs w:val="20"/>
        </w:rPr>
      </w:pPr>
    </w:p>
    <w:tbl>
      <w:tblPr>
        <w:tblStyle w:val="TableGrid"/>
        <w:tblW w:w="5000" w:type="pct"/>
        <w:tblLook w:val="04A0" w:firstRow="1" w:lastRow="0" w:firstColumn="1" w:lastColumn="0" w:noHBand="0" w:noVBand="1"/>
      </w:tblPr>
      <w:tblGrid>
        <w:gridCol w:w="551"/>
        <w:gridCol w:w="3641"/>
        <w:gridCol w:w="5436"/>
      </w:tblGrid>
      <w:tr w:rsidR="00A02DED" w:rsidRPr="009C0CE4" w14:paraId="495640BA" w14:textId="77777777" w:rsidTr="00A02DED">
        <w:tc>
          <w:tcPr>
            <w:tcW w:w="286" w:type="pct"/>
            <w:vAlign w:val="center"/>
          </w:tcPr>
          <w:p w14:paraId="4107E314" w14:textId="77777777" w:rsidR="00A02DED" w:rsidRPr="009C0CE4" w:rsidRDefault="00A02DED" w:rsidP="00915826">
            <w:pPr>
              <w:jc w:val="center"/>
              <w:rPr>
                <w:rFonts w:ascii="Arial" w:hAnsi="Arial" w:cs="Arial"/>
                <w:b/>
                <w:bCs/>
                <w:sz w:val="20"/>
                <w:szCs w:val="20"/>
              </w:rPr>
            </w:pPr>
            <w:r w:rsidRPr="009C0CE4">
              <w:rPr>
                <w:rFonts w:ascii="Arial" w:hAnsi="Arial" w:cs="Arial"/>
                <w:b/>
                <w:bCs/>
                <w:sz w:val="20"/>
                <w:szCs w:val="20"/>
              </w:rPr>
              <w:t>Nr./</w:t>
            </w:r>
          </w:p>
          <w:p w14:paraId="669F54F9" w14:textId="77777777" w:rsidR="00A02DED" w:rsidRPr="009C0CE4" w:rsidRDefault="00A02DED" w:rsidP="00915826">
            <w:pPr>
              <w:jc w:val="center"/>
              <w:rPr>
                <w:rFonts w:ascii="Arial" w:hAnsi="Arial" w:cs="Arial"/>
                <w:b/>
                <w:bCs/>
                <w:sz w:val="20"/>
                <w:szCs w:val="20"/>
              </w:rPr>
            </w:pPr>
            <w:r w:rsidRPr="009C0CE4">
              <w:rPr>
                <w:rFonts w:ascii="Arial" w:hAnsi="Arial" w:cs="Arial"/>
                <w:b/>
                <w:bCs/>
                <w:sz w:val="20"/>
                <w:szCs w:val="20"/>
              </w:rPr>
              <w:t>No.</w:t>
            </w:r>
          </w:p>
        </w:tc>
        <w:tc>
          <w:tcPr>
            <w:tcW w:w="1891" w:type="pct"/>
            <w:vAlign w:val="center"/>
          </w:tcPr>
          <w:p w14:paraId="098BC514" w14:textId="77777777" w:rsidR="00A02DED" w:rsidRPr="009C0CE4" w:rsidRDefault="00A02DED" w:rsidP="00915826">
            <w:pPr>
              <w:jc w:val="center"/>
              <w:rPr>
                <w:rFonts w:ascii="Arial" w:hAnsi="Arial" w:cs="Arial"/>
                <w:b/>
                <w:bCs/>
                <w:sz w:val="20"/>
                <w:szCs w:val="20"/>
              </w:rPr>
            </w:pPr>
            <w:r w:rsidRPr="009C0CE4">
              <w:rPr>
                <w:rFonts w:ascii="Arial" w:hAnsi="Arial" w:cs="Arial"/>
                <w:b/>
                <w:bCs/>
                <w:sz w:val="20"/>
                <w:szCs w:val="20"/>
              </w:rPr>
              <w:t>Tiekėjo pastabos/siūlymai/klausimai</w:t>
            </w:r>
          </w:p>
          <w:p w14:paraId="521443F7" w14:textId="77777777" w:rsidR="00A02DED" w:rsidRPr="009C0CE4" w:rsidRDefault="00A02DED" w:rsidP="00915826">
            <w:pPr>
              <w:jc w:val="center"/>
              <w:rPr>
                <w:rFonts w:ascii="Arial" w:hAnsi="Arial" w:cs="Arial"/>
                <w:b/>
                <w:bCs/>
                <w:sz w:val="20"/>
                <w:szCs w:val="20"/>
              </w:rPr>
            </w:pPr>
          </w:p>
        </w:tc>
        <w:tc>
          <w:tcPr>
            <w:tcW w:w="2823" w:type="pct"/>
            <w:vAlign w:val="center"/>
          </w:tcPr>
          <w:p w14:paraId="6E80414E" w14:textId="77777777" w:rsidR="00A02DED" w:rsidRPr="009C0CE4" w:rsidRDefault="00A02DED" w:rsidP="00915826">
            <w:pPr>
              <w:jc w:val="center"/>
              <w:rPr>
                <w:rFonts w:ascii="Arial" w:hAnsi="Arial" w:cs="Arial"/>
                <w:b/>
                <w:bCs/>
                <w:sz w:val="20"/>
                <w:szCs w:val="20"/>
              </w:rPr>
            </w:pPr>
            <w:r w:rsidRPr="009C0CE4">
              <w:rPr>
                <w:rFonts w:ascii="Arial" w:hAnsi="Arial" w:cs="Arial"/>
                <w:b/>
                <w:bCs/>
                <w:sz w:val="20"/>
                <w:szCs w:val="20"/>
              </w:rPr>
              <w:t>Atsakymai</w:t>
            </w:r>
          </w:p>
        </w:tc>
      </w:tr>
      <w:tr w:rsidR="00A02DED" w:rsidRPr="00F740B4" w14:paraId="7DEB6BA1" w14:textId="77777777" w:rsidTr="00A02DED">
        <w:tc>
          <w:tcPr>
            <w:tcW w:w="286" w:type="pct"/>
            <w:vAlign w:val="center"/>
          </w:tcPr>
          <w:p w14:paraId="0CFDEEEC" w14:textId="77777777" w:rsidR="00A02DED" w:rsidRPr="00F740B4" w:rsidRDefault="00A02DED" w:rsidP="00915826">
            <w:pPr>
              <w:jc w:val="center"/>
              <w:rPr>
                <w:rFonts w:ascii="Arial" w:hAnsi="Arial" w:cs="Arial"/>
                <w:sz w:val="20"/>
                <w:szCs w:val="20"/>
              </w:rPr>
            </w:pPr>
            <w:r w:rsidRPr="00F740B4">
              <w:rPr>
                <w:rFonts w:ascii="Arial" w:hAnsi="Arial" w:cs="Arial"/>
                <w:sz w:val="20"/>
                <w:szCs w:val="20"/>
              </w:rPr>
              <w:t>1.</w:t>
            </w:r>
          </w:p>
        </w:tc>
        <w:tc>
          <w:tcPr>
            <w:tcW w:w="1891" w:type="pct"/>
            <w:vAlign w:val="center"/>
          </w:tcPr>
          <w:p w14:paraId="04C394ED" w14:textId="77777777" w:rsidR="00A02DED" w:rsidRPr="008A0946" w:rsidRDefault="00A02DED" w:rsidP="00915826">
            <w:pPr>
              <w:rPr>
                <w:rFonts w:ascii="Arial" w:hAnsi="Arial" w:cs="Arial"/>
                <w:sz w:val="20"/>
                <w:szCs w:val="20"/>
              </w:rPr>
            </w:pPr>
            <w:r w:rsidRPr="008A0946">
              <w:rPr>
                <w:rFonts w:ascii="Arial" w:hAnsi="Arial" w:cs="Arial"/>
                <w:sz w:val="20"/>
                <w:szCs w:val="20"/>
              </w:rPr>
              <w:t>(1) TS 2.4. punkte esanti lentelė:</w:t>
            </w:r>
          </w:p>
          <w:p w14:paraId="5E34FC9F" w14:textId="77777777" w:rsidR="00A02DED" w:rsidRPr="008A0946" w:rsidRDefault="00A02DED" w:rsidP="00915826">
            <w:pPr>
              <w:rPr>
                <w:rFonts w:ascii="Arial" w:hAnsi="Arial" w:cs="Arial"/>
                <w:sz w:val="20"/>
                <w:szCs w:val="20"/>
              </w:rPr>
            </w:pPr>
          </w:p>
          <w:p w14:paraId="31CC4644" w14:textId="77777777" w:rsidR="00A02DED" w:rsidRPr="008A0946" w:rsidRDefault="00A02DED" w:rsidP="00915826">
            <w:pPr>
              <w:rPr>
                <w:rFonts w:ascii="Arial" w:hAnsi="Arial" w:cs="Arial"/>
                <w:sz w:val="20"/>
                <w:szCs w:val="20"/>
              </w:rPr>
            </w:pPr>
            <w:r w:rsidRPr="008A0946">
              <w:rPr>
                <w:rFonts w:ascii="Arial" w:hAnsi="Arial" w:cs="Arial"/>
                <w:sz w:val="20"/>
                <w:szCs w:val="20"/>
              </w:rPr>
              <w:t>Kiek vidutiniškai vienam tokiam užsakymui reikia nukelti ir patikrinti bylų?</w:t>
            </w:r>
          </w:p>
          <w:p w14:paraId="04B064C4" w14:textId="77777777" w:rsidR="00A02DED" w:rsidRPr="00F740B4" w:rsidRDefault="00A02DED" w:rsidP="00915826">
            <w:pPr>
              <w:rPr>
                <w:rFonts w:ascii="Arial" w:hAnsi="Arial" w:cs="Arial"/>
                <w:sz w:val="20"/>
                <w:szCs w:val="20"/>
              </w:rPr>
            </w:pPr>
            <w:r w:rsidRPr="008A0946">
              <w:rPr>
                <w:rFonts w:ascii="Arial" w:hAnsi="Arial" w:cs="Arial"/>
                <w:sz w:val="20"/>
                <w:szCs w:val="20"/>
              </w:rPr>
              <w:t>Kiek vidutiniškai vienam užsakymui reikia nuskenuoti dokumentų puslapių?</w:t>
            </w:r>
          </w:p>
        </w:tc>
        <w:tc>
          <w:tcPr>
            <w:tcW w:w="2823" w:type="pct"/>
            <w:vAlign w:val="center"/>
          </w:tcPr>
          <w:p w14:paraId="7E16604E" w14:textId="77777777" w:rsidR="00A02DED" w:rsidRPr="008A0946" w:rsidRDefault="00A02DED" w:rsidP="00915826">
            <w:pPr>
              <w:rPr>
                <w:rFonts w:ascii="Arial" w:hAnsi="Arial" w:cs="Arial"/>
                <w:sz w:val="20"/>
                <w:szCs w:val="20"/>
              </w:rPr>
            </w:pPr>
            <w:r w:rsidRPr="008A0946">
              <w:rPr>
                <w:rFonts w:ascii="Arial" w:hAnsi="Arial" w:cs="Arial"/>
                <w:sz w:val="20"/>
                <w:szCs w:val="20"/>
              </w:rPr>
              <w:t>Apytiksliai nuo 2</w:t>
            </w:r>
            <w:r>
              <w:rPr>
                <w:rFonts w:ascii="Arial" w:hAnsi="Arial" w:cs="Arial"/>
                <w:sz w:val="20"/>
                <w:szCs w:val="20"/>
              </w:rPr>
              <w:t xml:space="preserve"> </w:t>
            </w:r>
            <w:r w:rsidRPr="008A0946">
              <w:rPr>
                <w:rFonts w:ascii="Arial" w:hAnsi="Arial" w:cs="Arial"/>
                <w:sz w:val="20"/>
                <w:szCs w:val="20"/>
              </w:rPr>
              <w:t>iki 10 vnt. bylų</w:t>
            </w:r>
            <w:r>
              <w:rPr>
                <w:rFonts w:ascii="Arial" w:hAnsi="Arial" w:cs="Arial"/>
                <w:sz w:val="20"/>
                <w:szCs w:val="20"/>
              </w:rPr>
              <w:t>.</w:t>
            </w:r>
          </w:p>
          <w:p w14:paraId="3B799DE0" w14:textId="77777777" w:rsidR="00A02DED" w:rsidRPr="008A0946" w:rsidRDefault="00A02DED" w:rsidP="00915826">
            <w:pPr>
              <w:rPr>
                <w:rFonts w:ascii="Arial" w:hAnsi="Arial" w:cs="Arial"/>
                <w:sz w:val="20"/>
                <w:szCs w:val="20"/>
              </w:rPr>
            </w:pPr>
            <w:r w:rsidRPr="008A0946">
              <w:rPr>
                <w:rFonts w:ascii="Arial" w:hAnsi="Arial" w:cs="Arial"/>
                <w:sz w:val="20"/>
                <w:szCs w:val="20"/>
              </w:rPr>
              <w:t>Apytiksliai nuo 2</w:t>
            </w:r>
            <w:r>
              <w:rPr>
                <w:rFonts w:ascii="Arial" w:hAnsi="Arial" w:cs="Arial"/>
                <w:sz w:val="20"/>
                <w:szCs w:val="20"/>
              </w:rPr>
              <w:t xml:space="preserve"> </w:t>
            </w:r>
            <w:r w:rsidRPr="008A0946">
              <w:rPr>
                <w:rFonts w:ascii="Arial" w:hAnsi="Arial" w:cs="Arial"/>
                <w:sz w:val="20"/>
                <w:szCs w:val="20"/>
              </w:rPr>
              <w:t>- iki 20 vnt. puslapių</w:t>
            </w:r>
            <w:r>
              <w:rPr>
                <w:rFonts w:ascii="Arial" w:hAnsi="Arial" w:cs="Arial"/>
                <w:sz w:val="20"/>
                <w:szCs w:val="20"/>
              </w:rPr>
              <w:t>.</w:t>
            </w:r>
          </w:p>
          <w:p w14:paraId="43AA78DC" w14:textId="77777777" w:rsidR="00A02DED" w:rsidRPr="00F740B4" w:rsidRDefault="00A02DED" w:rsidP="00915826">
            <w:pPr>
              <w:rPr>
                <w:rFonts w:ascii="Arial" w:hAnsi="Arial" w:cs="Arial"/>
                <w:sz w:val="20"/>
                <w:szCs w:val="20"/>
              </w:rPr>
            </w:pPr>
            <w:r>
              <w:rPr>
                <w:rFonts w:ascii="Arial" w:hAnsi="Arial" w:cs="Arial"/>
                <w:sz w:val="20"/>
                <w:szCs w:val="20"/>
              </w:rPr>
              <w:t xml:space="preserve"> </w:t>
            </w:r>
          </w:p>
        </w:tc>
      </w:tr>
      <w:tr w:rsidR="00A02DED" w:rsidRPr="00F740B4" w14:paraId="1AEE8E2A" w14:textId="77777777" w:rsidTr="00A02DED">
        <w:tc>
          <w:tcPr>
            <w:tcW w:w="286" w:type="pct"/>
            <w:vAlign w:val="center"/>
          </w:tcPr>
          <w:p w14:paraId="4B8D0C47" w14:textId="77777777" w:rsidR="00A02DED" w:rsidRPr="00F740B4" w:rsidRDefault="00A02DED" w:rsidP="00915826">
            <w:pPr>
              <w:jc w:val="center"/>
              <w:rPr>
                <w:rFonts w:ascii="Arial" w:hAnsi="Arial" w:cs="Arial"/>
                <w:sz w:val="20"/>
                <w:szCs w:val="20"/>
              </w:rPr>
            </w:pPr>
            <w:r w:rsidRPr="00F740B4">
              <w:rPr>
                <w:rFonts w:ascii="Arial" w:hAnsi="Arial" w:cs="Arial"/>
                <w:sz w:val="20"/>
                <w:szCs w:val="20"/>
              </w:rPr>
              <w:t>2.</w:t>
            </w:r>
          </w:p>
        </w:tc>
        <w:tc>
          <w:tcPr>
            <w:tcW w:w="1891" w:type="pct"/>
            <w:vAlign w:val="center"/>
          </w:tcPr>
          <w:p w14:paraId="7D1CE551" w14:textId="77777777" w:rsidR="00A02DED" w:rsidRPr="00F740B4" w:rsidRDefault="00A02DED" w:rsidP="00915826">
            <w:pPr>
              <w:rPr>
                <w:rFonts w:ascii="Arial" w:hAnsi="Arial" w:cs="Arial"/>
                <w:sz w:val="20"/>
                <w:szCs w:val="20"/>
              </w:rPr>
            </w:pPr>
            <w:r w:rsidRPr="008A0946">
              <w:rPr>
                <w:rFonts w:ascii="Arial" w:hAnsi="Arial" w:cs="Arial"/>
                <w:sz w:val="20"/>
                <w:szCs w:val="20"/>
              </w:rPr>
              <w:t>Ar teisingai suprantame, kad Lietuvos paštas perduoda jau sutvarkytas ilgo saugojimo bylas su parengtais apyrašais. Tiekėjas turi tik bylas priimti saugojimui t.y. kaip pvz. suteikti brūkšninius kodus, sutikrinti bylas pagal Lietuvos pašto pateiktus apyrašus? Kitos archyvavimo paslaugos nėra reikalingos? Jeigu yra reikalingos, norime paprašyti detalizuoti.</w:t>
            </w:r>
          </w:p>
        </w:tc>
        <w:tc>
          <w:tcPr>
            <w:tcW w:w="2823" w:type="pct"/>
            <w:vAlign w:val="center"/>
          </w:tcPr>
          <w:p w14:paraId="58965959" w14:textId="77777777" w:rsidR="00A02DED" w:rsidRPr="00F740B4" w:rsidRDefault="00A02DED" w:rsidP="00915826">
            <w:pPr>
              <w:spacing w:after="160" w:line="278" w:lineRule="auto"/>
              <w:rPr>
                <w:rFonts w:ascii="Arial" w:eastAsia="SimSun" w:hAnsi="Arial" w:cs="Arial"/>
                <w:sz w:val="20"/>
                <w:szCs w:val="20"/>
              </w:rPr>
            </w:pPr>
            <w:r w:rsidRPr="008A0946">
              <w:rPr>
                <w:rFonts w:ascii="Arial" w:eastAsia="SimSun" w:hAnsi="Arial" w:cs="Arial"/>
                <w:sz w:val="20"/>
                <w:szCs w:val="20"/>
              </w:rPr>
              <w:t>Taip</w:t>
            </w:r>
            <w:r>
              <w:rPr>
                <w:rFonts w:ascii="Arial" w:eastAsia="SimSun" w:hAnsi="Arial" w:cs="Arial"/>
                <w:sz w:val="20"/>
                <w:szCs w:val="20"/>
              </w:rPr>
              <w:t>,</w:t>
            </w:r>
            <w:r w:rsidRPr="008A0946">
              <w:rPr>
                <w:rFonts w:ascii="Arial" w:eastAsia="SimSun" w:hAnsi="Arial" w:cs="Arial"/>
                <w:sz w:val="20"/>
                <w:szCs w:val="20"/>
              </w:rPr>
              <w:t xml:space="preserve"> bylos jau būna sutvarkytos ir paruošos saugojimui, ilgo saugojimo bylų būna jau padaryti apyrašai, paslaugų tiekėjas tik sužymi brūkšninius kodus. Papildomos paslaugos nėra reikalingos.</w:t>
            </w:r>
          </w:p>
        </w:tc>
      </w:tr>
      <w:tr w:rsidR="00A02DED" w:rsidRPr="00F740B4" w14:paraId="0B88AFE7" w14:textId="77777777" w:rsidTr="00A02DED">
        <w:tc>
          <w:tcPr>
            <w:tcW w:w="286" w:type="pct"/>
            <w:vAlign w:val="center"/>
          </w:tcPr>
          <w:p w14:paraId="4CD0AB23" w14:textId="77777777" w:rsidR="00A02DED" w:rsidRPr="00F740B4" w:rsidRDefault="00A02DED" w:rsidP="00915826">
            <w:pPr>
              <w:jc w:val="center"/>
              <w:rPr>
                <w:rFonts w:ascii="Arial" w:hAnsi="Arial" w:cs="Arial"/>
                <w:sz w:val="20"/>
                <w:szCs w:val="20"/>
              </w:rPr>
            </w:pPr>
            <w:r w:rsidRPr="00F740B4">
              <w:rPr>
                <w:rFonts w:ascii="Arial" w:hAnsi="Arial" w:cs="Arial"/>
                <w:sz w:val="20"/>
                <w:szCs w:val="20"/>
              </w:rPr>
              <w:t>3.</w:t>
            </w:r>
          </w:p>
        </w:tc>
        <w:tc>
          <w:tcPr>
            <w:tcW w:w="1891" w:type="pct"/>
            <w:vAlign w:val="center"/>
          </w:tcPr>
          <w:p w14:paraId="7C423B4C" w14:textId="77777777" w:rsidR="00A02DED" w:rsidRPr="00F740B4" w:rsidRDefault="00A02DED" w:rsidP="00915826">
            <w:pPr>
              <w:rPr>
                <w:rFonts w:ascii="Arial" w:hAnsi="Arial" w:cs="Arial"/>
                <w:sz w:val="20"/>
                <w:szCs w:val="20"/>
              </w:rPr>
            </w:pPr>
            <w:r w:rsidRPr="00D9015E">
              <w:rPr>
                <w:rFonts w:ascii="Arial" w:hAnsi="Arial" w:cs="Arial"/>
                <w:sz w:val="20"/>
                <w:szCs w:val="20"/>
              </w:rPr>
              <w:t>Kokio dydžio dėžės? Ar naudojamos vieno standarto dėžės?</w:t>
            </w:r>
            <w:r w:rsidRPr="00D9015E">
              <w:rPr>
                <w:rFonts w:ascii="Arial" w:hAnsi="Arial" w:cs="Arial"/>
                <w:sz w:val="20"/>
                <w:szCs w:val="20"/>
              </w:rPr>
              <w:br/>
              <w:t>Kokiu lygiu turi būti priimta saugojimui - dėžių ar bylų? Ar papildomai pateikiamas bylų/dėžių aprašymas (perdavimo aktas) elektroniniu formatu (excel, word ar kitu)? Aprašymai pateikiami bylų lygyje ar dėžių?</w:t>
            </w:r>
          </w:p>
        </w:tc>
        <w:tc>
          <w:tcPr>
            <w:tcW w:w="2823" w:type="pct"/>
            <w:vAlign w:val="center"/>
          </w:tcPr>
          <w:p w14:paraId="13E9CDCB" w14:textId="77777777" w:rsidR="00A02DED" w:rsidRPr="00F740B4" w:rsidRDefault="00A02DED" w:rsidP="00915826">
            <w:pPr>
              <w:rPr>
                <w:rFonts w:ascii="Arial" w:hAnsi="Arial" w:cs="Arial"/>
                <w:sz w:val="20"/>
                <w:szCs w:val="20"/>
              </w:rPr>
            </w:pPr>
            <w:r w:rsidRPr="00D9015E">
              <w:rPr>
                <w:rFonts w:ascii="Arial" w:hAnsi="Arial" w:cs="Arial"/>
                <w:sz w:val="20"/>
                <w:szCs w:val="20"/>
              </w:rPr>
              <w:t>Dėžės naudojamos standartinės. Saugojimui dokumentai priimami dėžių lygyje, prie dėžių pridedami perdavimo aktai su dėžių sąrašu. Aprašymai pateikiami dėžių lygyje.</w:t>
            </w:r>
          </w:p>
        </w:tc>
      </w:tr>
      <w:tr w:rsidR="00A02DED" w:rsidRPr="00F740B4" w14:paraId="2A415CD6" w14:textId="77777777" w:rsidTr="00A02DED">
        <w:tc>
          <w:tcPr>
            <w:tcW w:w="286" w:type="pct"/>
            <w:vAlign w:val="center"/>
          </w:tcPr>
          <w:p w14:paraId="15D0EB84" w14:textId="77777777" w:rsidR="00A02DED" w:rsidRPr="00F740B4" w:rsidRDefault="00A02DED" w:rsidP="00915826">
            <w:pPr>
              <w:jc w:val="center"/>
              <w:rPr>
                <w:rFonts w:ascii="Arial" w:hAnsi="Arial" w:cs="Arial"/>
                <w:sz w:val="20"/>
                <w:szCs w:val="20"/>
              </w:rPr>
            </w:pPr>
            <w:r w:rsidRPr="00F740B4">
              <w:rPr>
                <w:rFonts w:ascii="Arial" w:hAnsi="Arial" w:cs="Arial"/>
                <w:sz w:val="20"/>
                <w:szCs w:val="20"/>
              </w:rPr>
              <w:t>4.</w:t>
            </w:r>
          </w:p>
        </w:tc>
        <w:tc>
          <w:tcPr>
            <w:tcW w:w="1891" w:type="pct"/>
            <w:vAlign w:val="center"/>
          </w:tcPr>
          <w:p w14:paraId="0AE7DC15" w14:textId="77777777" w:rsidR="00A02DED" w:rsidRPr="00F740B4" w:rsidRDefault="00A02DED" w:rsidP="00915826">
            <w:pPr>
              <w:rPr>
                <w:rFonts w:ascii="Arial" w:hAnsi="Arial" w:cs="Arial"/>
                <w:sz w:val="20"/>
                <w:szCs w:val="20"/>
              </w:rPr>
            </w:pPr>
            <w:r w:rsidRPr="00D9015E">
              <w:rPr>
                <w:rFonts w:ascii="Arial" w:hAnsi="Arial" w:cs="Arial"/>
                <w:sz w:val="20"/>
                <w:szCs w:val="20"/>
              </w:rPr>
              <w:t>5-6 punktuose elektroniniai ir popieriniai dokumentai sutraukti į vieną paslaugą ir vieną kainą. Prašymas procentiškai išskirti, kiek popierinių ir kiek elektroninių tiek ilgo, tiek trumpo saugojimo bylų?</w:t>
            </w:r>
          </w:p>
        </w:tc>
        <w:tc>
          <w:tcPr>
            <w:tcW w:w="2823" w:type="pct"/>
            <w:vAlign w:val="center"/>
          </w:tcPr>
          <w:p w14:paraId="7BF2BCC9" w14:textId="77777777" w:rsidR="00A02DED" w:rsidRPr="00F740B4" w:rsidRDefault="00A02DED" w:rsidP="00915826">
            <w:pPr>
              <w:rPr>
                <w:rFonts w:ascii="Arial" w:hAnsi="Arial" w:cs="Arial"/>
                <w:sz w:val="20"/>
                <w:szCs w:val="20"/>
              </w:rPr>
            </w:pPr>
            <w:r w:rsidRPr="00D9015E">
              <w:rPr>
                <w:rFonts w:ascii="Arial" w:hAnsi="Arial" w:cs="Arial"/>
                <w:sz w:val="20"/>
                <w:szCs w:val="20"/>
              </w:rPr>
              <w:t>Pagrindinis kiekis dokumentų bus perduodamas bylomis. Byl</w:t>
            </w:r>
            <w:r>
              <w:rPr>
                <w:rFonts w:ascii="Arial" w:hAnsi="Arial" w:cs="Arial"/>
                <w:sz w:val="20"/>
                <w:szCs w:val="20"/>
              </w:rPr>
              <w:t>ų,</w:t>
            </w:r>
            <w:r w:rsidRPr="00D9015E">
              <w:rPr>
                <w:rFonts w:ascii="Arial" w:hAnsi="Arial" w:cs="Arial"/>
                <w:sz w:val="20"/>
                <w:szCs w:val="20"/>
              </w:rPr>
              <w:t xml:space="preserve"> 5 eilutės atveju</w:t>
            </w:r>
            <w:r>
              <w:rPr>
                <w:rFonts w:ascii="Arial" w:hAnsi="Arial" w:cs="Arial"/>
                <w:sz w:val="20"/>
                <w:szCs w:val="20"/>
              </w:rPr>
              <w:t>,</w:t>
            </w:r>
            <w:r w:rsidRPr="00D9015E">
              <w:rPr>
                <w:rFonts w:ascii="Arial" w:hAnsi="Arial" w:cs="Arial"/>
                <w:sz w:val="20"/>
                <w:szCs w:val="20"/>
              </w:rPr>
              <w:t xml:space="preserve"> bus iki 300, o 6 eilutės atveju</w:t>
            </w:r>
            <w:r>
              <w:rPr>
                <w:rFonts w:ascii="Arial" w:hAnsi="Arial" w:cs="Arial"/>
                <w:sz w:val="20"/>
                <w:szCs w:val="20"/>
              </w:rPr>
              <w:t xml:space="preserve"> – </w:t>
            </w:r>
            <w:r w:rsidRPr="00D9015E">
              <w:rPr>
                <w:rFonts w:ascii="Arial" w:hAnsi="Arial" w:cs="Arial"/>
                <w:sz w:val="20"/>
                <w:szCs w:val="20"/>
              </w:rPr>
              <w:t>dėžių iki 1000</w:t>
            </w:r>
            <w:r>
              <w:rPr>
                <w:rFonts w:ascii="Arial" w:hAnsi="Arial" w:cs="Arial"/>
                <w:sz w:val="20"/>
                <w:szCs w:val="20"/>
              </w:rPr>
              <w:t xml:space="preserve"> vnt</w:t>
            </w:r>
            <w:r w:rsidRPr="00D9015E">
              <w:rPr>
                <w:rFonts w:ascii="Arial" w:hAnsi="Arial" w:cs="Arial"/>
                <w:sz w:val="20"/>
                <w:szCs w:val="20"/>
              </w:rPr>
              <w:t>. Tikslaus elektroninių dokumentų kiekio šiai dienai įvardinti negalime, nes procesas dar yra rengiamas.</w:t>
            </w:r>
          </w:p>
        </w:tc>
      </w:tr>
      <w:tr w:rsidR="00A02DED" w:rsidRPr="00F740B4" w14:paraId="6E379EFF" w14:textId="77777777" w:rsidTr="00A02DED">
        <w:tc>
          <w:tcPr>
            <w:tcW w:w="286" w:type="pct"/>
            <w:vAlign w:val="center"/>
          </w:tcPr>
          <w:p w14:paraId="28935449" w14:textId="77777777" w:rsidR="00A02DED" w:rsidRPr="00F740B4" w:rsidRDefault="00A02DED" w:rsidP="00915826">
            <w:pPr>
              <w:jc w:val="center"/>
              <w:rPr>
                <w:rFonts w:ascii="Arial" w:hAnsi="Arial" w:cs="Arial"/>
                <w:sz w:val="20"/>
                <w:szCs w:val="20"/>
              </w:rPr>
            </w:pPr>
            <w:r w:rsidRPr="00F740B4">
              <w:rPr>
                <w:rFonts w:ascii="Arial" w:hAnsi="Arial" w:cs="Arial"/>
                <w:sz w:val="20"/>
                <w:szCs w:val="20"/>
              </w:rPr>
              <w:lastRenderedPageBreak/>
              <w:t>5.</w:t>
            </w:r>
          </w:p>
        </w:tc>
        <w:tc>
          <w:tcPr>
            <w:tcW w:w="1891" w:type="pct"/>
            <w:vAlign w:val="center"/>
          </w:tcPr>
          <w:p w14:paraId="3715467E" w14:textId="77777777" w:rsidR="00A02DED" w:rsidRPr="00D9015E" w:rsidRDefault="00A02DED" w:rsidP="00915826">
            <w:pPr>
              <w:rPr>
                <w:rFonts w:ascii="Arial" w:hAnsi="Arial" w:cs="Arial"/>
                <w:sz w:val="20"/>
                <w:szCs w:val="20"/>
              </w:rPr>
            </w:pPr>
            <w:r w:rsidRPr="00D9015E">
              <w:rPr>
                <w:rFonts w:ascii="Arial" w:hAnsi="Arial" w:cs="Arial"/>
                <w:sz w:val="20"/>
                <w:szCs w:val="20"/>
              </w:rPr>
              <w:t>Prašome patikslinti, kiek per metus vidutiniškai reikalinga atrinkti naikintinų bylų iš saugyklų?</w:t>
            </w:r>
          </w:p>
          <w:p w14:paraId="463E1EAC" w14:textId="77777777" w:rsidR="00A02DED" w:rsidRPr="00F740B4" w:rsidRDefault="00A02DED" w:rsidP="00915826">
            <w:pPr>
              <w:rPr>
                <w:rFonts w:ascii="Arial" w:hAnsi="Arial" w:cs="Arial"/>
                <w:sz w:val="20"/>
                <w:szCs w:val="20"/>
              </w:rPr>
            </w:pPr>
            <w:r w:rsidRPr="00D9015E">
              <w:rPr>
                <w:rFonts w:ascii="Arial" w:hAnsi="Arial" w:cs="Arial"/>
                <w:sz w:val="20"/>
                <w:szCs w:val="20"/>
              </w:rPr>
              <w:t>Ar teisingai suprantame, kad Lietuvos paštas pats rengia naikinimo aktus ir juos pateikia tiekėjui. Tiekėjas turi atrinkti/nukelti naikintinas bylas ir jas paruošti perdavimui Lietuvos paštui, sudedant bylas ant palečių, paletes apsukant plėvele? Paletės perduodamos Lietuvos pašto atstovui, tiekėjo rampoje (transportavimo paslaugos nereikalingos). Jeigu taip, paletes ir plėvelę teikia Lietuvos paštas iš anksto, ar šios priemonės turi būti įskaičiuotos į kainą?</w:t>
            </w:r>
          </w:p>
        </w:tc>
        <w:tc>
          <w:tcPr>
            <w:tcW w:w="2823" w:type="pct"/>
          </w:tcPr>
          <w:p w14:paraId="582B9096" w14:textId="77777777" w:rsidR="00A02DED" w:rsidRDefault="00A02DED" w:rsidP="00915826">
            <w:pPr>
              <w:rPr>
                <w:rFonts w:ascii="Arial" w:hAnsi="Arial" w:cs="Arial"/>
                <w:sz w:val="20"/>
                <w:szCs w:val="20"/>
              </w:rPr>
            </w:pPr>
            <w:r w:rsidRPr="00D9015E">
              <w:rPr>
                <w:rFonts w:ascii="Arial" w:hAnsi="Arial" w:cs="Arial"/>
                <w:sz w:val="20"/>
                <w:szCs w:val="20"/>
              </w:rPr>
              <w:t xml:space="preserve">Vidutiniškai per metus reikia atrinkti apytiksliai 1000 ilgo saugojimo bylų ir apytiksliai 1000 </w:t>
            </w:r>
            <w:r>
              <w:rPr>
                <w:rFonts w:ascii="Arial" w:hAnsi="Arial" w:cs="Arial"/>
                <w:sz w:val="20"/>
                <w:szCs w:val="20"/>
              </w:rPr>
              <w:t xml:space="preserve">vnt. </w:t>
            </w:r>
            <w:r w:rsidRPr="00D9015E">
              <w:rPr>
                <w:rFonts w:ascii="Arial" w:hAnsi="Arial" w:cs="Arial"/>
                <w:sz w:val="20"/>
                <w:szCs w:val="20"/>
              </w:rPr>
              <w:t xml:space="preserve">dėžių. </w:t>
            </w:r>
          </w:p>
          <w:p w14:paraId="1A56BE1C" w14:textId="77777777" w:rsidR="00A02DED" w:rsidRDefault="00A02DED" w:rsidP="00915826">
            <w:pPr>
              <w:rPr>
                <w:rFonts w:ascii="Arial" w:hAnsi="Arial" w:cs="Arial"/>
                <w:sz w:val="20"/>
                <w:szCs w:val="20"/>
              </w:rPr>
            </w:pPr>
            <w:r w:rsidRPr="00D9015E">
              <w:rPr>
                <w:rFonts w:ascii="Arial" w:hAnsi="Arial" w:cs="Arial"/>
                <w:sz w:val="20"/>
                <w:szCs w:val="20"/>
              </w:rPr>
              <w:t xml:space="preserve">Taip, Pirkėjas pats ruošia aktus ir juos pateikia Tiekėjui. </w:t>
            </w:r>
          </w:p>
          <w:p w14:paraId="0CC7F611" w14:textId="77777777" w:rsidR="00A02DED" w:rsidRPr="00F740B4" w:rsidRDefault="00A02DED" w:rsidP="00915826">
            <w:pPr>
              <w:rPr>
                <w:rFonts w:ascii="Arial" w:hAnsi="Arial" w:cs="Arial"/>
                <w:sz w:val="20"/>
                <w:szCs w:val="20"/>
              </w:rPr>
            </w:pPr>
            <w:r w:rsidRPr="00D9015E">
              <w:rPr>
                <w:rFonts w:ascii="Arial" w:hAnsi="Arial" w:cs="Arial"/>
                <w:sz w:val="20"/>
                <w:szCs w:val="20"/>
              </w:rPr>
              <w:t>Bylos sudedamos ant palečių ir apsukamos plėvele. Palečių ir plėvelės kainos turi būti įskaičiuotos į paslaugos kainą.</w:t>
            </w:r>
          </w:p>
        </w:tc>
      </w:tr>
      <w:tr w:rsidR="00A02DED" w:rsidRPr="00F740B4" w14:paraId="6DED4B03" w14:textId="77777777" w:rsidTr="00A02DED">
        <w:tc>
          <w:tcPr>
            <w:tcW w:w="286" w:type="pct"/>
            <w:vAlign w:val="center"/>
          </w:tcPr>
          <w:p w14:paraId="66DB9F03" w14:textId="77777777" w:rsidR="00A02DED" w:rsidRPr="00F740B4" w:rsidRDefault="00A02DED" w:rsidP="00915826">
            <w:pPr>
              <w:jc w:val="center"/>
              <w:rPr>
                <w:rFonts w:ascii="Arial" w:hAnsi="Arial" w:cs="Arial"/>
                <w:sz w:val="20"/>
                <w:szCs w:val="20"/>
              </w:rPr>
            </w:pPr>
            <w:r w:rsidRPr="00F740B4">
              <w:rPr>
                <w:rFonts w:ascii="Arial" w:hAnsi="Arial" w:cs="Arial"/>
                <w:sz w:val="20"/>
                <w:szCs w:val="20"/>
              </w:rPr>
              <w:t>6.</w:t>
            </w:r>
          </w:p>
        </w:tc>
        <w:tc>
          <w:tcPr>
            <w:tcW w:w="1891" w:type="pct"/>
            <w:vAlign w:val="center"/>
          </w:tcPr>
          <w:p w14:paraId="12701208" w14:textId="77777777" w:rsidR="00A02DED" w:rsidRPr="00D9015E" w:rsidRDefault="00A02DED" w:rsidP="00915826">
            <w:pPr>
              <w:rPr>
                <w:rFonts w:ascii="Arial" w:hAnsi="Arial" w:cs="Arial"/>
                <w:sz w:val="20"/>
                <w:szCs w:val="20"/>
              </w:rPr>
            </w:pPr>
            <w:r w:rsidRPr="00D9015E">
              <w:rPr>
                <w:rFonts w:ascii="Arial" w:hAnsi="Arial" w:cs="Arial"/>
                <w:sz w:val="20"/>
                <w:szCs w:val="20"/>
              </w:rPr>
              <w:t>Prašome patikslinti ar tai tas pats kiekis, kuris nurodytas 5 ir 6 eilutėje bylomis, ar tai papildomi kitos rūšies dokumentai?Jei kitos rūšies dokumentai, pra</w:t>
            </w:r>
            <w:r>
              <w:rPr>
                <w:rFonts w:ascii="Arial" w:hAnsi="Arial" w:cs="Arial"/>
                <w:sz w:val="20"/>
                <w:szCs w:val="20"/>
              </w:rPr>
              <w:t>š</w:t>
            </w:r>
            <w:r w:rsidRPr="00D9015E">
              <w:rPr>
                <w:rFonts w:ascii="Arial" w:hAnsi="Arial" w:cs="Arial"/>
                <w:sz w:val="20"/>
                <w:szCs w:val="20"/>
              </w:rPr>
              <w:t>ome patikslinti bylų kiekį.</w:t>
            </w:r>
          </w:p>
          <w:p w14:paraId="70706B82" w14:textId="77777777" w:rsidR="00A02DED" w:rsidRPr="00D9015E" w:rsidRDefault="00A02DED" w:rsidP="00915826">
            <w:pPr>
              <w:rPr>
                <w:rFonts w:ascii="Arial" w:hAnsi="Arial" w:cs="Arial"/>
                <w:sz w:val="20"/>
                <w:szCs w:val="20"/>
              </w:rPr>
            </w:pPr>
            <w:r w:rsidRPr="00D9015E">
              <w:rPr>
                <w:rFonts w:ascii="Arial" w:hAnsi="Arial" w:cs="Arial"/>
                <w:sz w:val="20"/>
                <w:szCs w:val="20"/>
              </w:rPr>
              <w:t>Ar teisingai suprantame, kad gali būti paėmimas iš dviejų adresų. Šiuo metu: Metalo g. 5 arba Juozo Balčikonio g. 3. Abu adresai Vilniaus mieste.</w:t>
            </w:r>
          </w:p>
          <w:p w14:paraId="23D959AE" w14:textId="77777777" w:rsidR="00A02DED" w:rsidRPr="00F740B4" w:rsidRDefault="00A02DED" w:rsidP="00915826">
            <w:pPr>
              <w:rPr>
                <w:rFonts w:ascii="Arial" w:hAnsi="Arial" w:cs="Arial"/>
                <w:sz w:val="20"/>
                <w:szCs w:val="20"/>
              </w:rPr>
            </w:pPr>
            <w:r w:rsidRPr="00D9015E">
              <w:rPr>
                <w:rFonts w:ascii="Arial" w:hAnsi="Arial" w:cs="Arial"/>
                <w:sz w:val="20"/>
                <w:szCs w:val="20"/>
              </w:rPr>
              <w:t>Jeigu taip, kokios krovos sąlygos yra abiejuose adresuose: kelintas aukštas, jeigu ne pirmas - ar yra liftas. Ar yra rampa ar vieta privažiuoti sunkvežimui?</w:t>
            </w:r>
          </w:p>
        </w:tc>
        <w:tc>
          <w:tcPr>
            <w:tcW w:w="2823" w:type="pct"/>
          </w:tcPr>
          <w:p w14:paraId="64524100" w14:textId="77777777" w:rsidR="00A02DED" w:rsidRDefault="00A02DED" w:rsidP="00915826">
            <w:pPr>
              <w:rPr>
                <w:rFonts w:ascii="Arial" w:hAnsi="Arial" w:cs="Arial"/>
                <w:sz w:val="20"/>
                <w:szCs w:val="20"/>
              </w:rPr>
            </w:pPr>
            <w:r w:rsidRPr="00D9015E">
              <w:rPr>
                <w:rFonts w:ascii="Arial" w:hAnsi="Arial" w:cs="Arial"/>
                <w:sz w:val="20"/>
                <w:szCs w:val="20"/>
              </w:rPr>
              <w:t xml:space="preserve">Tai tas pats kiekis.  </w:t>
            </w:r>
          </w:p>
          <w:p w14:paraId="42948035" w14:textId="77777777" w:rsidR="00A02DED" w:rsidRDefault="00A02DED" w:rsidP="00915826">
            <w:pPr>
              <w:rPr>
                <w:rFonts w:ascii="Arial" w:hAnsi="Arial" w:cs="Arial"/>
                <w:sz w:val="20"/>
                <w:szCs w:val="20"/>
              </w:rPr>
            </w:pPr>
            <w:r w:rsidRPr="00D9015E">
              <w:rPr>
                <w:rFonts w:ascii="Arial" w:hAnsi="Arial" w:cs="Arial"/>
                <w:sz w:val="20"/>
                <w:szCs w:val="20"/>
              </w:rPr>
              <w:t xml:space="preserve">Taip, paėmimas galimas iš pateiktų dviejų adresų. </w:t>
            </w:r>
          </w:p>
          <w:p w14:paraId="5607379C" w14:textId="77777777" w:rsidR="00A02DED" w:rsidRPr="00F740B4" w:rsidRDefault="00A02DED" w:rsidP="00915826">
            <w:pPr>
              <w:rPr>
                <w:rFonts w:ascii="Arial" w:hAnsi="Arial" w:cs="Arial"/>
                <w:sz w:val="20"/>
                <w:szCs w:val="20"/>
              </w:rPr>
            </w:pPr>
            <w:r w:rsidRPr="00D9015E">
              <w:rPr>
                <w:rFonts w:ascii="Arial" w:hAnsi="Arial" w:cs="Arial"/>
                <w:sz w:val="20"/>
                <w:szCs w:val="20"/>
              </w:rPr>
              <w:t>Metalo g. yra rampa ir privažiavimas, o Juozo Balčikonio g. yra privažiavimas ir liftas.</w:t>
            </w:r>
          </w:p>
        </w:tc>
      </w:tr>
      <w:tr w:rsidR="00A02DED" w:rsidRPr="00D9015E" w14:paraId="576AF5BC" w14:textId="77777777" w:rsidTr="00A02DED">
        <w:tc>
          <w:tcPr>
            <w:tcW w:w="286" w:type="pct"/>
            <w:vAlign w:val="center"/>
          </w:tcPr>
          <w:p w14:paraId="4363AF25" w14:textId="77777777" w:rsidR="00A02DED" w:rsidRPr="00D9015E" w:rsidRDefault="00A02DED" w:rsidP="00915826">
            <w:pPr>
              <w:jc w:val="center"/>
              <w:rPr>
                <w:rFonts w:ascii="Arial" w:hAnsi="Arial" w:cs="Arial"/>
                <w:sz w:val="20"/>
                <w:szCs w:val="20"/>
                <w:lang w:val="en-US"/>
              </w:rPr>
            </w:pPr>
            <w:r>
              <w:rPr>
                <w:rFonts w:ascii="Arial" w:hAnsi="Arial" w:cs="Arial"/>
                <w:sz w:val="20"/>
                <w:szCs w:val="20"/>
                <w:lang w:val="en-US"/>
              </w:rPr>
              <w:t>7.</w:t>
            </w:r>
          </w:p>
        </w:tc>
        <w:tc>
          <w:tcPr>
            <w:tcW w:w="1891" w:type="pct"/>
            <w:vAlign w:val="center"/>
          </w:tcPr>
          <w:p w14:paraId="6242FE6C" w14:textId="77777777" w:rsidR="00A02DED" w:rsidRDefault="00A02DED" w:rsidP="00915826">
            <w:pPr>
              <w:rPr>
                <w:rFonts w:ascii="Arial" w:hAnsi="Arial" w:cs="Arial"/>
                <w:sz w:val="20"/>
                <w:szCs w:val="20"/>
              </w:rPr>
            </w:pPr>
            <w:r w:rsidRPr="00D9015E">
              <w:rPr>
                <w:rFonts w:ascii="Arial" w:hAnsi="Arial" w:cs="Arial"/>
                <w:sz w:val="20"/>
                <w:szCs w:val="20"/>
              </w:rPr>
              <w:t>(2) TS 4 punkte esantis lentelė:</w:t>
            </w:r>
            <w:r w:rsidRPr="00D9015E">
              <w:rPr>
                <w:rFonts w:ascii="Arial" w:hAnsi="Arial" w:cs="Arial"/>
                <w:sz w:val="20"/>
                <w:szCs w:val="20"/>
              </w:rPr>
              <w:br/>
              <w:t>1. Prašome pakoreguoti ir numatyti, kad skiriama 15 darbo dienų.</w:t>
            </w:r>
            <w:r w:rsidRPr="00D9015E">
              <w:rPr>
                <w:rFonts w:ascii="Arial" w:hAnsi="Arial" w:cs="Arial"/>
                <w:sz w:val="20"/>
                <w:szCs w:val="20"/>
              </w:rPr>
              <w:br/>
              <w:t>Kadangi perimamų dokumentų kiekis yra 2750 t.m., prašymas terminus pailginti ir pervežimui skirti 15 darbo dienų, paruošti dokumentus naudojimui skirti bent 2 mėn.</w:t>
            </w:r>
            <w:r w:rsidRPr="00D9015E">
              <w:rPr>
                <w:rFonts w:ascii="Arial" w:hAnsi="Arial" w:cs="Arial"/>
                <w:sz w:val="20"/>
                <w:szCs w:val="20"/>
              </w:rPr>
              <w:br/>
              <w:t>Kaip bus paruošti perdavimui dokumentai?</w:t>
            </w:r>
          </w:p>
          <w:p w14:paraId="3F276939" w14:textId="77777777" w:rsidR="00A02DED" w:rsidRPr="00D9015E" w:rsidRDefault="00A02DED" w:rsidP="00915826">
            <w:pPr>
              <w:rPr>
                <w:rFonts w:ascii="Arial" w:hAnsi="Arial" w:cs="Arial"/>
                <w:sz w:val="20"/>
                <w:szCs w:val="20"/>
              </w:rPr>
            </w:pPr>
            <w:r w:rsidRPr="00D9015E">
              <w:rPr>
                <w:rFonts w:ascii="Arial" w:hAnsi="Arial" w:cs="Arial"/>
                <w:sz w:val="20"/>
                <w:szCs w:val="20"/>
              </w:rPr>
              <w:t>Nurodyta, kad bylos turi būti sutvarkytos ir paruoštos naudojimui ne vėliau negu per mėnesį. Kaip suprantame bylos jau sudėtos į archyvines dėžes. Jeigu taip, kokio dydžio viena dėžė? Taip pat kaip bylos bus perduotos, t.y. ar jos šiuo metu yra jau su brūkšniniais kodais? Ar bylos turi perdavimo sąrašus t.y. sąrašus su aprašomaja informacija? Jeigu taip, kokiu formatu bus pateikti minėti sąrašai?</w:t>
            </w:r>
          </w:p>
        </w:tc>
        <w:tc>
          <w:tcPr>
            <w:tcW w:w="2823" w:type="pct"/>
          </w:tcPr>
          <w:p w14:paraId="65FC9070" w14:textId="77777777" w:rsidR="00A02DED" w:rsidRDefault="00A02DED" w:rsidP="00915826">
            <w:pPr>
              <w:rPr>
                <w:rFonts w:ascii="Arial" w:hAnsi="Arial" w:cs="Arial"/>
                <w:sz w:val="20"/>
                <w:szCs w:val="20"/>
              </w:rPr>
            </w:pPr>
            <w:r w:rsidRPr="00D9015E">
              <w:rPr>
                <w:rFonts w:ascii="Arial" w:hAnsi="Arial" w:cs="Arial"/>
                <w:sz w:val="20"/>
                <w:szCs w:val="20"/>
              </w:rPr>
              <w:t>Pervežimui skiriamos 15 dienų</w:t>
            </w:r>
            <w:r>
              <w:rPr>
                <w:rFonts w:ascii="Arial" w:hAnsi="Arial" w:cs="Arial"/>
                <w:sz w:val="20"/>
                <w:szCs w:val="20"/>
              </w:rPr>
              <w:t xml:space="preserve"> </w:t>
            </w:r>
            <w:r w:rsidRPr="00D9015E">
              <w:rPr>
                <w:rFonts w:ascii="Arial" w:hAnsi="Arial" w:cs="Arial"/>
                <w:sz w:val="20"/>
                <w:szCs w:val="20"/>
              </w:rPr>
              <w:t>nuo sutarties įsigaliojimo. Dokumentai perduodami sutvarkyti, sudėti dėžėse, subarkoduoti ir turi perdavimo aktus, todėl pasiruošimui skiriamas 1 mėn.</w:t>
            </w:r>
            <w:r>
              <w:rPr>
                <w:rFonts w:ascii="Arial" w:hAnsi="Arial" w:cs="Arial"/>
                <w:sz w:val="20"/>
                <w:szCs w:val="20"/>
              </w:rPr>
              <w:t xml:space="preserve"> laikotarpis.</w:t>
            </w:r>
          </w:p>
          <w:p w14:paraId="253E05A3" w14:textId="77777777" w:rsidR="00A02DED" w:rsidRPr="00D9015E" w:rsidRDefault="00A02DED" w:rsidP="00915826">
            <w:pPr>
              <w:rPr>
                <w:rFonts w:ascii="Arial" w:hAnsi="Arial" w:cs="Arial"/>
                <w:sz w:val="20"/>
                <w:szCs w:val="20"/>
              </w:rPr>
            </w:pPr>
            <w:r w:rsidRPr="00D9015E">
              <w:rPr>
                <w:rFonts w:ascii="Arial" w:hAnsi="Arial" w:cs="Arial"/>
                <w:sz w:val="20"/>
                <w:szCs w:val="20"/>
              </w:rPr>
              <w:t xml:space="preserve"> </w:t>
            </w:r>
            <w:r>
              <w:rPr>
                <w:rFonts w:ascii="Arial" w:hAnsi="Arial" w:cs="Arial"/>
                <w:sz w:val="20"/>
                <w:szCs w:val="20"/>
              </w:rPr>
              <w:t>B</w:t>
            </w:r>
            <w:r w:rsidRPr="00D9015E">
              <w:rPr>
                <w:rFonts w:ascii="Arial" w:hAnsi="Arial" w:cs="Arial"/>
                <w:sz w:val="20"/>
                <w:szCs w:val="20"/>
              </w:rPr>
              <w:t>ylos dėtos į standartinio dydžio archyvines dėžes, taip pat su brūkšniniais kodais. Perdavimo sąraš</w:t>
            </w:r>
            <w:r>
              <w:rPr>
                <w:rFonts w:ascii="Arial" w:hAnsi="Arial" w:cs="Arial"/>
                <w:sz w:val="20"/>
                <w:szCs w:val="20"/>
              </w:rPr>
              <w:t>ai</w:t>
            </w:r>
            <w:r w:rsidRPr="00D9015E">
              <w:rPr>
                <w:rFonts w:ascii="Arial" w:hAnsi="Arial" w:cs="Arial"/>
                <w:sz w:val="20"/>
                <w:szCs w:val="20"/>
              </w:rPr>
              <w:t xml:space="preserve"> yra pridedami prie perduodamų dėžių, siunčiami el. paštu.</w:t>
            </w:r>
          </w:p>
        </w:tc>
      </w:tr>
      <w:tr w:rsidR="00A02DED" w:rsidRPr="00D9015E" w14:paraId="0C1922CB" w14:textId="77777777" w:rsidTr="00A02DED">
        <w:tc>
          <w:tcPr>
            <w:tcW w:w="286" w:type="pct"/>
            <w:vAlign w:val="center"/>
          </w:tcPr>
          <w:p w14:paraId="3D621DFD" w14:textId="77777777" w:rsidR="00A02DED" w:rsidRDefault="00A02DED" w:rsidP="00915826">
            <w:pPr>
              <w:jc w:val="center"/>
              <w:rPr>
                <w:rFonts w:ascii="Arial" w:hAnsi="Arial" w:cs="Arial"/>
                <w:sz w:val="20"/>
                <w:szCs w:val="20"/>
                <w:lang w:val="en-US"/>
              </w:rPr>
            </w:pPr>
            <w:r>
              <w:rPr>
                <w:rFonts w:ascii="Arial" w:hAnsi="Arial" w:cs="Arial"/>
                <w:sz w:val="20"/>
                <w:szCs w:val="20"/>
                <w:lang w:val="en-US"/>
              </w:rPr>
              <w:t>8.</w:t>
            </w:r>
          </w:p>
        </w:tc>
        <w:tc>
          <w:tcPr>
            <w:tcW w:w="1891" w:type="pct"/>
            <w:vAlign w:val="center"/>
          </w:tcPr>
          <w:p w14:paraId="782553F0" w14:textId="77777777" w:rsidR="00A02DED" w:rsidRPr="00D9015E" w:rsidRDefault="00A02DED" w:rsidP="00915826">
            <w:pPr>
              <w:rPr>
                <w:rFonts w:ascii="Arial" w:hAnsi="Arial" w:cs="Arial"/>
                <w:sz w:val="20"/>
                <w:szCs w:val="20"/>
              </w:rPr>
            </w:pPr>
            <w:r w:rsidRPr="00D9015E">
              <w:rPr>
                <w:rFonts w:ascii="Arial" w:hAnsi="Arial" w:cs="Arial"/>
                <w:sz w:val="20"/>
                <w:szCs w:val="20"/>
              </w:rPr>
              <w:t>Klausimai dėl sutarties projekto</w:t>
            </w:r>
          </w:p>
          <w:p w14:paraId="4B122702" w14:textId="77777777" w:rsidR="00A02DED" w:rsidRPr="00D9015E" w:rsidRDefault="00A02DED" w:rsidP="00915826">
            <w:pPr>
              <w:rPr>
                <w:rFonts w:ascii="Arial" w:hAnsi="Arial" w:cs="Arial"/>
                <w:sz w:val="20"/>
                <w:szCs w:val="20"/>
              </w:rPr>
            </w:pPr>
            <w:r w:rsidRPr="00D9015E">
              <w:rPr>
                <w:rFonts w:ascii="Arial" w:hAnsi="Arial" w:cs="Arial"/>
                <w:sz w:val="20"/>
                <w:szCs w:val="20"/>
              </w:rPr>
              <w:t xml:space="preserve">(1) Sutarties SD numatyta, kad įkainių perskaičiavimas tik esant daugiau kaip 15proc. pokyčiui per vienerius kalendorinius metus. Tai ženkliai per didelis procentas. Jeigu apskritai yra </w:t>
            </w:r>
            <w:r w:rsidRPr="00D9015E">
              <w:rPr>
                <w:rFonts w:ascii="Arial" w:hAnsi="Arial" w:cs="Arial"/>
                <w:sz w:val="20"/>
                <w:szCs w:val="20"/>
              </w:rPr>
              <w:lastRenderedPageBreak/>
              <w:t>taikomas toks apribojimas, paprastai jis yra apie 3-5 proc. minimalus dydis perskaičiavimui. Be to, lyginama ne su praėjusių metų atitinkamu kalendoriniu ketvirčiu, o su kainų lygiu paskutinio perskaičiavimo metu. Prašytume atitinkamai pakoreguoti įkainių perskaičiavimo tvarką.</w:t>
            </w:r>
          </w:p>
        </w:tc>
        <w:tc>
          <w:tcPr>
            <w:tcW w:w="2823" w:type="pct"/>
          </w:tcPr>
          <w:p w14:paraId="126F4548" w14:textId="77777777" w:rsidR="00A02DED" w:rsidRDefault="00A02DED" w:rsidP="00915826">
            <w:pPr>
              <w:rPr>
                <w:rFonts w:ascii="Arial" w:hAnsi="Arial" w:cs="Arial"/>
                <w:sz w:val="20"/>
                <w:szCs w:val="20"/>
              </w:rPr>
            </w:pPr>
            <w:r>
              <w:rPr>
                <w:rFonts w:ascii="Arial" w:hAnsi="Arial" w:cs="Arial"/>
                <w:sz w:val="20"/>
                <w:szCs w:val="20"/>
              </w:rPr>
              <w:lastRenderedPageBreak/>
              <w:t>A</w:t>
            </w:r>
            <w:r w:rsidRPr="003524E0">
              <w:rPr>
                <w:rFonts w:ascii="Arial" w:hAnsi="Arial" w:cs="Arial"/>
                <w:sz w:val="20"/>
                <w:szCs w:val="20"/>
              </w:rPr>
              <w:t>tsižvelgus į Valstybės duomenų agentūros nurodytą veiklos rodiklį, matome kad pokytis 15 proc. yra nekorektiškas, todėl yra koreguojamas į 5 proc.</w:t>
            </w:r>
            <w:r>
              <w:rPr>
                <w:rFonts w:ascii="Arial" w:hAnsi="Arial" w:cs="Arial"/>
                <w:sz w:val="20"/>
                <w:szCs w:val="20"/>
              </w:rPr>
              <w:t xml:space="preserve"> ir sutarties 4.7.3 ir 4.7.4 p. išdėstant taip:</w:t>
            </w:r>
          </w:p>
          <w:tbl>
            <w:tblPr>
              <w:tblpPr w:leftFromText="180" w:rightFromText="180" w:bottomFromText="110" w:vertAnchor="text" w:tblpX="3214"/>
              <w:tblW w:w="5200" w:type="dxa"/>
              <w:tblCellMar>
                <w:left w:w="0" w:type="dxa"/>
                <w:right w:w="0" w:type="dxa"/>
              </w:tblCellMar>
              <w:tblLook w:val="04A0" w:firstRow="1" w:lastRow="0" w:firstColumn="1" w:lastColumn="0" w:noHBand="0" w:noVBand="1"/>
            </w:tblPr>
            <w:tblGrid>
              <w:gridCol w:w="1007"/>
              <w:gridCol w:w="4193"/>
            </w:tblGrid>
            <w:tr w:rsidR="00A02DED" w14:paraId="60319588" w14:textId="77777777" w:rsidTr="00915826">
              <w:trPr>
                <w:trHeight w:val="146"/>
              </w:trPr>
              <w:tc>
                <w:tcPr>
                  <w:tcW w:w="772" w:type="dxa"/>
                  <w:tcBorders>
                    <w:top w:val="single" w:sz="8" w:space="0" w:color="000000"/>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tcPr>
                <w:p w14:paraId="51C18E8E" w14:textId="77777777" w:rsidR="00A02DED" w:rsidRDefault="00A02DED" w:rsidP="00915826">
                  <w:pPr>
                    <w:rPr>
                      <w:rFonts w:ascii="Arial" w:hAnsi="Arial" w:cs="Arial"/>
                      <w:sz w:val="18"/>
                      <w:szCs w:val="18"/>
                    </w:rPr>
                  </w:pPr>
                  <w:r>
                    <w:rPr>
                      <w:rFonts w:ascii="Arial" w:hAnsi="Arial" w:cs="Arial"/>
                      <w:color w:val="000000"/>
                      <w:sz w:val="18"/>
                      <w:szCs w:val="18"/>
                    </w:rPr>
                    <w:t xml:space="preserve">4.7.3. Sutarties </w:t>
                  </w:r>
                  <w:r>
                    <w:rPr>
                      <w:rFonts w:ascii="Arial" w:hAnsi="Arial" w:cs="Arial"/>
                      <w:color w:val="000000"/>
                      <w:sz w:val="18"/>
                      <w:szCs w:val="18"/>
                    </w:rPr>
                    <w:lastRenderedPageBreak/>
                    <w:t>kainos peržiūros pagrindas</w:t>
                  </w:r>
                </w:p>
                <w:p w14:paraId="0986CEA8" w14:textId="77777777" w:rsidR="00A02DED" w:rsidRDefault="00A02DED" w:rsidP="00915826">
                  <w:pPr>
                    <w:rPr>
                      <w:rFonts w:ascii="Arial" w:hAnsi="Arial" w:cs="Arial"/>
                      <w:sz w:val="18"/>
                      <w:szCs w:val="18"/>
                    </w:rPr>
                  </w:pPr>
                </w:p>
                <w:p w14:paraId="13B2BA2E" w14:textId="77777777" w:rsidR="00A02DED" w:rsidRDefault="00A02DED" w:rsidP="00915826">
                  <w:pPr>
                    <w:rPr>
                      <w:rFonts w:ascii="Arial" w:hAnsi="Arial" w:cs="Arial"/>
                      <w:sz w:val="18"/>
                      <w:szCs w:val="18"/>
                    </w:rPr>
                  </w:pPr>
                </w:p>
                <w:p w14:paraId="4A9D4490" w14:textId="77777777" w:rsidR="00A02DED" w:rsidRDefault="00A02DED" w:rsidP="00915826">
                  <w:pPr>
                    <w:rPr>
                      <w:rFonts w:ascii="Arial" w:hAnsi="Arial" w:cs="Arial"/>
                      <w:sz w:val="18"/>
                      <w:szCs w:val="18"/>
                    </w:rPr>
                  </w:pPr>
                </w:p>
                <w:p w14:paraId="0E5C1797" w14:textId="77777777" w:rsidR="00A02DED" w:rsidRDefault="00A02DED" w:rsidP="00915826">
                  <w:pPr>
                    <w:rPr>
                      <w:rFonts w:ascii="Arial" w:hAnsi="Arial" w:cs="Arial"/>
                      <w:sz w:val="18"/>
                      <w:szCs w:val="18"/>
                    </w:rPr>
                  </w:pPr>
                </w:p>
                <w:p w14:paraId="7E01B612" w14:textId="77777777" w:rsidR="00A02DED" w:rsidRDefault="00A02DED" w:rsidP="00915826">
                  <w:pPr>
                    <w:rPr>
                      <w:rFonts w:ascii="Arial" w:hAnsi="Arial" w:cs="Arial"/>
                      <w:sz w:val="18"/>
                      <w:szCs w:val="18"/>
                    </w:rPr>
                  </w:pPr>
                </w:p>
                <w:p w14:paraId="22B2D5EA" w14:textId="77777777" w:rsidR="00A02DED" w:rsidRDefault="00A02DED" w:rsidP="00915826">
                  <w:pPr>
                    <w:rPr>
                      <w:rFonts w:ascii="Arial" w:hAnsi="Arial" w:cs="Arial"/>
                      <w:sz w:val="18"/>
                      <w:szCs w:val="18"/>
                    </w:rPr>
                  </w:pPr>
                </w:p>
              </w:tc>
              <w:tc>
                <w:tcPr>
                  <w:tcW w:w="4428"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41C531C6" w14:textId="77777777" w:rsidR="00A02DED" w:rsidRDefault="00A02DED" w:rsidP="00915826">
                  <w:pPr>
                    <w:rPr>
                      <w:rFonts w:ascii="Arial" w:hAnsi="Arial" w:cs="Arial"/>
                      <w:sz w:val="18"/>
                      <w:szCs w:val="18"/>
                    </w:rPr>
                  </w:pPr>
                  <w:r>
                    <w:rPr>
                      <w:rFonts w:ascii="Arial" w:hAnsi="Arial" w:cs="Arial"/>
                      <w:sz w:val="18"/>
                      <w:szCs w:val="18"/>
                    </w:rPr>
                    <w:lastRenderedPageBreak/>
                    <w:t xml:space="preserve">4.7.3.1. taikant Valstybės duomenų agentūros (toliau – Agentūra) tinklapyje </w:t>
                  </w:r>
                  <w:r>
                    <w:rPr>
                      <w:rFonts w:ascii="Arial" w:hAnsi="Arial" w:cs="Arial"/>
                      <w:sz w:val="18"/>
                      <w:szCs w:val="18"/>
                    </w:rPr>
                    <w:lastRenderedPageBreak/>
                    <w:t>http://osp.stat.gov.lt/, rodiklių duomenų bazėje, statistikos srityje „Gyventojai ir socialinė statistika“, dalyje „Darbo užmokestis ir darbo sąnaudos“, skiltyje „Darbo užmokesčio rodikliai (ketvirtiniai ir metiniai)“, paskelbtus ketvirtinius Darbo užmokesčio (valandinio bruto) eurais Lietuvos rinkoje rodiklius pagal ekonominės veikos rodiklį „J58_TO_J63 Informacija ir ryšiai (toliau – J58_TO_J63);</w:t>
                  </w:r>
                </w:p>
                <w:p w14:paraId="45134282" w14:textId="77777777" w:rsidR="00A02DED" w:rsidRDefault="00A02DED" w:rsidP="00915826">
                  <w:pPr>
                    <w:rPr>
                      <w:rFonts w:ascii="Arial" w:hAnsi="Arial" w:cs="Arial"/>
                      <w:sz w:val="18"/>
                      <w:szCs w:val="18"/>
                    </w:rPr>
                  </w:pPr>
                  <w:r>
                    <w:rPr>
                      <w:rFonts w:ascii="Arial" w:hAnsi="Arial" w:cs="Arial"/>
                      <w:sz w:val="18"/>
                      <w:szCs w:val="18"/>
                    </w:rPr>
                    <w:t>4.7.3.2. perskaičiuojant Sutarties 2 priede nurodytus Paslaugų įkainius;</w:t>
                  </w:r>
                </w:p>
                <w:p w14:paraId="0EEB5D4E" w14:textId="77777777" w:rsidR="00A02DED" w:rsidRDefault="00A02DED" w:rsidP="00915826">
                  <w:pPr>
                    <w:rPr>
                      <w:rFonts w:ascii="Arial" w:hAnsi="Arial" w:cs="Arial"/>
                      <w:sz w:val="18"/>
                      <w:szCs w:val="18"/>
                    </w:rPr>
                  </w:pPr>
                  <w:r>
                    <w:rPr>
                      <w:rFonts w:ascii="Arial" w:hAnsi="Arial" w:cs="Arial"/>
                      <w:sz w:val="18"/>
                      <w:szCs w:val="18"/>
                    </w:rPr>
                    <w:t>4.7.3.3. taikant perskaičiavimo koeficientą, lygų Sutarties 4.7.3.1 punkte nurodyto rodiklio paskutinio paskelbto ketvirčio pokyčiui, palyginti su praėjusių metų atitinkamu ketvirčiu;</w:t>
                  </w:r>
                </w:p>
                <w:p w14:paraId="76673846" w14:textId="77777777" w:rsidR="00A02DED" w:rsidRDefault="00A02DED" w:rsidP="00915826">
                  <w:pPr>
                    <w:rPr>
                      <w:rFonts w:ascii="Arial" w:hAnsi="Arial" w:cs="Arial"/>
                      <w:sz w:val="18"/>
                      <w:szCs w:val="18"/>
                    </w:rPr>
                  </w:pPr>
                  <w:r>
                    <w:rPr>
                      <w:rFonts w:ascii="Arial" w:hAnsi="Arial" w:cs="Arial"/>
                      <w:sz w:val="18"/>
                      <w:szCs w:val="18"/>
                    </w:rPr>
                    <w:t>4.7.3.4. kainų perskaičiavimas pagal šią Sutartį atliekamas ne dažniau kaip 1 (vieną) kartą per 1 (vienerius) metus ir ne anksčiau kaip po 4.7.2 p. nurodyto termino;</w:t>
                  </w:r>
                </w:p>
                <w:p w14:paraId="70E6C572" w14:textId="77777777" w:rsidR="00A02DED" w:rsidRDefault="00A02DED" w:rsidP="00915826">
                  <w:pPr>
                    <w:rPr>
                      <w:rFonts w:ascii="Arial" w:hAnsi="Arial" w:cs="Arial"/>
                      <w:sz w:val="18"/>
                      <w:szCs w:val="18"/>
                    </w:rPr>
                  </w:pPr>
                  <w:r>
                    <w:rPr>
                      <w:rFonts w:ascii="Arial" w:hAnsi="Arial" w:cs="Arial"/>
                      <w:sz w:val="18"/>
                      <w:szCs w:val="18"/>
                    </w:rPr>
                    <w:t xml:space="preserve">4.7.3.5. kainų perskaičiavimas pagal šią Sutartį atliekamas tik tuo atveju, jeigu Sutarties 4.7.3.1. punkte nurodyto rodiklio pokytis (padidėjimas ar </w:t>
                  </w:r>
                  <w:r w:rsidRPr="007E689C">
                    <w:rPr>
                      <w:rFonts w:ascii="Arial" w:hAnsi="Arial" w:cs="Arial"/>
                      <w:sz w:val="18"/>
                      <w:szCs w:val="18"/>
                    </w:rPr>
                    <w:t>sumažėjimas), palyginti su praėjusių metų atitinkamu ketvirčiu yra ne mažiau kaip +/- 5 (penkiolika) procentų.</w:t>
                  </w:r>
                </w:p>
              </w:tc>
            </w:tr>
            <w:tr w:rsidR="00A02DED" w14:paraId="791AE0CE" w14:textId="77777777" w:rsidTr="00915826">
              <w:trPr>
                <w:trHeight w:val="146"/>
              </w:trPr>
              <w:tc>
                <w:tcPr>
                  <w:tcW w:w="772" w:type="dxa"/>
                  <w:tcBorders>
                    <w:top w:val="nil"/>
                    <w:left w:val="single" w:sz="8" w:space="0" w:color="000000"/>
                    <w:bottom w:val="single" w:sz="8" w:space="0" w:color="000000"/>
                    <w:right w:val="single" w:sz="8" w:space="0" w:color="000000"/>
                  </w:tcBorders>
                  <w:shd w:val="clear" w:color="auto" w:fill="F2F2F2"/>
                  <w:tcMar>
                    <w:top w:w="0" w:type="dxa"/>
                    <w:left w:w="108" w:type="dxa"/>
                    <w:bottom w:w="0" w:type="dxa"/>
                    <w:right w:w="108" w:type="dxa"/>
                  </w:tcMar>
                  <w:vAlign w:val="center"/>
                  <w:hideMark/>
                </w:tcPr>
                <w:p w14:paraId="69426AA1" w14:textId="77777777" w:rsidR="00A02DED" w:rsidRDefault="00A02DED" w:rsidP="00915826">
                  <w:pPr>
                    <w:rPr>
                      <w:rFonts w:ascii="Arial" w:hAnsi="Arial" w:cs="Arial"/>
                      <w:sz w:val="18"/>
                      <w:szCs w:val="18"/>
                    </w:rPr>
                  </w:pPr>
                  <w:r>
                    <w:rPr>
                      <w:rFonts w:ascii="Arial" w:hAnsi="Arial" w:cs="Arial"/>
                      <w:color w:val="000000"/>
                      <w:sz w:val="18"/>
                      <w:szCs w:val="18"/>
                    </w:rPr>
                    <w:lastRenderedPageBreak/>
                    <w:t>4.7.4. Sutarties kainos peržiūros formulė</w:t>
                  </w:r>
                </w:p>
              </w:tc>
              <w:tc>
                <w:tcPr>
                  <w:tcW w:w="4428"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340195BB" w14:textId="77777777" w:rsidR="00A02DED" w:rsidRDefault="00A02DED" w:rsidP="00915826">
                  <w:pPr>
                    <w:rPr>
                      <w:rFonts w:ascii="Arial" w:hAnsi="Arial" w:cs="Arial"/>
                      <w:sz w:val="18"/>
                      <w:szCs w:val="18"/>
                    </w:rPr>
                  </w:pPr>
                  <w:r>
                    <w:rPr>
                      <w:rFonts w:ascii="Arial" w:hAnsi="Arial" w:cs="Arial"/>
                      <w:noProof/>
                      <w:sz w:val="18"/>
                      <w:szCs w:val="18"/>
                      <w:lang w:val="en-US"/>
                    </w:rPr>
                    <w:drawing>
                      <wp:inline distT="0" distB="0" distL="0" distR="0" wp14:anchorId="5A102B76" wp14:editId="396024C9">
                        <wp:extent cx="1543050" cy="209550"/>
                        <wp:effectExtent l="0" t="0" r="0" b="0"/>
                        <wp:docPr id="616268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543050" cy="209550"/>
                                </a:xfrm>
                                <a:prstGeom prst="rect">
                                  <a:avLst/>
                                </a:prstGeom>
                                <a:noFill/>
                                <a:ln>
                                  <a:noFill/>
                                </a:ln>
                              </pic:spPr>
                            </pic:pic>
                          </a:graphicData>
                        </a:graphic>
                      </wp:inline>
                    </w:drawing>
                  </w:r>
                </w:p>
                <w:p w14:paraId="3BD9E859" w14:textId="77777777" w:rsidR="00A02DED" w:rsidRDefault="00A02DED" w:rsidP="00915826">
                  <w:pPr>
                    <w:rPr>
                      <w:rFonts w:ascii="Arial" w:hAnsi="Arial" w:cs="Arial"/>
                      <w:sz w:val="18"/>
                      <w:szCs w:val="18"/>
                    </w:rPr>
                  </w:pPr>
                </w:p>
                <w:p w14:paraId="31B367C3" w14:textId="77777777" w:rsidR="00A02DED" w:rsidRDefault="00A02DED" w:rsidP="00915826">
                  <w:pPr>
                    <w:rPr>
                      <w:rFonts w:ascii="Arial" w:hAnsi="Arial" w:cs="Arial"/>
                      <w:sz w:val="18"/>
                      <w:szCs w:val="18"/>
                    </w:rPr>
                  </w:pPr>
                  <w:r>
                    <w:rPr>
                      <w:rFonts w:ascii="Arial" w:hAnsi="Arial" w:cs="Arial"/>
                      <w:sz w:val="18"/>
                      <w:szCs w:val="18"/>
                    </w:rPr>
                    <w:t>Cpn – perskaičiuotas Paslaugoms taikomas įkainis;</w:t>
                  </w:r>
                </w:p>
                <w:p w14:paraId="4AA07DFA" w14:textId="77777777" w:rsidR="00A02DED" w:rsidRDefault="00A02DED" w:rsidP="00915826">
                  <w:pPr>
                    <w:rPr>
                      <w:rFonts w:ascii="Arial" w:hAnsi="Arial" w:cs="Arial"/>
                      <w:sz w:val="18"/>
                      <w:szCs w:val="18"/>
                    </w:rPr>
                  </w:pPr>
                  <w:r>
                    <w:rPr>
                      <w:rFonts w:ascii="Arial" w:hAnsi="Arial" w:cs="Arial"/>
                      <w:sz w:val="18"/>
                      <w:szCs w:val="18"/>
                    </w:rPr>
                    <w:t>Sn – Sutartyje numatytas Paslaugoms taikomas įkainis;</w:t>
                  </w:r>
                </w:p>
                <w:p w14:paraId="0A0DCD5E" w14:textId="77777777" w:rsidR="00A02DED" w:rsidRDefault="00A02DED" w:rsidP="00915826">
                  <w:pPr>
                    <w:rPr>
                      <w:rFonts w:ascii="Arial" w:hAnsi="Arial" w:cs="Arial"/>
                      <w:sz w:val="18"/>
                      <w:szCs w:val="18"/>
                    </w:rPr>
                  </w:pPr>
                  <w:r>
                    <w:rPr>
                      <w:rFonts w:ascii="Arial" w:hAnsi="Arial" w:cs="Arial"/>
                      <w:sz w:val="18"/>
                      <w:szCs w:val="18"/>
                    </w:rPr>
                    <w:t>I – darbo užmokesčio (valandinio bruto) pokytis procentais (dviejų skaičių po kablelio tikslumu), pagal ekonominės veiklos rūšies rodiklį J58_TO_J63, apskaičiuotas paskutinio paskelbto ketvirčio rodiklį palyginti su praėjusių metų atitinkamo ketvirčio rodikliu;</w:t>
                  </w:r>
                </w:p>
                <w:p w14:paraId="4E8C580E" w14:textId="77777777" w:rsidR="00A02DED" w:rsidRDefault="00A02DED" w:rsidP="00915826">
                  <w:pPr>
                    <w:rPr>
                      <w:rFonts w:ascii="Arial" w:hAnsi="Arial" w:cs="Arial"/>
                      <w:sz w:val="18"/>
                      <w:szCs w:val="18"/>
                    </w:rPr>
                  </w:pPr>
                  <w:r w:rsidRPr="007E689C">
                    <w:rPr>
                      <w:rFonts w:ascii="Arial" w:hAnsi="Arial" w:cs="Arial"/>
                      <w:sz w:val="18"/>
                      <w:szCs w:val="18"/>
                    </w:rPr>
                    <w:t>X – reikšmė priklauso nuo I reikšmės. Jeigu I &lt;-5 proc. tai X = -5 proc., jei I &gt; +5 proc. tai X = +5 proc.</w:t>
                  </w:r>
                </w:p>
              </w:tc>
            </w:tr>
          </w:tbl>
          <w:p w14:paraId="172F493B" w14:textId="77777777" w:rsidR="00A02DED" w:rsidRPr="00D9015E" w:rsidRDefault="00A02DED" w:rsidP="00915826">
            <w:pPr>
              <w:rPr>
                <w:rFonts w:ascii="Arial" w:hAnsi="Arial" w:cs="Arial"/>
                <w:sz w:val="20"/>
                <w:szCs w:val="20"/>
              </w:rPr>
            </w:pPr>
          </w:p>
        </w:tc>
      </w:tr>
      <w:tr w:rsidR="00A02DED" w:rsidRPr="00D9015E" w14:paraId="6CF9E336" w14:textId="77777777" w:rsidTr="00A02DED">
        <w:tc>
          <w:tcPr>
            <w:tcW w:w="286" w:type="pct"/>
            <w:vAlign w:val="center"/>
          </w:tcPr>
          <w:p w14:paraId="3B588EBA" w14:textId="77777777" w:rsidR="00A02DED" w:rsidRDefault="00A02DED" w:rsidP="00915826">
            <w:pPr>
              <w:jc w:val="center"/>
              <w:rPr>
                <w:rFonts w:ascii="Arial" w:hAnsi="Arial" w:cs="Arial"/>
                <w:sz w:val="20"/>
                <w:szCs w:val="20"/>
                <w:lang w:val="en-US"/>
              </w:rPr>
            </w:pPr>
            <w:r>
              <w:rPr>
                <w:rFonts w:ascii="Arial" w:hAnsi="Arial" w:cs="Arial"/>
                <w:sz w:val="20"/>
                <w:szCs w:val="20"/>
                <w:lang w:val="en-US"/>
              </w:rPr>
              <w:lastRenderedPageBreak/>
              <w:t xml:space="preserve">9. </w:t>
            </w:r>
          </w:p>
        </w:tc>
        <w:tc>
          <w:tcPr>
            <w:tcW w:w="1891" w:type="pct"/>
            <w:vAlign w:val="center"/>
          </w:tcPr>
          <w:p w14:paraId="4F684C43" w14:textId="77777777" w:rsidR="00A02DED" w:rsidRPr="00D9015E" w:rsidRDefault="00A02DED" w:rsidP="00915826">
            <w:pPr>
              <w:rPr>
                <w:rFonts w:ascii="Arial" w:hAnsi="Arial" w:cs="Arial"/>
                <w:sz w:val="20"/>
                <w:szCs w:val="20"/>
              </w:rPr>
            </w:pPr>
            <w:r w:rsidRPr="00D9015E">
              <w:rPr>
                <w:rFonts w:ascii="Arial" w:hAnsi="Arial" w:cs="Arial"/>
                <w:sz w:val="20"/>
                <w:szCs w:val="20"/>
              </w:rPr>
              <w:t>Paslaugų teikimo rinkoje įprasta, kad paslaugų teikėjo atsakomybė ribojama ir siejama su suteikiamų paslaugų verte (išskyrus atvejus, kai tai imperatyviai draudžia teisės aktai). Dėl šios priežasties siūlome pakoreguoti nuostatas dėl atsakomybės dydžio bei numatyti, kad atlyginami tik tiesioginiai nuostoliai, kadangi neapibrėžtų nuostolių atlyginimas ženkliai didina veiklos riziką ir paslaugų kainą.</w:t>
            </w:r>
          </w:p>
          <w:p w14:paraId="6F42863F" w14:textId="77777777" w:rsidR="00A02DED" w:rsidRPr="00D9015E" w:rsidRDefault="00A02DED" w:rsidP="00915826">
            <w:pPr>
              <w:rPr>
                <w:rFonts w:ascii="Arial" w:hAnsi="Arial" w:cs="Arial"/>
                <w:sz w:val="20"/>
                <w:szCs w:val="20"/>
              </w:rPr>
            </w:pPr>
            <w:r w:rsidRPr="00D9015E">
              <w:rPr>
                <w:rFonts w:ascii="Arial" w:hAnsi="Arial" w:cs="Arial"/>
                <w:sz w:val="20"/>
                <w:szCs w:val="20"/>
              </w:rPr>
              <w:t>Siūlome papildyti Sutarties Specialiąsias sąlygas nauju punktu ir jį išdėstyti taip:</w:t>
            </w:r>
          </w:p>
          <w:p w14:paraId="66250BE8" w14:textId="77777777" w:rsidR="00A02DED" w:rsidRPr="00D9015E" w:rsidRDefault="00A02DED" w:rsidP="00915826">
            <w:pPr>
              <w:rPr>
                <w:rFonts w:ascii="Arial" w:hAnsi="Arial" w:cs="Arial"/>
                <w:sz w:val="20"/>
                <w:szCs w:val="20"/>
              </w:rPr>
            </w:pPr>
            <w:r w:rsidRPr="00D9015E">
              <w:rPr>
                <w:rFonts w:ascii="Arial" w:hAnsi="Arial" w:cs="Arial"/>
                <w:sz w:val="20"/>
                <w:szCs w:val="20"/>
              </w:rPr>
              <w:t>„Esant Paslaugų teikėjo atsakomybei už bet kurio Paslaugų teikėjo sutartinio įsipareigojimo nevykdymą ar netinkamą vykdymą, Paslaugų teikėjas privalo atlyginti tik tiesioginius Paslaugų teikėjo patirtus nuostolius ir atlygintinų nuostolių dydis ribojamas Sutarties kaina.“</w:t>
            </w:r>
          </w:p>
        </w:tc>
        <w:tc>
          <w:tcPr>
            <w:tcW w:w="2823" w:type="pct"/>
          </w:tcPr>
          <w:p w14:paraId="3646A836" w14:textId="77777777" w:rsidR="00A02DED" w:rsidRPr="007E689C" w:rsidRDefault="00A02DED" w:rsidP="00915826">
            <w:pPr>
              <w:rPr>
                <w:rFonts w:ascii="Arial" w:hAnsi="Arial" w:cs="Arial"/>
                <w:sz w:val="20"/>
                <w:szCs w:val="20"/>
              </w:rPr>
            </w:pPr>
            <w:r w:rsidRPr="007E689C">
              <w:rPr>
                <w:rFonts w:ascii="Arial" w:hAnsi="Arial" w:cs="Arial"/>
                <w:sz w:val="20"/>
                <w:szCs w:val="20"/>
              </w:rPr>
              <w:t xml:space="preserve">Paslauga bus susijusi ir su asmens duomenų tvarkymo veiksmais, todėl </w:t>
            </w:r>
            <w:r>
              <w:rPr>
                <w:rFonts w:ascii="Arial" w:hAnsi="Arial" w:cs="Arial"/>
                <w:sz w:val="20"/>
                <w:szCs w:val="20"/>
              </w:rPr>
              <w:t>Pirkėjas</w:t>
            </w:r>
            <w:r w:rsidRPr="007E689C">
              <w:rPr>
                <w:rFonts w:ascii="Arial" w:hAnsi="Arial" w:cs="Arial"/>
                <w:sz w:val="20"/>
                <w:szCs w:val="20"/>
              </w:rPr>
              <w:t xml:space="preserve"> nemato galimybės riboti atsakomybės</w:t>
            </w:r>
            <w:r>
              <w:rPr>
                <w:rFonts w:ascii="Arial" w:hAnsi="Arial" w:cs="Arial"/>
                <w:sz w:val="20"/>
                <w:szCs w:val="20"/>
              </w:rPr>
              <w:t xml:space="preserve"> ir minėtos Sutarties specialiosios sąlygos nebus pildomos ar keičiamos.</w:t>
            </w:r>
          </w:p>
          <w:p w14:paraId="4FAFECCB" w14:textId="77777777" w:rsidR="00A02DED" w:rsidRPr="007E689C" w:rsidRDefault="00A02DED" w:rsidP="00915826">
            <w:pPr>
              <w:rPr>
                <w:rFonts w:ascii="Arial" w:hAnsi="Arial" w:cs="Arial"/>
                <w:sz w:val="20"/>
                <w:szCs w:val="20"/>
              </w:rPr>
            </w:pPr>
          </w:p>
          <w:p w14:paraId="2B1C0509" w14:textId="77777777" w:rsidR="00A02DED" w:rsidRPr="00D9015E" w:rsidRDefault="00A02DED" w:rsidP="00915826">
            <w:pPr>
              <w:rPr>
                <w:rFonts w:ascii="Arial" w:hAnsi="Arial" w:cs="Arial"/>
                <w:sz w:val="20"/>
                <w:szCs w:val="20"/>
              </w:rPr>
            </w:pPr>
          </w:p>
        </w:tc>
      </w:tr>
      <w:tr w:rsidR="00A02DED" w:rsidRPr="00D9015E" w14:paraId="12DA4184" w14:textId="77777777" w:rsidTr="00A02DED">
        <w:tc>
          <w:tcPr>
            <w:tcW w:w="286" w:type="pct"/>
            <w:vAlign w:val="center"/>
          </w:tcPr>
          <w:p w14:paraId="498E909E" w14:textId="77777777" w:rsidR="00A02DED" w:rsidRDefault="00A02DED" w:rsidP="00915826">
            <w:pPr>
              <w:jc w:val="center"/>
              <w:rPr>
                <w:rFonts w:ascii="Arial" w:hAnsi="Arial" w:cs="Arial"/>
                <w:sz w:val="20"/>
                <w:szCs w:val="20"/>
                <w:lang w:val="en-US"/>
              </w:rPr>
            </w:pPr>
            <w:r>
              <w:rPr>
                <w:rFonts w:ascii="Arial" w:hAnsi="Arial" w:cs="Arial"/>
                <w:sz w:val="20"/>
                <w:szCs w:val="20"/>
                <w:lang w:val="en-US"/>
              </w:rPr>
              <w:lastRenderedPageBreak/>
              <w:t>10.</w:t>
            </w:r>
          </w:p>
        </w:tc>
        <w:tc>
          <w:tcPr>
            <w:tcW w:w="1891" w:type="pct"/>
            <w:vAlign w:val="center"/>
          </w:tcPr>
          <w:p w14:paraId="7D4EDCEE" w14:textId="77777777" w:rsidR="00A02DED" w:rsidRPr="00D9015E" w:rsidRDefault="00A02DED" w:rsidP="00915826">
            <w:pPr>
              <w:rPr>
                <w:rFonts w:ascii="Arial" w:hAnsi="Arial" w:cs="Arial"/>
                <w:sz w:val="20"/>
                <w:szCs w:val="20"/>
              </w:rPr>
            </w:pPr>
            <w:r w:rsidRPr="008B5CA3">
              <w:rPr>
                <w:rFonts w:ascii="Arial" w:hAnsi="Arial" w:cs="Arial"/>
                <w:sz w:val="20"/>
                <w:szCs w:val="20"/>
              </w:rPr>
              <w:t>Klausimai dėl susitarimo dėl asmens duomenų tvarkymo projekto 1 priedo</w:t>
            </w:r>
            <w:r w:rsidRPr="008B5CA3">
              <w:rPr>
                <w:rFonts w:ascii="Arial" w:hAnsi="Arial" w:cs="Arial"/>
                <w:sz w:val="20"/>
                <w:szCs w:val="20"/>
              </w:rPr>
              <w:br/>
              <w:t>II dallies 6 punktas</w:t>
            </w:r>
            <w:r w:rsidRPr="008B5CA3">
              <w:rPr>
                <w:rFonts w:ascii="Arial" w:hAnsi="Arial" w:cs="Arial"/>
                <w:sz w:val="20"/>
                <w:szCs w:val="20"/>
              </w:rPr>
              <w:br/>
              <w:t>Jei parengti sąrašai laikomi google drive atskiruose klientų folderiuose, ar tai tinkama?</w:t>
            </w:r>
            <w:r w:rsidRPr="008B5CA3">
              <w:rPr>
                <w:rFonts w:ascii="Arial" w:hAnsi="Arial" w:cs="Arial"/>
                <w:sz w:val="20"/>
                <w:szCs w:val="20"/>
              </w:rPr>
              <w:br/>
              <w:t>Ar tinkama, jei darbuotojai dalinasi darbo vieta ir tvarko skirtingų klientų duomenis?</w:t>
            </w:r>
          </w:p>
        </w:tc>
        <w:tc>
          <w:tcPr>
            <w:tcW w:w="2823" w:type="pct"/>
          </w:tcPr>
          <w:p w14:paraId="557E8701" w14:textId="77777777" w:rsidR="00A02DED" w:rsidRPr="009C0CE4" w:rsidRDefault="00A02DED" w:rsidP="00915826">
            <w:pPr>
              <w:rPr>
                <w:rFonts w:ascii="Arial" w:hAnsi="Arial" w:cs="Arial"/>
                <w:sz w:val="20"/>
                <w:szCs w:val="20"/>
              </w:rPr>
            </w:pPr>
            <w:r w:rsidRPr="009C0CE4">
              <w:rPr>
                <w:rFonts w:ascii="Arial" w:hAnsi="Arial" w:cs="Arial"/>
                <w:sz w:val="20"/>
                <w:szCs w:val="20"/>
              </w:rPr>
              <w:t>Perkančioji organizacija, kaip duomenų valdytojas, nenustato ir nepatvirtina konkrečių technologinių ar organizacinių sprendimų, kuriuos duomenų tvarkytojas pasitelkia asmens duomenų tvarkymui vykdydamas Sutartį.</w:t>
            </w:r>
          </w:p>
          <w:p w14:paraId="720E049B" w14:textId="77777777" w:rsidR="00A02DED" w:rsidRPr="009C0CE4" w:rsidRDefault="00A02DED" w:rsidP="00915826">
            <w:pPr>
              <w:rPr>
                <w:rFonts w:ascii="Arial" w:hAnsi="Arial" w:cs="Arial"/>
                <w:sz w:val="20"/>
                <w:szCs w:val="20"/>
              </w:rPr>
            </w:pPr>
            <w:r w:rsidRPr="009C0CE4">
              <w:rPr>
                <w:rFonts w:ascii="Arial" w:hAnsi="Arial" w:cs="Arial"/>
                <w:sz w:val="20"/>
                <w:szCs w:val="20"/>
              </w:rPr>
              <w:t>Vadovaujantis 2016 m. balandžio 27 d. Europos Parlamento ir Tarybos reglamentu (ES) 2016/679 (BDAR) 32 straipsniu bei Asmens duomenų tvarkymo susitarimo nuostatomis, duomenų tvarkytojas yra atsakingas už tinkamų techninių ir organizacinių priemonių parinkimą ir įgyvendinimą ir nuolatinį jų veiksmingumo užtikrinimą, atsižvelgdamas į duomenų tvarkymo pobūdį, apimtį, kontekstą ir rizikas.</w:t>
            </w:r>
          </w:p>
          <w:p w14:paraId="1ED3A6F2" w14:textId="77777777" w:rsidR="00A02DED" w:rsidRPr="009C0CE4" w:rsidRDefault="00A02DED" w:rsidP="00915826">
            <w:pPr>
              <w:rPr>
                <w:rFonts w:ascii="Arial" w:hAnsi="Arial" w:cs="Arial"/>
                <w:sz w:val="20"/>
                <w:szCs w:val="20"/>
              </w:rPr>
            </w:pPr>
            <w:r w:rsidRPr="009C0CE4">
              <w:rPr>
                <w:rFonts w:ascii="Arial" w:hAnsi="Arial" w:cs="Arial"/>
                <w:sz w:val="20"/>
                <w:szCs w:val="20"/>
              </w:rPr>
              <w:t>Duomenų tvarkymo organizavimas naudojant tokias priemones kaip debesijos saugyklos (pvz., „Google Drive“) ar bendros darbo vietos yra galimas tiek, kiek duomenų tvarkytojas užtikrina taikomų teisės aktų ir Asmens duomenų tvarkymo susitarimo reikalavimų laikymąsi, įskaitant tinkamą prieigos valdymą, naudotojų identifikavimą, duomenų atskyrimą pagal poreikį ir kitas atitinkamas saugumo priemones.</w:t>
            </w:r>
          </w:p>
          <w:p w14:paraId="38B85679" w14:textId="77777777" w:rsidR="00A02DED" w:rsidRPr="00D9015E" w:rsidRDefault="00A02DED" w:rsidP="00915826">
            <w:pPr>
              <w:rPr>
                <w:rFonts w:ascii="Arial" w:hAnsi="Arial" w:cs="Arial"/>
                <w:sz w:val="20"/>
                <w:szCs w:val="20"/>
              </w:rPr>
            </w:pPr>
            <w:r w:rsidRPr="009C0CE4">
              <w:rPr>
                <w:rFonts w:ascii="Arial" w:hAnsi="Arial" w:cs="Arial"/>
                <w:sz w:val="20"/>
                <w:szCs w:val="20"/>
              </w:rPr>
              <w:t>Duomenų tvarkytojas yra pilnai atsakingas už pasirinktų priemonių tinkamumą, jų atitiktį BDAR reikalavimams bei su tuo susijusių rizikų įvertinimą ir valdymą.</w:t>
            </w:r>
          </w:p>
        </w:tc>
      </w:tr>
    </w:tbl>
    <w:p w14:paraId="6C82FB66" w14:textId="77777777" w:rsidR="000E7709" w:rsidRPr="00C9006A" w:rsidRDefault="000E7709" w:rsidP="000E7709">
      <w:pPr>
        <w:spacing w:after="120"/>
        <w:jc w:val="both"/>
        <w:rPr>
          <w:rFonts w:ascii="Arial" w:hAnsi="Arial" w:cs="Arial"/>
          <w:b/>
          <w:sz w:val="20"/>
          <w:szCs w:val="20"/>
          <w:lang w:val="en-US"/>
        </w:rPr>
      </w:pPr>
      <w:r w:rsidRPr="00446C99">
        <w:rPr>
          <w:rFonts w:ascii="Arial" w:hAnsi="Arial" w:cs="Arial"/>
          <w:b/>
          <w:sz w:val="20"/>
          <w:szCs w:val="20"/>
        </w:rPr>
        <w:tab/>
        <w:t xml:space="preserve">        </w:t>
      </w:r>
    </w:p>
    <w:p w14:paraId="77F36F43" w14:textId="77777777" w:rsidR="000E7709" w:rsidRPr="00446C99" w:rsidRDefault="000E7709" w:rsidP="000E7709">
      <w:pPr>
        <w:spacing w:before="40" w:after="40"/>
        <w:jc w:val="both"/>
        <w:rPr>
          <w:rFonts w:ascii="Arial" w:hAnsi="Arial" w:cs="Arial"/>
          <w:sz w:val="20"/>
          <w:szCs w:val="20"/>
        </w:rPr>
      </w:pPr>
    </w:p>
    <w:p w14:paraId="51005D3E" w14:textId="77777777" w:rsidR="000E7709" w:rsidRDefault="000E7709" w:rsidP="000E7709">
      <w:pPr>
        <w:spacing w:before="40" w:after="40"/>
        <w:jc w:val="both"/>
        <w:rPr>
          <w:rFonts w:ascii="Arial" w:hAnsi="Arial" w:cs="Arial"/>
          <w:sz w:val="20"/>
          <w:szCs w:val="20"/>
        </w:rPr>
      </w:pPr>
    </w:p>
    <w:p w14:paraId="1605EFC3" w14:textId="77777777" w:rsidR="000E7709" w:rsidRPr="00446C99" w:rsidRDefault="000E7709" w:rsidP="000E7709">
      <w:pPr>
        <w:spacing w:before="40" w:after="40"/>
        <w:jc w:val="both"/>
        <w:rPr>
          <w:rFonts w:ascii="Arial" w:hAnsi="Arial" w:cs="Arial"/>
          <w:sz w:val="20"/>
          <w:szCs w:val="20"/>
        </w:rPr>
      </w:pPr>
    </w:p>
    <w:p w14:paraId="7CCBD651" w14:textId="77777777" w:rsidR="000E7709" w:rsidRDefault="000E7709" w:rsidP="000E7709">
      <w:pPr>
        <w:spacing w:before="40" w:after="40"/>
        <w:jc w:val="both"/>
        <w:rPr>
          <w:rFonts w:ascii="Arial" w:hAnsi="Arial" w:cs="Arial"/>
          <w:sz w:val="20"/>
          <w:szCs w:val="20"/>
        </w:rPr>
      </w:pPr>
      <w:r>
        <w:rPr>
          <w:rFonts w:ascii="Arial" w:hAnsi="Arial" w:cs="Arial"/>
          <w:sz w:val="20"/>
          <w:szCs w:val="20"/>
        </w:rPr>
        <w:t>Pagarbiai,</w:t>
      </w:r>
    </w:p>
    <w:p w14:paraId="32E9D065" w14:textId="77777777" w:rsidR="000E7709" w:rsidRPr="00316697" w:rsidRDefault="000E7709" w:rsidP="000E7709">
      <w:pPr>
        <w:spacing w:before="40" w:after="40"/>
        <w:jc w:val="both"/>
        <w:rPr>
          <w:rFonts w:ascii="Arial" w:hAnsi="Arial" w:cs="Arial"/>
          <w:sz w:val="20"/>
          <w:szCs w:val="20"/>
        </w:rPr>
      </w:pPr>
      <w:r>
        <w:rPr>
          <w:rFonts w:ascii="Arial" w:hAnsi="Arial" w:cs="Arial"/>
          <w:sz w:val="20"/>
          <w:szCs w:val="20"/>
        </w:rPr>
        <w:t>Mažos vertės viešųjų pirkimų komisija</w:t>
      </w:r>
    </w:p>
    <w:p w14:paraId="57D50380" w14:textId="77777777" w:rsidR="00AF050E" w:rsidRDefault="00AF050E"/>
    <w:sectPr w:rsidR="00AF050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8AC5C" w14:textId="77777777" w:rsidR="00ED369E" w:rsidRDefault="00ED369E" w:rsidP="000E7709">
      <w:r>
        <w:separator/>
      </w:r>
    </w:p>
  </w:endnote>
  <w:endnote w:type="continuationSeparator" w:id="0">
    <w:p w14:paraId="735D403B" w14:textId="77777777" w:rsidR="00ED369E" w:rsidRDefault="00ED369E" w:rsidP="000E7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9A3EE" w14:textId="77777777" w:rsidR="00ED369E" w:rsidRDefault="00ED369E" w:rsidP="000E7709">
      <w:r>
        <w:separator/>
      </w:r>
    </w:p>
  </w:footnote>
  <w:footnote w:type="continuationSeparator" w:id="0">
    <w:p w14:paraId="0B055C20" w14:textId="77777777" w:rsidR="00ED369E" w:rsidRDefault="00ED369E" w:rsidP="000E770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709"/>
    <w:rsid w:val="000E7709"/>
    <w:rsid w:val="00286B7F"/>
    <w:rsid w:val="004C7D08"/>
    <w:rsid w:val="007C3B4D"/>
    <w:rsid w:val="0081085D"/>
    <w:rsid w:val="00A02DED"/>
    <w:rsid w:val="00AF050E"/>
    <w:rsid w:val="00ED36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A67CE"/>
  <w15:chartTrackingRefBased/>
  <w15:docId w15:val="{545436A9-79A0-4B9E-87BD-A8A124A3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770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0E770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E770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E770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E770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0E770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0E770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0E770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0E770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0E770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770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E770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E770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E770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770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77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77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77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7709"/>
    <w:rPr>
      <w:rFonts w:eastAsiaTheme="majorEastAsia" w:cstheme="majorBidi"/>
      <w:color w:val="272727" w:themeColor="text1" w:themeTint="D8"/>
    </w:rPr>
  </w:style>
  <w:style w:type="paragraph" w:styleId="Title">
    <w:name w:val="Title"/>
    <w:basedOn w:val="Normal"/>
    <w:next w:val="Normal"/>
    <w:link w:val="TitleChar"/>
    <w:uiPriority w:val="10"/>
    <w:qFormat/>
    <w:rsid w:val="000E770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E77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770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E77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770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0E7709"/>
    <w:rPr>
      <w:i/>
      <w:iCs/>
      <w:color w:val="404040" w:themeColor="text1" w:themeTint="BF"/>
    </w:rPr>
  </w:style>
  <w:style w:type="paragraph" w:styleId="ListParagraph">
    <w:name w:val="List Paragraph"/>
    <w:basedOn w:val="Normal"/>
    <w:uiPriority w:val="34"/>
    <w:qFormat/>
    <w:rsid w:val="000E770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0E7709"/>
    <w:rPr>
      <w:i/>
      <w:iCs/>
      <w:color w:val="0F4761" w:themeColor="accent1" w:themeShade="BF"/>
    </w:rPr>
  </w:style>
  <w:style w:type="paragraph" w:styleId="IntenseQuote">
    <w:name w:val="Intense Quote"/>
    <w:basedOn w:val="Normal"/>
    <w:next w:val="Normal"/>
    <w:link w:val="IntenseQuoteChar"/>
    <w:uiPriority w:val="30"/>
    <w:qFormat/>
    <w:rsid w:val="000E770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0E7709"/>
    <w:rPr>
      <w:i/>
      <w:iCs/>
      <w:color w:val="0F4761" w:themeColor="accent1" w:themeShade="BF"/>
    </w:rPr>
  </w:style>
  <w:style w:type="character" w:styleId="IntenseReference">
    <w:name w:val="Intense Reference"/>
    <w:basedOn w:val="DefaultParagraphFont"/>
    <w:uiPriority w:val="32"/>
    <w:qFormat/>
    <w:rsid w:val="000E7709"/>
    <w:rPr>
      <w:b/>
      <w:bCs/>
      <w:smallCaps/>
      <w:color w:val="0F4761" w:themeColor="accent1" w:themeShade="BF"/>
      <w:spacing w:val="5"/>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0E7709"/>
    <w:rPr>
      <w:vertAlign w:val="superscript"/>
    </w:rPr>
  </w:style>
  <w:style w:type="table" w:styleId="TableGrid">
    <w:name w:val="Table Grid"/>
    <w:basedOn w:val="TableNormal"/>
    <w:uiPriority w:val="39"/>
    <w:rsid w:val="000E7709"/>
    <w:pPr>
      <w:spacing w:after="0" w:line="240" w:lineRule="auto"/>
    </w:pPr>
    <w:rPr>
      <w:rFonts w:ascii="Calibri" w:eastAsia="Calibri" w:hAnsi="Calibri"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basedOn w:val="Normal"/>
    <w:link w:val="FootnoteTextChar"/>
    <w:uiPriority w:val="99"/>
    <w:unhideWhenUsed/>
    <w:rsid w:val="000E7709"/>
    <w:rPr>
      <w:sz w:val="20"/>
      <w:szCs w:val="20"/>
    </w:rPr>
  </w:style>
  <w:style w:type="character" w:customStyle="1" w:styleId="FootnoteTextChar">
    <w:name w:val="Footnote Text Char"/>
    <w:basedOn w:val="DefaultParagraphFont"/>
    <w:link w:val="FootnoteText"/>
    <w:uiPriority w:val="99"/>
    <w:rsid w:val="000E7709"/>
    <w:rPr>
      <w:rFonts w:ascii="Times New Roman" w:eastAsia="Times New Roman" w:hAnsi="Times New Roman"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4.png@01DCE926.F02B7080"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6161</Words>
  <Characters>3513</Characters>
  <Application>Microsoft Office Word</Application>
  <DocSecurity>0</DocSecurity>
  <Lines>29</Lines>
  <Paragraphs>19</Paragraphs>
  <ScaleCrop>false</ScaleCrop>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Augustė Čiapaitė</dc:creator>
  <cp:keywords/>
  <dc:description/>
  <cp:lastModifiedBy>Augustė Čiapaitė</cp:lastModifiedBy>
  <cp:revision>2</cp:revision>
  <dcterms:created xsi:type="dcterms:W3CDTF">2026-05-22T12:13:00Z</dcterms:created>
  <dcterms:modified xsi:type="dcterms:W3CDTF">2026-05-22T12:13:00Z</dcterms:modified>
</cp:coreProperties>
</file>