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F48B" w14:textId="51A6CEDA" w:rsidR="00C022A8" w:rsidRDefault="009B3D5D" w:rsidP="007979D3">
      <w:pPr>
        <w:jc w:val="right"/>
        <w:rPr>
          <w:sz w:val="22"/>
          <w:szCs w:val="22"/>
        </w:rPr>
      </w:pPr>
      <w:r w:rsidRPr="008A2F12">
        <w:rPr>
          <w:sz w:val="22"/>
          <w:szCs w:val="22"/>
        </w:rPr>
        <w:t xml:space="preserve">Specialiųjų pirkimo sąlygų </w:t>
      </w:r>
      <w:r w:rsidR="002E29FF">
        <w:rPr>
          <w:sz w:val="22"/>
          <w:szCs w:val="22"/>
        </w:rPr>
        <w:t>11</w:t>
      </w:r>
      <w:r w:rsidRPr="008A2F12">
        <w:rPr>
          <w:sz w:val="22"/>
          <w:szCs w:val="22"/>
        </w:rPr>
        <w:t xml:space="preserve"> priedas „</w:t>
      </w:r>
      <w:r>
        <w:rPr>
          <w:sz w:val="22"/>
          <w:szCs w:val="22"/>
        </w:rPr>
        <w:t>S</w:t>
      </w:r>
      <w:r w:rsidRPr="009B3D5D">
        <w:rPr>
          <w:sz w:val="22"/>
          <w:szCs w:val="22"/>
        </w:rPr>
        <w:t>iūlomų specialistų sąrašas</w:t>
      </w:r>
    </w:p>
    <w:p w14:paraId="6E57ACA9" w14:textId="77777777" w:rsidR="00D013F6" w:rsidRDefault="00D013F6" w:rsidP="007979D3">
      <w:pPr>
        <w:jc w:val="right"/>
        <w:rPr>
          <w:sz w:val="22"/>
          <w:szCs w:val="22"/>
        </w:rPr>
      </w:pPr>
    </w:p>
    <w:p w14:paraId="58877A16" w14:textId="77777777" w:rsidR="00D013F6" w:rsidRDefault="00D013F6" w:rsidP="007D17D7">
      <w:pPr>
        <w:rPr>
          <w:sz w:val="22"/>
          <w:szCs w:val="22"/>
        </w:rPr>
      </w:pPr>
    </w:p>
    <w:p w14:paraId="0CCC2EE2" w14:textId="0F1D3E75" w:rsidR="007D17D7" w:rsidRDefault="00B803BC" w:rsidP="007D17D7">
      <w:pPr>
        <w:tabs>
          <w:tab w:val="left" w:pos="6840"/>
        </w:tabs>
        <w:jc w:val="center"/>
        <w:rPr>
          <w:rFonts w:asciiTheme="majorBidi" w:hAnsiTheme="majorBidi" w:cstheme="majorBidi"/>
          <w:b/>
          <w:bCs/>
          <w:sz w:val="22"/>
          <w:szCs w:val="22"/>
        </w:rPr>
      </w:pPr>
      <w:r>
        <w:rPr>
          <w:rFonts w:asciiTheme="majorBidi" w:hAnsiTheme="majorBidi" w:cstheme="majorBidi"/>
          <w:b/>
          <w:bCs/>
          <w:sz w:val="22"/>
          <w:szCs w:val="22"/>
        </w:rPr>
        <w:t xml:space="preserve">TIEKĖJO </w:t>
      </w:r>
      <w:r w:rsidR="007D17D7">
        <w:rPr>
          <w:rFonts w:asciiTheme="majorBidi" w:hAnsiTheme="majorBidi" w:cstheme="majorBidi"/>
          <w:b/>
          <w:bCs/>
          <w:sz w:val="22"/>
          <w:szCs w:val="22"/>
        </w:rPr>
        <w:t>SIŪLOMŲ SPECIALISTŲ SĄRAŠAS</w:t>
      </w:r>
    </w:p>
    <w:p w14:paraId="0318B094" w14:textId="77777777" w:rsidR="007D17D7" w:rsidRDefault="007D17D7" w:rsidP="007D17D7">
      <w:pPr>
        <w:spacing w:line="276" w:lineRule="auto"/>
        <w:rPr>
          <w:b/>
          <w:sz w:val="22"/>
          <w:szCs w:val="22"/>
        </w:rPr>
      </w:pPr>
    </w:p>
    <w:p w14:paraId="653ABE35" w14:textId="43716774" w:rsidR="007D17D7" w:rsidRPr="00737C81" w:rsidRDefault="00737C81" w:rsidP="00737C81">
      <w:pPr>
        <w:spacing w:after="60"/>
        <w:ind w:left="-426" w:firstLine="426"/>
        <w:rPr>
          <w:bCs/>
          <w:sz w:val="22"/>
        </w:rPr>
      </w:pPr>
      <w:r>
        <w:rPr>
          <w:bCs/>
        </w:rPr>
        <w:t>1 lentelė. Siūlomų specialistų sąrašas (lentelėje pateikiami duomenys, apie specialistus, kurie bus atsakingi už viešojo paslaugų pirkimo sutarties vykdymą):</w:t>
      </w:r>
    </w:p>
    <w:tbl>
      <w:tblPr>
        <w:tblW w:w="4773" w:type="pct"/>
        <w:tblLayout w:type="fixed"/>
        <w:tblLook w:val="04A0" w:firstRow="1" w:lastRow="0" w:firstColumn="1" w:lastColumn="0" w:noHBand="0" w:noVBand="1"/>
      </w:tblPr>
      <w:tblGrid>
        <w:gridCol w:w="1557"/>
        <w:gridCol w:w="1981"/>
        <w:gridCol w:w="5387"/>
        <w:gridCol w:w="5103"/>
      </w:tblGrid>
      <w:tr w:rsidR="000D44D0" w14:paraId="5BAAFF6A" w14:textId="4842DF85" w:rsidTr="000D44D0">
        <w:trPr>
          <w:trHeight w:val="70"/>
        </w:trPr>
        <w:tc>
          <w:tcPr>
            <w:tcW w:w="555" w:type="pct"/>
            <w:tcBorders>
              <w:top w:val="single" w:sz="4" w:space="0" w:color="auto"/>
              <w:left w:val="single" w:sz="4" w:space="0" w:color="auto"/>
              <w:bottom w:val="single" w:sz="8" w:space="0" w:color="auto"/>
              <w:right w:val="nil"/>
            </w:tcBorders>
            <w:shd w:val="clear" w:color="auto" w:fill="DEEAF6" w:themeFill="accent5" w:themeFillTint="33"/>
            <w:vAlign w:val="center"/>
            <w:hideMark/>
          </w:tcPr>
          <w:p w14:paraId="199FEA0D" w14:textId="77777777" w:rsidR="000D44D0" w:rsidRPr="00DA7B6F" w:rsidRDefault="000D44D0">
            <w:pPr>
              <w:spacing w:line="256" w:lineRule="auto"/>
              <w:jc w:val="center"/>
              <w:rPr>
                <w:b/>
                <w:i/>
                <w:iCs/>
                <w:kern w:val="2"/>
                <w:sz w:val="22"/>
                <w:szCs w:val="22"/>
                <w14:ligatures w14:val="standardContextual"/>
              </w:rPr>
            </w:pPr>
            <w:r w:rsidRPr="00DA7B6F">
              <w:rPr>
                <w:b/>
                <w:i/>
                <w:iCs/>
                <w:color w:val="000000"/>
                <w:kern w:val="2"/>
                <w:sz w:val="22"/>
                <w:szCs w:val="22"/>
                <w:lang w:eastAsia="lt-LT"/>
                <w14:ligatures w14:val="standardContextual"/>
              </w:rPr>
              <w:t>Kvalifikacijos reikalavimų lentelės eilutės numeris</w:t>
            </w:r>
          </w:p>
        </w:tc>
        <w:tc>
          <w:tcPr>
            <w:tcW w:w="706" w:type="pct"/>
            <w:tcBorders>
              <w:top w:val="single" w:sz="4" w:space="0" w:color="auto"/>
              <w:left w:val="single" w:sz="4" w:space="0" w:color="auto"/>
              <w:bottom w:val="single" w:sz="8" w:space="0" w:color="auto"/>
              <w:right w:val="nil"/>
            </w:tcBorders>
            <w:shd w:val="clear" w:color="auto" w:fill="DEEAF6" w:themeFill="accent5" w:themeFillTint="33"/>
            <w:vAlign w:val="center"/>
            <w:hideMark/>
          </w:tcPr>
          <w:p w14:paraId="26E2A354" w14:textId="77777777" w:rsidR="000D44D0" w:rsidRPr="00DA7B6F" w:rsidRDefault="000D44D0">
            <w:pPr>
              <w:spacing w:line="256" w:lineRule="auto"/>
              <w:jc w:val="center"/>
              <w:rPr>
                <w:b/>
                <w:i/>
                <w:iCs/>
                <w:kern w:val="2"/>
                <w:sz w:val="22"/>
                <w:szCs w:val="22"/>
                <w14:ligatures w14:val="standardContextual"/>
              </w:rPr>
            </w:pPr>
            <w:r w:rsidRPr="00DA7B6F">
              <w:rPr>
                <w:b/>
                <w:i/>
                <w:iCs/>
                <w:color w:val="000000"/>
                <w:kern w:val="2"/>
                <w:sz w:val="22"/>
                <w:szCs w:val="22"/>
                <w:lang w:eastAsia="lt-LT"/>
                <w14:ligatures w14:val="standardContextual"/>
              </w:rPr>
              <w:t>Pozicija, į kurią siūlomas specialistas</w:t>
            </w:r>
          </w:p>
        </w:tc>
        <w:tc>
          <w:tcPr>
            <w:tcW w:w="1920"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39D5949E" w14:textId="77777777" w:rsidR="000D44D0" w:rsidRDefault="000D44D0">
            <w:pPr>
              <w:spacing w:line="256" w:lineRule="auto"/>
              <w:jc w:val="center"/>
              <w:rPr>
                <w:b/>
                <w:i/>
                <w:iCs/>
                <w:kern w:val="2"/>
                <w:sz w:val="22"/>
                <w:szCs w:val="22"/>
                <w14:ligatures w14:val="standardContextual"/>
              </w:rPr>
            </w:pPr>
            <w:r w:rsidRPr="00DA7B6F">
              <w:rPr>
                <w:b/>
                <w:i/>
                <w:iCs/>
                <w:kern w:val="2"/>
                <w:sz w:val="22"/>
                <w:szCs w:val="22"/>
                <w14:ligatures w14:val="standardContextual"/>
              </w:rPr>
              <w:t>Specialisto vardas, pavardė</w:t>
            </w:r>
          </w:p>
          <w:p w14:paraId="5FA0A69B" w14:textId="3FDB6A5A" w:rsidR="000D44D0" w:rsidRPr="00DA7B6F" w:rsidRDefault="000D44D0">
            <w:pPr>
              <w:spacing w:line="256" w:lineRule="auto"/>
              <w:jc w:val="center"/>
              <w:rPr>
                <w:b/>
                <w:i/>
                <w:iCs/>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343DD19" w14:textId="77777777" w:rsidR="000D44D0" w:rsidRPr="00DA7B6F" w:rsidRDefault="000D44D0">
            <w:pPr>
              <w:spacing w:line="256" w:lineRule="auto"/>
              <w:jc w:val="center"/>
              <w:rPr>
                <w:b/>
                <w:i/>
                <w:iCs/>
                <w:kern w:val="2"/>
                <w:sz w:val="22"/>
                <w:szCs w:val="22"/>
                <w14:ligatures w14:val="standardContextual"/>
              </w:rPr>
            </w:pPr>
            <w:r w:rsidRPr="00DA7B6F">
              <w:rPr>
                <w:b/>
                <w:i/>
                <w:iCs/>
                <w:kern w:val="2"/>
                <w:sz w:val="22"/>
                <w:szCs w:val="22"/>
                <w14:ligatures w14:val="standardContextual"/>
              </w:rPr>
              <w:t>Specialisto darbovietės pavadinimas arba individualios veiklos pažymėjimo arba verslo liudijimo Nr.</w:t>
            </w:r>
            <w:r w:rsidRPr="00DA7B6F">
              <w:rPr>
                <w:rStyle w:val="FootnoteReference"/>
                <w:b/>
                <w:i/>
                <w:iCs/>
                <w:kern w:val="2"/>
                <w:sz w:val="22"/>
                <w:szCs w:val="22"/>
                <w14:ligatures w14:val="standardContextual"/>
              </w:rPr>
              <w:footnoteReference w:id="1"/>
            </w:r>
          </w:p>
          <w:p w14:paraId="31246106" w14:textId="25213282" w:rsidR="000D44D0" w:rsidRPr="00DA7B6F" w:rsidRDefault="000D44D0" w:rsidP="003A7E9F">
            <w:pPr>
              <w:spacing w:line="256" w:lineRule="auto"/>
              <w:rPr>
                <w:b/>
                <w:i/>
                <w:iCs/>
                <w:kern w:val="2"/>
                <w:sz w:val="22"/>
                <w:szCs w:val="22"/>
                <w14:ligatures w14:val="standardContextual"/>
              </w:rPr>
            </w:pPr>
          </w:p>
        </w:tc>
      </w:tr>
      <w:tr w:rsidR="000D44D0" w14:paraId="26318D15" w14:textId="0197D165" w:rsidTr="000D44D0">
        <w:trPr>
          <w:trHeight w:val="161"/>
        </w:trPr>
        <w:tc>
          <w:tcPr>
            <w:tcW w:w="555" w:type="pct"/>
            <w:tcBorders>
              <w:top w:val="single" w:sz="4" w:space="0" w:color="auto"/>
              <w:left w:val="single" w:sz="4" w:space="0" w:color="auto"/>
              <w:bottom w:val="single" w:sz="4" w:space="0" w:color="auto"/>
              <w:right w:val="nil"/>
            </w:tcBorders>
            <w:vAlign w:val="center"/>
            <w:hideMark/>
          </w:tcPr>
          <w:p w14:paraId="475A5DF8" w14:textId="4F2E487F"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2.1.</w:t>
            </w:r>
          </w:p>
        </w:tc>
        <w:tc>
          <w:tcPr>
            <w:tcW w:w="706" w:type="pct"/>
            <w:tcBorders>
              <w:top w:val="single" w:sz="4" w:space="0" w:color="auto"/>
              <w:left w:val="single" w:sz="4" w:space="0" w:color="auto"/>
              <w:bottom w:val="single" w:sz="4" w:space="0" w:color="auto"/>
              <w:right w:val="nil"/>
            </w:tcBorders>
            <w:vAlign w:val="center"/>
            <w:hideMark/>
          </w:tcPr>
          <w:p w14:paraId="70D3BE8B" w14:textId="658073B0" w:rsidR="000D44D0" w:rsidRPr="00DB4A22" w:rsidRDefault="000D44D0">
            <w:pPr>
              <w:spacing w:before="60" w:after="60" w:line="256" w:lineRule="auto"/>
              <w:jc w:val="both"/>
              <w:rPr>
                <w:kern w:val="2"/>
                <w:szCs w:val="24"/>
                <w14:ligatures w14:val="standardContextual"/>
              </w:rPr>
            </w:pPr>
            <w:r w:rsidRPr="00DB4A22">
              <w:rPr>
                <w:kern w:val="2"/>
                <w:szCs w:val="24"/>
                <w14:ligatures w14:val="standardContextual"/>
              </w:rPr>
              <w:t>Projekto vadovas</w:t>
            </w:r>
          </w:p>
        </w:tc>
        <w:tc>
          <w:tcPr>
            <w:tcW w:w="1920" w:type="pct"/>
            <w:tcBorders>
              <w:top w:val="single" w:sz="4" w:space="0" w:color="auto"/>
              <w:left w:val="single" w:sz="4" w:space="0" w:color="auto"/>
              <w:bottom w:val="single" w:sz="4" w:space="0" w:color="auto"/>
              <w:right w:val="single" w:sz="4" w:space="0" w:color="auto"/>
            </w:tcBorders>
            <w:noWrap/>
            <w:vAlign w:val="center"/>
          </w:tcPr>
          <w:p w14:paraId="0641D755"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26EE7CAC" w14:textId="77777777" w:rsidR="000D44D0" w:rsidRDefault="000D44D0">
            <w:pPr>
              <w:spacing w:before="60" w:after="60" w:line="256" w:lineRule="auto"/>
              <w:rPr>
                <w:kern w:val="2"/>
                <w:sz w:val="22"/>
                <w:szCs w:val="22"/>
                <w14:ligatures w14:val="standardContextual"/>
              </w:rPr>
            </w:pPr>
          </w:p>
        </w:tc>
      </w:tr>
      <w:tr w:rsidR="000D44D0" w14:paraId="78BC7601" w14:textId="7962F484" w:rsidTr="000D44D0">
        <w:trPr>
          <w:trHeight w:val="161"/>
        </w:trPr>
        <w:tc>
          <w:tcPr>
            <w:tcW w:w="555" w:type="pct"/>
            <w:tcBorders>
              <w:top w:val="single" w:sz="4" w:space="0" w:color="auto"/>
              <w:left w:val="single" w:sz="4" w:space="0" w:color="auto"/>
              <w:bottom w:val="single" w:sz="4" w:space="0" w:color="auto"/>
              <w:right w:val="nil"/>
            </w:tcBorders>
            <w:vAlign w:val="center"/>
            <w:hideMark/>
          </w:tcPr>
          <w:p w14:paraId="55FE13C1" w14:textId="77777777"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w:t>
            </w:r>
          </w:p>
        </w:tc>
        <w:tc>
          <w:tcPr>
            <w:tcW w:w="706" w:type="pct"/>
            <w:tcBorders>
              <w:top w:val="single" w:sz="4" w:space="0" w:color="auto"/>
              <w:left w:val="single" w:sz="4" w:space="0" w:color="auto"/>
              <w:bottom w:val="single" w:sz="4" w:space="0" w:color="auto"/>
              <w:right w:val="nil"/>
            </w:tcBorders>
            <w:vAlign w:val="center"/>
          </w:tcPr>
          <w:p w14:paraId="0F48A4A3" w14:textId="77777777" w:rsidR="000D44D0" w:rsidRPr="00DB4A22" w:rsidRDefault="000D44D0">
            <w:pPr>
              <w:spacing w:before="60" w:after="60" w:line="256" w:lineRule="auto"/>
              <w:rPr>
                <w:rFonts w:eastAsiaTheme="minorHAnsi"/>
                <w:bCs/>
                <w:kern w:val="2"/>
                <w:szCs w:val="24"/>
                <w14:ligatures w14:val="standardContextual"/>
              </w:rPr>
            </w:pPr>
          </w:p>
        </w:tc>
        <w:tc>
          <w:tcPr>
            <w:tcW w:w="1920" w:type="pct"/>
            <w:tcBorders>
              <w:top w:val="single" w:sz="4" w:space="0" w:color="auto"/>
              <w:left w:val="single" w:sz="4" w:space="0" w:color="auto"/>
              <w:bottom w:val="single" w:sz="4" w:space="0" w:color="auto"/>
              <w:right w:val="single" w:sz="4" w:space="0" w:color="auto"/>
            </w:tcBorders>
            <w:noWrap/>
            <w:vAlign w:val="center"/>
          </w:tcPr>
          <w:p w14:paraId="70E0CCAA"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7B189296" w14:textId="77777777" w:rsidR="000D44D0" w:rsidRDefault="000D44D0">
            <w:pPr>
              <w:spacing w:before="60" w:after="60" w:line="256" w:lineRule="auto"/>
              <w:rPr>
                <w:kern w:val="2"/>
                <w:sz w:val="22"/>
                <w:szCs w:val="22"/>
                <w14:ligatures w14:val="standardContextual"/>
              </w:rPr>
            </w:pPr>
          </w:p>
        </w:tc>
      </w:tr>
      <w:tr w:rsidR="000D44D0" w14:paraId="0239DD99" w14:textId="3338A7C6" w:rsidTr="000D44D0">
        <w:trPr>
          <w:trHeight w:val="161"/>
        </w:trPr>
        <w:tc>
          <w:tcPr>
            <w:tcW w:w="555" w:type="pct"/>
            <w:tcBorders>
              <w:top w:val="single" w:sz="4" w:space="0" w:color="auto"/>
              <w:left w:val="single" w:sz="4" w:space="0" w:color="auto"/>
              <w:bottom w:val="single" w:sz="4" w:space="0" w:color="auto"/>
              <w:right w:val="nil"/>
            </w:tcBorders>
            <w:vAlign w:val="center"/>
            <w:hideMark/>
          </w:tcPr>
          <w:p w14:paraId="71080BC2" w14:textId="42B0CAB4"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2.2.</w:t>
            </w:r>
          </w:p>
        </w:tc>
        <w:tc>
          <w:tcPr>
            <w:tcW w:w="706" w:type="pct"/>
            <w:tcBorders>
              <w:top w:val="single" w:sz="4" w:space="0" w:color="auto"/>
              <w:left w:val="single" w:sz="4" w:space="0" w:color="auto"/>
              <w:bottom w:val="single" w:sz="4" w:space="0" w:color="auto"/>
              <w:right w:val="nil"/>
            </w:tcBorders>
            <w:vAlign w:val="center"/>
            <w:hideMark/>
          </w:tcPr>
          <w:p w14:paraId="5CB7F401" w14:textId="26BDBB00" w:rsidR="000D44D0" w:rsidRPr="00DB4A22" w:rsidRDefault="000D44D0">
            <w:pPr>
              <w:spacing w:before="60" w:after="60" w:line="256" w:lineRule="auto"/>
              <w:rPr>
                <w:rFonts w:eastAsiaTheme="minorHAnsi"/>
                <w:bCs/>
                <w:kern w:val="2"/>
                <w:szCs w:val="24"/>
                <w14:ligatures w14:val="standardContextual"/>
              </w:rPr>
            </w:pPr>
            <w:r w:rsidRPr="00DB4A22">
              <w:rPr>
                <w:szCs w:val="24"/>
              </w:rPr>
              <w:t>Analitikas</w:t>
            </w:r>
          </w:p>
        </w:tc>
        <w:tc>
          <w:tcPr>
            <w:tcW w:w="1920" w:type="pct"/>
            <w:tcBorders>
              <w:top w:val="single" w:sz="4" w:space="0" w:color="auto"/>
              <w:left w:val="single" w:sz="4" w:space="0" w:color="auto"/>
              <w:bottom w:val="single" w:sz="4" w:space="0" w:color="auto"/>
              <w:right w:val="single" w:sz="4" w:space="0" w:color="auto"/>
            </w:tcBorders>
            <w:noWrap/>
            <w:vAlign w:val="center"/>
          </w:tcPr>
          <w:p w14:paraId="1818C52C"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0950F7AA" w14:textId="77777777" w:rsidR="000D44D0" w:rsidRDefault="000D44D0">
            <w:pPr>
              <w:spacing w:before="60" w:after="60" w:line="256" w:lineRule="auto"/>
              <w:rPr>
                <w:kern w:val="2"/>
                <w:sz w:val="22"/>
                <w:szCs w:val="22"/>
                <w14:ligatures w14:val="standardContextual"/>
              </w:rPr>
            </w:pPr>
          </w:p>
        </w:tc>
      </w:tr>
      <w:tr w:rsidR="000D44D0" w14:paraId="1565B788" w14:textId="789DAE31" w:rsidTr="000D44D0">
        <w:trPr>
          <w:trHeight w:val="161"/>
        </w:trPr>
        <w:tc>
          <w:tcPr>
            <w:tcW w:w="555" w:type="pct"/>
            <w:tcBorders>
              <w:top w:val="single" w:sz="4" w:space="0" w:color="auto"/>
              <w:left w:val="single" w:sz="4" w:space="0" w:color="auto"/>
              <w:bottom w:val="single" w:sz="4" w:space="0" w:color="auto"/>
              <w:right w:val="nil"/>
            </w:tcBorders>
            <w:vAlign w:val="center"/>
            <w:hideMark/>
          </w:tcPr>
          <w:p w14:paraId="00F6E9D6" w14:textId="77777777"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w:t>
            </w:r>
          </w:p>
        </w:tc>
        <w:tc>
          <w:tcPr>
            <w:tcW w:w="706" w:type="pct"/>
            <w:tcBorders>
              <w:top w:val="single" w:sz="4" w:space="0" w:color="auto"/>
              <w:left w:val="single" w:sz="4" w:space="0" w:color="auto"/>
              <w:bottom w:val="single" w:sz="4" w:space="0" w:color="auto"/>
              <w:right w:val="nil"/>
            </w:tcBorders>
            <w:vAlign w:val="center"/>
          </w:tcPr>
          <w:p w14:paraId="1B757384" w14:textId="77777777" w:rsidR="000D44D0" w:rsidRPr="00DB4A22" w:rsidRDefault="000D44D0">
            <w:pPr>
              <w:spacing w:before="60" w:after="60" w:line="256" w:lineRule="auto"/>
              <w:rPr>
                <w:rFonts w:eastAsiaTheme="minorHAnsi"/>
                <w:bCs/>
                <w:kern w:val="2"/>
                <w:szCs w:val="24"/>
                <w14:ligatures w14:val="standardContextual"/>
              </w:rPr>
            </w:pPr>
          </w:p>
        </w:tc>
        <w:tc>
          <w:tcPr>
            <w:tcW w:w="1920" w:type="pct"/>
            <w:tcBorders>
              <w:top w:val="single" w:sz="4" w:space="0" w:color="auto"/>
              <w:left w:val="single" w:sz="4" w:space="0" w:color="auto"/>
              <w:bottom w:val="single" w:sz="4" w:space="0" w:color="auto"/>
              <w:right w:val="single" w:sz="4" w:space="0" w:color="auto"/>
            </w:tcBorders>
            <w:noWrap/>
            <w:vAlign w:val="center"/>
          </w:tcPr>
          <w:p w14:paraId="03DD3EFB"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59C5D413" w14:textId="77777777" w:rsidR="000D44D0" w:rsidRDefault="000D44D0">
            <w:pPr>
              <w:spacing w:before="60" w:after="60" w:line="256" w:lineRule="auto"/>
              <w:rPr>
                <w:kern w:val="2"/>
                <w:sz w:val="22"/>
                <w:szCs w:val="22"/>
                <w14:ligatures w14:val="standardContextual"/>
              </w:rPr>
            </w:pPr>
          </w:p>
        </w:tc>
      </w:tr>
      <w:tr w:rsidR="000D44D0" w14:paraId="71CDA123" w14:textId="77777777" w:rsidTr="000D44D0">
        <w:trPr>
          <w:trHeight w:val="161"/>
        </w:trPr>
        <w:tc>
          <w:tcPr>
            <w:tcW w:w="555" w:type="pct"/>
            <w:tcBorders>
              <w:top w:val="single" w:sz="4" w:space="0" w:color="auto"/>
              <w:left w:val="single" w:sz="4" w:space="0" w:color="auto"/>
              <w:bottom w:val="single" w:sz="4" w:space="0" w:color="auto"/>
              <w:right w:val="nil"/>
            </w:tcBorders>
            <w:vAlign w:val="center"/>
          </w:tcPr>
          <w:p w14:paraId="23357269" w14:textId="4AB63F56"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2.3.</w:t>
            </w:r>
          </w:p>
        </w:tc>
        <w:tc>
          <w:tcPr>
            <w:tcW w:w="706" w:type="pct"/>
            <w:tcBorders>
              <w:top w:val="single" w:sz="4" w:space="0" w:color="auto"/>
              <w:left w:val="single" w:sz="4" w:space="0" w:color="auto"/>
              <w:bottom w:val="single" w:sz="4" w:space="0" w:color="auto"/>
              <w:right w:val="nil"/>
            </w:tcBorders>
            <w:vAlign w:val="center"/>
          </w:tcPr>
          <w:p w14:paraId="5472ED53" w14:textId="71FBB30E" w:rsidR="000D44D0" w:rsidRPr="00DB4A22" w:rsidRDefault="000D44D0">
            <w:pPr>
              <w:spacing w:before="60" w:after="60" w:line="256" w:lineRule="auto"/>
              <w:rPr>
                <w:rFonts w:eastAsiaTheme="minorHAnsi"/>
                <w:bCs/>
                <w:kern w:val="2"/>
                <w:szCs w:val="24"/>
                <w14:ligatures w14:val="standardContextual"/>
              </w:rPr>
            </w:pPr>
            <w:r w:rsidRPr="00DB4A22">
              <w:rPr>
                <w:rFonts w:eastAsiaTheme="minorHAnsi"/>
                <w:bCs/>
                <w:kern w:val="2"/>
                <w:szCs w:val="24"/>
                <w14:ligatures w14:val="standardContextual"/>
              </w:rPr>
              <w:t>Sistemos architektas</w:t>
            </w:r>
          </w:p>
        </w:tc>
        <w:tc>
          <w:tcPr>
            <w:tcW w:w="1920" w:type="pct"/>
            <w:tcBorders>
              <w:top w:val="single" w:sz="4" w:space="0" w:color="auto"/>
              <w:left w:val="single" w:sz="4" w:space="0" w:color="auto"/>
              <w:bottom w:val="single" w:sz="4" w:space="0" w:color="auto"/>
              <w:right w:val="single" w:sz="4" w:space="0" w:color="auto"/>
            </w:tcBorders>
            <w:noWrap/>
            <w:vAlign w:val="center"/>
          </w:tcPr>
          <w:p w14:paraId="5807786B"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31A396F6" w14:textId="77777777" w:rsidR="000D44D0" w:rsidRDefault="000D44D0">
            <w:pPr>
              <w:spacing w:before="60" w:after="60" w:line="256" w:lineRule="auto"/>
              <w:rPr>
                <w:kern w:val="2"/>
                <w:sz w:val="22"/>
                <w:szCs w:val="22"/>
                <w14:ligatures w14:val="standardContextual"/>
              </w:rPr>
            </w:pPr>
          </w:p>
        </w:tc>
      </w:tr>
      <w:tr w:rsidR="000D44D0" w14:paraId="236F2276" w14:textId="77777777" w:rsidTr="000D44D0">
        <w:trPr>
          <w:trHeight w:val="161"/>
        </w:trPr>
        <w:tc>
          <w:tcPr>
            <w:tcW w:w="555" w:type="pct"/>
            <w:tcBorders>
              <w:top w:val="single" w:sz="4" w:space="0" w:color="auto"/>
              <w:left w:val="single" w:sz="4" w:space="0" w:color="auto"/>
              <w:bottom w:val="single" w:sz="4" w:space="0" w:color="auto"/>
              <w:right w:val="nil"/>
            </w:tcBorders>
            <w:vAlign w:val="center"/>
          </w:tcPr>
          <w:p w14:paraId="5D2F7BBE" w14:textId="653D05AE"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w:t>
            </w:r>
          </w:p>
        </w:tc>
        <w:tc>
          <w:tcPr>
            <w:tcW w:w="706" w:type="pct"/>
            <w:tcBorders>
              <w:top w:val="single" w:sz="4" w:space="0" w:color="auto"/>
              <w:left w:val="single" w:sz="4" w:space="0" w:color="auto"/>
              <w:bottom w:val="single" w:sz="4" w:space="0" w:color="auto"/>
              <w:right w:val="nil"/>
            </w:tcBorders>
            <w:vAlign w:val="center"/>
          </w:tcPr>
          <w:p w14:paraId="01AB0863" w14:textId="77777777" w:rsidR="000D44D0" w:rsidRPr="00DB4A22" w:rsidRDefault="000D44D0">
            <w:pPr>
              <w:spacing w:before="60" w:after="60" w:line="256" w:lineRule="auto"/>
              <w:rPr>
                <w:rFonts w:eastAsiaTheme="minorHAnsi"/>
                <w:bCs/>
                <w:kern w:val="2"/>
                <w:szCs w:val="24"/>
                <w14:ligatures w14:val="standardContextual"/>
              </w:rPr>
            </w:pPr>
          </w:p>
        </w:tc>
        <w:tc>
          <w:tcPr>
            <w:tcW w:w="1920" w:type="pct"/>
            <w:tcBorders>
              <w:top w:val="single" w:sz="4" w:space="0" w:color="auto"/>
              <w:left w:val="single" w:sz="4" w:space="0" w:color="auto"/>
              <w:bottom w:val="single" w:sz="4" w:space="0" w:color="auto"/>
              <w:right w:val="single" w:sz="4" w:space="0" w:color="auto"/>
            </w:tcBorders>
            <w:noWrap/>
            <w:vAlign w:val="center"/>
          </w:tcPr>
          <w:p w14:paraId="196D61B5"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144A28E3" w14:textId="77777777" w:rsidR="000D44D0" w:rsidRDefault="000D44D0">
            <w:pPr>
              <w:spacing w:before="60" w:after="60" w:line="256" w:lineRule="auto"/>
              <w:rPr>
                <w:kern w:val="2"/>
                <w:sz w:val="22"/>
                <w:szCs w:val="22"/>
                <w14:ligatures w14:val="standardContextual"/>
              </w:rPr>
            </w:pPr>
          </w:p>
        </w:tc>
      </w:tr>
      <w:tr w:rsidR="000D44D0" w14:paraId="0E6B8B01" w14:textId="77777777" w:rsidTr="000D44D0">
        <w:trPr>
          <w:trHeight w:val="161"/>
        </w:trPr>
        <w:tc>
          <w:tcPr>
            <w:tcW w:w="555" w:type="pct"/>
            <w:tcBorders>
              <w:top w:val="single" w:sz="4" w:space="0" w:color="auto"/>
              <w:left w:val="single" w:sz="4" w:space="0" w:color="auto"/>
              <w:bottom w:val="single" w:sz="4" w:space="0" w:color="auto"/>
              <w:right w:val="nil"/>
            </w:tcBorders>
            <w:vAlign w:val="center"/>
          </w:tcPr>
          <w:p w14:paraId="12EBA649" w14:textId="551FF4A8"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2.4.</w:t>
            </w:r>
          </w:p>
        </w:tc>
        <w:tc>
          <w:tcPr>
            <w:tcW w:w="706" w:type="pct"/>
            <w:tcBorders>
              <w:top w:val="single" w:sz="4" w:space="0" w:color="auto"/>
              <w:left w:val="single" w:sz="4" w:space="0" w:color="auto"/>
              <w:bottom w:val="single" w:sz="4" w:space="0" w:color="auto"/>
              <w:right w:val="nil"/>
            </w:tcBorders>
            <w:vAlign w:val="center"/>
          </w:tcPr>
          <w:p w14:paraId="7556FE5B" w14:textId="45A3181F" w:rsidR="000D44D0" w:rsidRPr="00DB4A22" w:rsidRDefault="000D44D0">
            <w:pPr>
              <w:spacing w:before="60" w:after="60" w:line="256" w:lineRule="auto"/>
              <w:rPr>
                <w:rFonts w:eastAsiaTheme="minorHAnsi"/>
                <w:bCs/>
                <w:kern w:val="2"/>
                <w:szCs w:val="24"/>
                <w14:ligatures w14:val="standardContextual"/>
              </w:rPr>
            </w:pPr>
            <w:r w:rsidRPr="00DB4A22">
              <w:rPr>
                <w:rFonts w:eastAsiaTheme="minorHAnsi"/>
                <w:bCs/>
                <w:kern w:val="2"/>
                <w:szCs w:val="24"/>
                <w14:ligatures w14:val="standardContextual"/>
              </w:rPr>
              <w:t>Programuotojas</w:t>
            </w:r>
          </w:p>
        </w:tc>
        <w:tc>
          <w:tcPr>
            <w:tcW w:w="1920" w:type="pct"/>
            <w:tcBorders>
              <w:top w:val="single" w:sz="4" w:space="0" w:color="auto"/>
              <w:left w:val="single" w:sz="4" w:space="0" w:color="auto"/>
              <w:bottom w:val="single" w:sz="4" w:space="0" w:color="auto"/>
              <w:right w:val="single" w:sz="4" w:space="0" w:color="auto"/>
            </w:tcBorders>
            <w:noWrap/>
            <w:vAlign w:val="center"/>
          </w:tcPr>
          <w:p w14:paraId="2568DFF9"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43651120" w14:textId="77777777" w:rsidR="000D44D0" w:rsidRDefault="000D44D0">
            <w:pPr>
              <w:spacing w:before="60" w:after="60" w:line="256" w:lineRule="auto"/>
              <w:rPr>
                <w:kern w:val="2"/>
                <w:sz w:val="22"/>
                <w:szCs w:val="22"/>
                <w14:ligatures w14:val="standardContextual"/>
              </w:rPr>
            </w:pPr>
          </w:p>
        </w:tc>
      </w:tr>
      <w:tr w:rsidR="000D44D0" w14:paraId="65DBCDD8" w14:textId="77777777" w:rsidTr="000D44D0">
        <w:trPr>
          <w:trHeight w:val="161"/>
        </w:trPr>
        <w:tc>
          <w:tcPr>
            <w:tcW w:w="555" w:type="pct"/>
            <w:tcBorders>
              <w:top w:val="single" w:sz="4" w:space="0" w:color="auto"/>
              <w:left w:val="single" w:sz="4" w:space="0" w:color="auto"/>
              <w:bottom w:val="single" w:sz="4" w:space="0" w:color="auto"/>
              <w:right w:val="nil"/>
            </w:tcBorders>
            <w:vAlign w:val="center"/>
          </w:tcPr>
          <w:p w14:paraId="0D7AD1C4" w14:textId="0578D7F4" w:rsidR="000D44D0" w:rsidRDefault="000D44D0">
            <w:pPr>
              <w:spacing w:before="60" w:after="60" w:line="256" w:lineRule="auto"/>
              <w:jc w:val="center"/>
              <w:rPr>
                <w:bCs/>
                <w:kern w:val="2"/>
                <w:sz w:val="22"/>
                <w:szCs w:val="22"/>
                <w14:ligatures w14:val="standardContextual"/>
              </w:rPr>
            </w:pPr>
            <w:r>
              <w:rPr>
                <w:bCs/>
                <w:kern w:val="2"/>
                <w:sz w:val="22"/>
                <w:szCs w:val="22"/>
                <w14:ligatures w14:val="standardContextual"/>
              </w:rPr>
              <w:t>...</w:t>
            </w:r>
          </w:p>
        </w:tc>
        <w:tc>
          <w:tcPr>
            <w:tcW w:w="706" w:type="pct"/>
            <w:tcBorders>
              <w:top w:val="single" w:sz="4" w:space="0" w:color="auto"/>
              <w:left w:val="single" w:sz="4" w:space="0" w:color="auto"/>
              <w:bottom w:val="single" w:sz="4" w:space="0" w:color="auto"/>
              <w:right w:val="nil"/>
            </w:tcBorders>
            <w:vAlign w:val="center"/>
          </w:tcPr>
          <w:p w14:paraId="3BCE0F31" w14:textId="77777777" w:rsidR="000D44D0" w:rsidRDefault="000D44D0">
            <w:pPr>
              <w:spacing w:before="60" w:after="60" w:line="256" w:lineRule="auto"/>
              <w:rPr>
                <w:rFonts w:eastAsiaTheme="minorHAnsi"/>
                <w:bCs/>
                <w:kern w:val="2"/>
                <w:sz w:val="22"/>
                <w:szCs w:val="22"/>
                <w14:ligatures w14:val="standardContextual"/>
              </w:rPr>
            </w:pPr>
          </w:p>
        </w:tc>
        <w:tc>
          <w:tcPr>
            <w:tcW w:w="1920" w:type="pct"/>
            <w:tcBorders>
              <w:top w:val="single" w:sz="4" w:space="0" w:color="auto"/>
              <w:left w:val="single" w:sz="4" w:space="0" w:color="auto"/>
              <w:bottom w:val="single" w:sz="4" w:space="0" w:color="auto"/>
              <w:right w:val="single" w:sz="4" w:space="0" w:color="auto"/>
            </w:tcBorders>
            <w:noWrap/>
            <w:vAlign w:val="center"/>
          </w:tcPr>
          <w:p w14:paraId="6B298D1C" w14:textId="77777777" w:rsidR="000D44D0" w:rsidRDefault="000D44D0">
            <w:pPr>
              <w:spacing w:before="60" w:after="60" w:line="256" w:lineRule="auto"/>
              <w:rPr>
                <w:kern w:val="2"/>
                <w:sz w:val="22"/>
                <w:szCs w:val="22"/>
                <w14:ligatures w14:val="standardContextual"/>
              </w:rPr>
            </w:pPr>
          </w:p>
        </w:tc>
        <w:tc>
          <w:tcPr>
            <w:tcW w:w="1819" w:type="pct"/>
            <w:tcBorders>
              <w:top w:val="single" w:sz="4" w:space="0" w:color="auto"/>
              <w:left w:val="single" w:sz="4" w:space="0" w:color="auto"/>
              <w:bottom w:val="single" w:sz="4" w:space="0" w:color="auto"/>
              <w:right w:val="single" w:sz="4" w:space="0" w:color="auto"/>
            </w:tcBorders>
            <w:vAlign w:val="center"/>
          </w:tcPr>
          <w:p w14:paraId="341761DC" w14:textId="77777777" w:rsidR="000D44D0" w:rsidRDefault="000D44D0">
            <w:pPr>
              <w:spacing w:before="60" w:after="60" w:line="256" w:lineRule="auto"/>
              <w:rPr>
                <w:kern w:val="2"/>
                <w:sz w:val="22"/>
                <w:szCs w:val="22"/>
                <w14:ligatures w14:val="standardContextual"/>
              </w:rPr>
            </w:pPr>
          </w:p>
        </w:tc>
      </w:tr>
    </w:tbl>
    <w:p w14:paraId="030E870C" w14:textId="77777777" w:rsidR="00F0188C" w:rsidRDefault="00F0188C" w:rsidP="00322535">
      <w:pPr>
        <w:pBdr>
          <w:top w:val="nil"/>
          <w:left w:val="nil"/>
          <w:bottom w:val="nil"/>
          <w:right w:val="nil"/>
          <w:between w:val="nil"/>
          <w:bar w:val="nil"/>
        </w:pBdr>
        <w:jc w:val="both"/>
        <w:rPr>
          <w:rFonts w:eastAsia="Arial Unicode MS"/>
          <w:i/>
          <w:iCs/>
          <w:sz w:val="22"/>
          <w:szCs w:val="22"/>
          <w:bdr w:val="nil"/>
        </w:rPr>
      </w:pPr>
    </w:p>
    <w:p w14:paraId="4F4E305C" w14:textId="3364B5D2" w:rsidR="00322535" w:rsidRDefault="007F1DCE" w:rsidP="008B36DC">
      <w:pPr>
        <w:pBdr>
          <w:top w:val="nil"/>
          <w:left w:val="nil"/>
          <w:bottom w:val="nil"/>
          <w:right w:val="nil"/>
          <w:between w:val="nil"/>
          <w:bar w:val="nil"/>
        </w:pBdr>
        <w:tabs>
          <w:tab w:val="left" w:pos="456"/>
        </w:tabs>
        <w:spacing w:before="120"/>
        <w:jc w:val="both"/>
        <w:rPr>
          <w:rFonts w:eastAsia="Arial Unicode MS"/>
          <w:i/>
          <w:iCs/>
          <w:sz w:val="20"/>
          <w:bdr w:val="nil"/>
        </w:rPr>
      </w:pPr>
      <w:r>
        <w:rPr>
          <w:b/>
        </w:rPr>
        <w:t>Pastaba:</w:t>
      </w:r>
      <w:r>
        <w:rPr>
          <w:bCs/>
        </w:rPr>
        <w:t xml:space="preserve"> </w:t>
      </w:r>
      <w:r>
        <w:rPr>
          <w:b/>
        </w:rPr>
        <w:t>1, 2 lentelėse</w:t>
      </w:r>
      <w:r>
        <w:rPr>
          <w:bCs/>
        </w:rPr>
        <w:t xml:space="preserve"> </w:t>
      </w:r>
      <w:r w:rsidR="000A3181">
        <w:rPr>
          <w:bCs/>
        </w:rPr>
        <w:t xml:space="preserve">pateikiama </w:t>
      </w:r>
      <w:r>
        <w:rPr>
          <w:bCs/>
        </w:rPr>
        <w:t xml:space="preserve">informacija yra susijusi su ekonomiškai naudingiausio pasiūlymo vertinimo kriterijais, todėl </w:t>
      </w:r>
      <w:r>
        <w:rPr>
          <w:bCs/>
          <w:color w:val="C10000"/>
        </w:rPr>
        <w:t>kartu su pasiūlymu</w:t>
      </w:r>
      <w:r>
        <w:rPr>
          <w:bCs/>
        </w:rPr>
        <w:t xml:space="preserve"> turi būti pateikiama visa informacija apie specialistus, kurie siūlomi į atitinkamą poziciją (Pagal specialiųjų pirkimo </w:t>
      </w:r>
      <w:r w:rsidRPr="00814F21">
        <w:rPr>
          <w:bCs/>
          <w:color w:val="000000" w:themeColor="text1"/>
        </w:rPr>
        <w:t xml:space="preserve">sąlygų 5 priedo </w:t>
      </w:r>
      <w:r>
        <w:rPr>
          <w:bCs/>
        </w:rPr>
        <w:t>„Kvalifikacijos ir kiti reikalavimai“ lentelės 2.1 - 2.</w:t>
      </w:r>
      <w:r w:rsidR="00315276">
        <w:rPr>
          <w:bCs/>
        </w:rPr>
        <w:t>4</w:t>
      </w:r>
      <w:r>
        <w:rPr>
          <w:bCs/>
        </w:rPr>
        <w:t xml:space="preserve"> papunkčius).</w:t>
      </w:r>
    </w:p>
    <w:p w14:paraId="48737605" w14:textId="77777777" w:rsidR="006A19CC" w:rsidRDefault="006A19CC" w:rsidP="008B36DC">
      <w:pPr>
        <w:pBdr>
          <w:top w:val="nil"/>
          <w:left w:val="nil"/>
          <w:bottom w:val="nil"/>
          <w:right w:val="nil"/>
          <w:between w:val="nil"/>
          <w:bar w:val="nil"/>
        </w:pBdr>
        <w:tabs>
          <w:tab w:val="left" w:pos="456"/>
        </w:tabs>
        <w:spacing w:before="120"/>
        <w:jc w:val="both"/>
        <w:rPr>
          <w:rFonts w:eastAsia="Arial Unicode MS"/>
          <w:i/>
          <w:iCs/>
          <w:sz w:val="20"/>
          <w:bdr w:val="nil"/>
        </w:rPr>
      </w:pPr>
    </w:p>
    <w:p w14:paraId="1CBACEEA" w14:textId="77777777" w:rsidR="006A19CC" w:rsidRPr="008B36DC" w:rsidRDefault="006A19CC" w:rsidP="008B36DC">
      <w:pPr>
        <w:pBdr>
          <w:top w:val="nil"/>
          <w:left w:val="nil"/>
          <w:bottom w:val="nil"/>
          <w:right w:val="nil"/>
          <w:between w:val="nil"/>
          <w:bar w:val="nil"/>
        </w:pBdr>
        <w:tabs>
          <w:tab w:val="left" w:pos="456"/>
        </w:tabs>
        <w:spacing w:before="120"/>
        <w:jc w:val="both"/>
        <w:rPr>
          <w:rFonts w:eastAsia="Arial Unicode MS"/>
          <w:i/>
          <w:iCs/>
          <w:sz w:val="22"/>
          <w:szCs w:val="22"/>
          <w:bdr w:val="nil"/>
        </w:rPr>
      </w:pPr>
    </w:p>
    <w:p w14:paraId="6476936D" w14:textId="77777777" w:rsidR="00D013F6" w:rsidRDefault="00D013F6" w:rsidP="00651551">
      <w:pPr>
        <w:rPr>
          <w:sz w:val="22"/>
          <w:szCs w:val="22"/>
        </w:rPr>
      </w:pPr>
    </w:p>
    <w:p w14:paraId="17C9B56A" w14:textId="77777777" w:rsidR="0019180F" w:rsidRPr="007979D3" w:rsidRDefault="0019180F" w:rsidP="007979D3">
      <w:pPr>
        <w:jc w:val="right"/>
        <w:rPr>
          <w:sz w:val="22"/>
          <w:szCs w:val="22"/>
        </w:rPr>
      </w:pPr>
    </w:p>
    <w:p w14:paraId="6515C33F" w14:textId="77777777" w:rsidR="00B23FE7" w:rsidRDefault="00B23FE7" w:rsidP="0019180F">
      <w:pPr>
        <w:jc w:val="center"/>
        <w:rPr>
          <w:b/>
          <w:bCs/>
          <w:smallCaps/>
          <w:szCs w:val="24"/>
        </w:rPr>
      </w:pPr>
    </w:p>
    <w:p w14:paraId="11D951CE" w14:textId="77777777" w:rsidR="00E77956" w:rsidRDefault="00E77956" w:rsidP="007401C2">
      <w:pPr>
        <w:rPr>
          <w:b/>
          <w:bCs/>
          <w:smallCaps/>
          <w:szCs w:val="24"/>
        </w:rPr>
      </w:pPr>
    </w:p>
    <w:p w14:paraId="58E6251E" w14:textId="77777777" w:rsidR="00E77956" w:rsidRDefault="00E77956" w:rsidP="0019180F">
      <w:pPr>
        <w:jc w:val="center"/>
        <w:rPr>
          <w:b/>
          <w:bCs/>
          <w:smallCaps/>
          <w:szCs w:val="24"/>
        </w:rPr>
      </w:pPr>
    </w:p>
    <w:p w14:paraId="541FCE1E" w14:textId="20587628" w:rsidR="00E77956" w:rsidRPr="00612B32" w:rsidRDefault="00651551" w:rsidP="00612B32">
      <w:pPr>
        <w:spacing w:after="60"/>
        <w:rPr>
          <w:bCs/>
          <w:i/>
          <w:iCs/>
          <w:sz w:val="22"/>
        </w:rPr>
      </w:pPr>
      <w:r>
        <w:rPr>
          <w:bCs/>
          <w:sz w:val="22"/>
          <w:szCs w:val="22"/>
        </w:rPr>
        <w:t>2</w:t>
      </w:r>
      <w:r w:rsidR="00B23FE7">
        <w:rPr>
          <w:bCs/>
          <w:sz w:val="22"/>
          <w:szCs w:val="22"/>
        </w:rPr>
        <w:t xml:space="preserve"> lentelė. </w:t>
      </w:r>
      <w:r w:rsidR="00612B32" w:rsidRPr="00612B32">
        <w:rPr>
          <w:bCs/>
          <w:color w:val="000000" w:themeColor="text1"/>
        </w:rPr>
        <w:t xml:space="preserve">Specialisto (-ų) patirtis </w:t>
      </w:r>
      <w:r w:rsidR="00612B32" w:rsidRPr="00612B32">
        <w:rPr>
          <w:bCs/>
          <w:i/>
          <w:iCs/>
          <w:color w:val="000000" w:themeColor="text1"/>
        </w:rPr>
        <w:t>(Gali būti pildoma viena lentelė dėl visų specialistų arba dėl kiekvieno siūlomo specialisto atskirai)</w:t>
      </w:r>
    </w:p>
    <w:tbl>
      <w:tblPr>
        <w:tblStyle w:val="TableGrid"/>
        <w:tblW w:w="5000" w:type="pct"/>
        <w:tblLook w:val="04A0" w:firstRow="1" w:lastRow="0" w:firstColumn="1" w:lastColumn="0" w:noHBand="0" w:noVBand="1"/>
      </w:tblPr>
      <w:tblGrid>
        <w:gridCol w:w="517"/>
        <w:gridCol w:w="1736"/>
        <w:gridCol w:w="2287"/>
        <w:gridCol w:w="2204"/>
        <w:gridCol w:w="2269"/>
        <w:gridCol w:w="2736"/>
        <w:gridCol w:w="2946"/>
      </w:tblGrid>
      <w:tr w:rsidR="00DE0283" w:rsidRPr="00FC2240" w14:paraId="4E45AABB" w14:textId="77777777" w:rsidTr="00415318">
        <w:trPr>
          <w:trHeight w:val="438"/>
        </w:trPr>
        <w:tc>
          <w:tcPr>
            <w:tcW w:w="192" w:type="pct"/>
            <w:vMerge w:val="restart"/>
            <w:shd w:val="clear" w:color="auto" w:fill="DEEAF6" w:themeFill="accent5" w:themeFillTint="33"/>
            <w:vAlign w:val="center"/>
          </w:tcPr>
          <w:p w14:paraId="3B1B49BB" w14:textId="77777777" w:rsidR="00DE0283" w:rsidRPr="004D0EB0" w:rsidRDefault="00DE0283" w:rsidP="00415318">
            <w:pPr>
              <w:jc w:val="center"/>
              <w:rPr>
                <w:i/>
                <w:iCs/>
                <w:sz w:val="20"/>
              </w:rPr>
            </w:pPr>
            <w:r w:rsidRPr="004D0EB0">
              <w:rPr>
                <w:i/>
                <w:iCs/>
                <w:sz w:val="20"/>
              </w:rPr>
              <w:t>Eil. Nr.</w:t>
            </w:r>
          </w:p>
        </w:tc>
        <w:tc>
          <w:tcPr>
            <w:tcW w:w="495" w:type="pct"/>
            <w:vMerge w:val="restart"/>
            <w:shd w:val="clear" w:color="auto" w:fill="DEEAF6" w:themeFill="accent5" w:themeFillTint="33"/>
            <w:vAlign w:val="center"/>
          </w:tcPr>
          <w:p w14:paraId="20E85BA2" w14:textId="77777777" w:rsidR="00DE0283" w:rsidRPr="004D0EB0" w:rsidRDefault="00DE0283" w:rsidP="00415318">
            <w:pPr>
              <w:jc w:val="center"/>
              <w:rPr>
                <w:i/>
                <w:iCs/>
                <w:sz w:val="20"/>
              </w:rPr>
            </w:pPr>
            <w:r w:rsidRPr="004D0EB0">
              <w:rPr>
                <w:i/>
                <w:iCs/>
                <w:sz w:val="20"/>
              </w:rPr>
              <w:t>Pozicija</w:t>
            </w:r>
            <w:r w:rsidRPr="004D0EB0">
              <w:rPr>
                <w:rFonts w:asciiTheme="majorBidi" w:hAnsiTheme="majorBidi" w:cstheme="majorBidi"/>
                <w:bCs/>
                <w:i/>
                <w:iCs/>
                <w:color w:val="000000"/>
                <w:sz w:val="20"/>
                <w:lang w:eastAsia="lt-LT"/>
              </w:rPr>
              <w:t>, į kurią siūlomas specialistas</w:t>
            </w:r>
          </w:p>
        </w:tc>
        <w:tc>
          <w:tcPr>
            <w:tcW w:w="4313" w:type="pct"/>
            <w:gridSpan w:val="5"/>
            <w:shd w:val="clear" w:color="auto" w:fill="DEEAF6" w:themeFill="accent5" w:themeFillTint="33"/>
            <w:vAlign w:val="center"/>
          </w:tcPr>
          <w:p w14:paraId="0D102162" w14:textId="77777777" w:rsidR="00DE0283" w:rsidRPr="00113015" w:rsidRDefault="00DE0283" w:rsidP="00415318">
            <w:pPr>
              <w:jc w:val="center"/>
              <w:rPr>
                <w:b/>
                <w:bCs/>
                <w:i/>
                <w:iCs/>
                <w:szCs w:val="24"/>
              </w:rPr>
            </w:pPr>
            <w:r w:rsidRPr="00113015">
              <w:rPr>
                <w:b/>
                <w:bCs/>
                <w:i/>
                <w:iCs/>
                <w:szCs w:val="24"/>
              </w:rPr>
              <w:t>Informacija apie siūlomų specialistų patirtį ir kvalifikaciją</w:t>
            </w:r>
          </w:p>
          <w:p w14:paraId="3EDD63AD" w14:textId="2210A599" w:rsidR="00DE0283" w:rsidRPr="00FC2240" w:rsidRDefault="00DE0283" w:rsidP="00415318">
            <w:pPr>
              <w:spacing w:after="120"/>
              <w:jc w:val="center"/>
              <w:rPr>
                <w:i/>
                <w:iCs/>
                <w:sz w:val="22"/>
                <w:szCs w:val="22"/>
              </w:rPr>
            </w:pPr>
            <w:r w:rsidRPr="00113015">
              <w:rPr>
                <w:i/>
                <w:iCs/>
                <w:color w:val="FF0000"/>
                <w:szCs w:val="24"/>
              </w:rPr>
              <w:t xml:space="preserve">(šioje lentelėje pateikiama informacija apie </w:t>
            </w:r>
            <w:r w:rsidRPr="00113015">
              <w:rPr>
                <w:i/>
                <w:iCs/>
                <w:color w:val="FF0000"/>
                <w:szCs w:val="24"/>
                <w:u w:val="single"/>
              </w:rPr>
              <w:t>1 lentelėje 2.1-2.</w:t>
            </w:r>
            <w:r>
              <w:rPr>
                <w:i/>
                <w:iCs/>
                <w:color w:val="FF0000"/>
                <w:szCs w:val="24"/>
                <w:u w:val="single"/>
              </w:rPr>
              <w:t>4</w:t>
            </w:r>
            <w:r w:rsidRPr="00113015">
              <w:rPr>
                <w:i/>
                <w:iCs/>
                <w:color w:val="FF0000"/>
                <w:szCs w:val="24"/>
                <w:u w:val="single"/>
              </w:rPr>
              <w:t xml:space="preserve"> punktuose </w:t>
            </w:r>
            <w:r w:rsidRPr="00113015">
              <w:rPr>
                <w:i/>
                <w:iCs/>
                <w:color w:val="FF0000"/>
                <w:szCs w:val="24"/>
              </w:rPr>
              <w:t xml:space="preserve">nurodytus specialistus, </w:t>
            </w:r>
            <w:r w:rsidRPr="00113015">
              <w:rPr>
                <w:b/>
                <w:bCs/>
                <w:i/>
                <w:iCs/>
                <w:color w:val="FF0000"/>
                <w:szCs w:val="24"/>
              </w:rPr>
              <w:t>kurie dalyvauja ekonominio naudingumo vertinime</w:t>
            </w:r>
            <w:r w:rsidRPr="00113015">
              <w:rPr>
                <w:i/>
                <w:iCs/>
                <w:color w:val="FF0000"/>
                <w:szCs w:val="24"/>
              </w:rPr>
              <w:t>)</w:t>
            </w:r>
          </w:p>
        </w:tc>
      </w:tr>
      <w:tr w:rsidR="00D569E6" w:rsidRPr="00FC2240" w14:paraId="79235F55" w14:textId="77777777" w:rsidTr="00415318">
        <w:trPr>
          <w:trHeight w:val="145"/>
        </w:trPr>
        <w:tc>
          <w:tcPr>
            <w:tcW w:w="192" w:type="pct"/>
            <w:vMerge/>
            <w:shd w:val="clear" w:color="auto" w:fill="DEEAF6" w:themeFill="accent5" w:themeFillTint="33"/>
          </w:tcPr>
          <w:p w14:paraId="61B39B54" w14:textId="77777777" w:rsidR="00DE0283" w:rsidRPr="00FC2240" w:rsidRDefault="00DE0283" w:rsidP="00415318">
            <w:pPr>
              <w:jc w:val="both"/>
              <w:rPr>
                <w:sz w:val="20"/>
              </w:rPr>
            </w:pPr>
          </w:p>
        </w:tc>
        <w:tc>
          <w:tcPr>
            <w:tcW w:w="495" w:type="pct"/>
            <w:vMerge/>
            <w:shd w:val="clear" w:color="auto" w:fill="DEEAF6" w:themeFill="accent5" w:themeFillTint="33"/>
          </w:tcPr>
          <w:p w14:paraId="425AC5B9" w14:textId="77777777" w:rsidR="00DE0283" w:rsidRPr="00FC2240" w:rsidRDefault="00DE0283" w:rsidP="00415318">
            <w:pPr>
              <w:jc w:val="both"/>
              <w:rPr>
                <w:i/>
                <w:iCs/>
                <w:sz w:val="20"/>
              </w:rPr>
            </w:pPr>
          </w:p>
        </w:tc>
        <w:tc>
          <w:tcPr>
            <w:tcW w:w="794" w:type="pct"/>
            <w:shd w:val="clear" w:color="auto" w:fill="DEEAF6" w:themeFill="accent5" w:themeFillTint="33"/>
          </w:tcPr>
          <w:p w14:paraId="2F602CBD" w14:textId="77777777" w:rsidR="00DE0283" w:rsidRPr="00FC2240" w:rsidRDefault="00DE0283" w:rsidP="00415318">
            <w:pPr>
              <w:jc w:val="center"/>
              <w:rPr>
                <w:i/>
                <w:iCs/>
                <w:sz w:val="20"/>
              </w:rPr>
            </w:pPr>
            <w:r w:rsidRPr="00FC2240">
              <w:rPr>
                <w:i/>
                <w:iCs/>
                <w:sz w:val="20"/>
              </w:rPr>
              <w:t>Specialisto</w:t>
            </w:r>
            <w:r>
              <w:rPr>
                <w:i/>
                <w:iCs/>
                <w:sz w:val="20"/>
              </w:rPr>
              <w:t xml:space="preserve"> </w:t>
            </w:r>
            <w:r w:rsidRPr="00FC2240">
              <w:rPr>
                <w:i/>
                <w:iCs/>
                <w:sz w:val="20"/>
              </w:rPr>
              <w:t>vardas, pavardė</w:t>
            </w:r>
          </w:p>
        </w:tc>
        <w:tc>
          <w:tcPr>
            <w:tcW w:w="766" w:type="pct"/>
            <w:shd w:val="clear" w:color="auto" w:fill="DEEAF6" w:themeFill="accent5" w:themeFillTint="33"/>
          </w:tcPr>
          <w:p w14:paraId="17A12308" w14:textId="0575458E" w:rsidR="00DE0283" w:rsidRPr="00FC2240" w:rsidRDefault="00DE0283" w:rsidP="00415318">
            <w:pPr>
              <w:jc w:val="center"/>
              <w:rPr>
                <w:i/>
                <w:iCs/>
                <w:sz w:val="20"/>
              </w:rPr>
            </w:pPr>
            <w:r w:rsidRPr="00DD1771">
              <w:rPr>
                <w:rFonts w:asciiTheme="majorBidi" w:hAnsiTheme="majorBidi" w:cstheme="majorBidi"/>
                <w:bCs/>
                <w:i/>
                <w:iCs/>
                <w:sz w:val="20"/>
              </w:rPr>
              <w:t>Projekto</w:t>
            </w:r>
            <w:r w:rsidR="005F6913">
              <w:rPr>
                <w:rFonts w:asciiTheme="majorBidi" w:hAnsiTheme="majorBidi" w:cstheme="majorBidi"/>
                <w:bCs/>
                <w:i/>
                <w:iCs/>
                <w:sz w:val="20"/>
              </w:rPr>
              <w:t xml:space="preserve"> </w:t>
            </w:r>
            <w:r w:rsidRPr="00DD1771">
              <w:rPr>
                <w:rFonts w:asciiTheme="majorBidi" w:hAnsiTheme="majorBidi" w:cstheme="majorBidi"/>
                <w:bCs/>
                <w:i/>
                <w:iCs/>
                <w:sz w:val="20"/>
              </w:rPr>
              <w:t>kuri</w:t>
            </w:r>
            <w:r w:rsidR="00D24883">
              <w:rPr>
                <w:rFonts w:asciiTheme="majorBidi" w:hAnsiTheme="majorBidi" w:cstheme="majorBidi"/>
                <w:bCs/>
                <w:i/>
                <w:iCs/>
                <w:sz w:val="20"/>
              </w:rPr>
              <w:t>o</w:t>
            </w:r>
            <w:r w:rsidRPr="00DD1771">
              <w:rPr>
                <w:rFonts w:asciiTheme="majorBidi" w:hAnsiTheme="majorBidi" w:cstheme="majorBidi"/>
                <w:bCs/>
                <w:i/>
                <w:iCs/>
                <w:sz w:val="20"/>
              </w:rPr>
              <w:t xml:space="preserve"> vykdyme dalyvavo specialistas, pavadinimas, Nr.</w:t>
            </w:r>
            <w:r>
              <w:rPr>
                <w:rFonts w:asciiTheme="majorBidi" w:hAnsiTheme="majorBidi" w:cstheme="majorBidi"/>
                <w:bCs/>
                <w:i/>
                <w:iCs/>
                <w:sz w:val="20"/>
              </w:rPr>
              <w:t xml:space="preserve"> bei</w:t>
            </w:r>
            <w:r w:rsidRPr="00DD1771">
              <w:rPr>
                <w:rFonts w:asciiTheme="majorBidi" w:hAnsiTheme="majorBidi" w:cstheme="majorBidi"/>
                <w:bCs/>
                <w:i/>
                <w:iCs/>
                <w:sz w:val="20"/>
              </w:rPr>
              <w:t xml:space="preserve"> projekto, sutarties ar veiklos pradžios ir pabaigos data (</w:t>
            </w:r>
            <w:r>
              <w:rPr>
                <w:rFonts w:asciiTheme="majorBidi" w:hAnsiTheme="majorBidi" w:cstheme="majorBidi"/>
                <w:bCs/>
                <w:i/>
                <w:iCs/>
                <w:sz w:val="20"/>
              </w:rPr>
              <w:t>nurodant metus ir mėnesį</w:t>
            </w:r>
            <w:r w:rsidRPr="00DD1771">
              <w:rPr>
                <w:rFonts w:asciiTheme="majorBidi" w:hAnsiTheme="majorBidi" w:cstheme="majorBidi"/>
                <w:bCs/>
                <w:i/>
                <w:iCs/>
                <w:sz w:val="20"/>
              </w:rPr>
              <w:t>)</w:t>
            </w:r>
            <w:r>
              <w:rPr>
                <w:rFonts w:asciiTheme="majorBidi" w:hAnsiTheme="majorBidi" w:cstheme="majorBidi"/>
                <w:bCs/>
                <w:i/>
                <w:iCs/>
                <w:sz w:val="20"/>
              </w:rPr>
              <w:t xml:space="preserve"> </w:t>
            </w:r>
          </w:p>
        </w:tc>
        <w:tc>
          <w:tcPr>
            <w:tcW w:w="788" w:type="pct"/>
            <w:shd w:val="clear" w:color="auto" w:fill="DEEAF6" w:themeFill="accent5" w:themeFillTint="33"/>
          </w:tcPr>
          <w:p w14:paraId="1BC9B19D" w14:textId="7EFA0BC2" w:rsidR="00DE0283" w:rsidRPr="00FC2240" w:rsidRDefault="00DE0283" w:rsidP="00415318">
            <w:pPr>
              <w:jc w:val="center"/>
              <w:rPr>
                <w:i/>
                <w:iCs/>
                <w:sz w:val="20"/>
              </w:rPr>
            </w:pPr>
            <w:r w:rsidRPr="00DD1771">
              <w:rPr>
                <w:rFonts w:asciiTheme="majorBidi" w:hAnsiTheme="majorBidi" w:cstheme="majorBidi"/>
                <w:bCs/>
                <w:i/>
                <w:iCs/>
                <w:sz w:val="20"/>
              </w:rPr>
              <w:t>Projekto</w:t>
            </w:r>
            <w:r w:rsidR="005F6913">
              <w:rPr>
                <w:rFonts w:asciiTheme="majorBidi" w:hAnsiTheme="majorBidi" w:cstheme="majorBidi"/>
                <w:bCs/>
                <w:i/>
                <w:iCs/>
                <w:sz w:val="20"/>
              </w:rPr>
              <w:t xml:space="preserve"> </w:t>
            </w:r>
            <w:r w:rsidRPr="00DD1771">
              <w:rPr>
                <w:rFonts w:asciiTheme="majorBidi" w:hAnsiTheme="majorBidi" w:cstheme="majorBidi"/>
                <w:bCs/>
                <w:i/>
                <w:iCs/>
                <w:sz w:val="20"/>
              </w:rPr>
              <w:t xml:space="preserve">kurio vykdyme dalyvavo specialistas, </w:t>
            </w:r>
            <w:r>
              <w:rPr>
                <w:rFonts w:asciiTheme="majorBidi" w:hAnsiTheme="majorBidi" w:cstheme="majorBidi"/>
                <w:bCs/>
                <w:i/>
                <w:iCs/>
                <w:sz w:val="20"/>
              </w:rPr>
              <w:t xml:space="preserve"> </w:t>
            </w:r>
            <w:r w:rsidRPr="00DD1771">
              <w:rPr>
                <w:rFonts w:asciiTheme="majorBidi" w:hAnsiTheme="majorBidi" w:cstheme="majorBidi"/>
                <w:bCs/>
                <w:i/>
                <w:iCs/>
                <w:sz w:val="20"/>
              </w:rPr>
              <w:t>trumpas</w:t>
            </w:r>
            <w:r w:rsidRPr="008C10C7">
              <w:rPr>
                <w:i/>
                <w:iCs/>
                <w:kern w:val="2"/>
                <w:sz w:val="20"/>
                <w14:ligatures w14:val="standardContextual"/>
              </w:rPr>
              <w:t xml:space="preserve"> aprašymas</w:t>
            </w:r>
            <w:r>
              <w:rPr>
                <w:i/>
                <w:iCs/>
                <w:kern w:val="2"/>
                <w:sz w:val="20"/>
                <w14:ligatures w14:val="standardContextual"/>
              </w:rPr>
              <w:t xml:space="preserve">, </w:t>
            </w:r>
          </w:p>
        </w:tc>
        <w:tc>
          <w:tcPr>
            <w:tcW w:w="947" w:type="pct"/>
            <w:shd w:val="clear" w:color="auto" w:fill="DEEAF6" w:themeFill="accent5" w:themeFillTint="33"/>
          </w:tcPr>
          <w:p w14:paraId="23AFA75C" w14:textId="59A21400" w:rsidR="00DE0283" w:rsidRPr="00FC2240" w:rsidRDefault="00DE0283" w:rsidP="00415318">
            <w:pPr>
              <w:jc w:val="center"/>
              <w:rPr>
                <w:i/>
                <w:iCs/>
                <w:sz w:val="20"/>
              </w:rPr>
            </w:pPr>
            <w:r w:rsidRPr="008C10C7">
              <w:rPr>
                <w:rFonts w:asciiTheme="majorBidi" w:hAnsiTheme="majorBidi" w:cstheme="majorBidi"/>
                <w:bCs/>
                <w:i/>
                <w:iCs/>
                <w:sz w:val="20"/>
              </w:rPr>
              <w:t xml:space="preserve">Specialisto vaidmuo, darbo pobūdis </w:t>
            </w:r>
            <w:r w:rsidRPr="008C10C7">
              <w:rPr>
                <w:bCs/>
                <w:i/>
                <w:iCs/>
                <w:kern w:val="2"/>
                <w:sz w:val="20"/>
                <w14:ligatures w14:val="standardContextual"/>
              </w:rPr>
              <w:t>projekte</w:t>
            </w:r>
            <w:r w:rsidRPr="008C10C7">
              <w:rPr>
                <w:rFonts w:asciiTheme="majorBidi" w:hAnsiTheme="majorBidi" w:cstheme="majorBidi"/>
                <w:bCs/>
                <w:i/>
                <w:iCs/>
                <w:sz w:val="20"/>
              </w:rPr>
              <w:t xml:space="preserve">, </w:t>
            </w:r>
            <w:r w:rsidRPr="008C10C7">
              <w:rPr>
                <w:i/>
                <w:iCs/>
                <w:sz w:val="20"/>
              </w:rPr>
              <w:t>pagrindinės veiklos, atsakomybės</w:t>
            </w:r>
          </w:p>
        </w:tc>
        <w:tc>
          <w:tcPr>
            <w:tcW w:w="1018" w:type="pct"/>
            <w:shd w:val="clear" w:color="auto" w:fill="DEEAF6" w:themeFill="accent5" w:themeFillTint="33"/>
          </w:tcPr>
          <w:p w14:paraId="24B4274D" w14:textId="77777777" w:rsidR="00DE0283" w:rsidRPr="008B78CD" w:rsidRDefault="00DE0283" w:rsidP="00415318">
            <w:pPr>
              <w:shd w:val="clear" w:color="auto" w:fill="DEEAF6" w:themeFill="accent5" w:themeFillTint="33"/>
              <w:tabs>
                <w:tab w:val="left" w:pos="851"/>
              </w:tabs>
              <w:jc w:val="center"/>
              <w:rPr>
                <w:bCs/>
                <w:i/>
                <w:iCs/>
                <w:sz w:val="20"/>
                <w:szCs w:val="16"/>
              </w:rPr>
            </w:pPr>
            <w:r w:rsidRPr="008B78CD">
              <w:rPr>
                <w:bCs/>
                <w:i/>
                <w:iCs/>
                <w:kern w:val="2"/>
                <w:sz w:val="20"/>
                <w:szCs w:val="16"/>
                <w14:ligatures w14:val="standardContextual"/>
              </w:rPr>
              <w:t xml:space="preserve">Užsakovo </w:t>
            </w:r>
            <w:r w:rsidRPr="008B78CD">
              <w:rPr>
                <w:bCs/>
                <w:i/>
                <w:iCs/>
                <w:sz w:val="20"/>
                <w:szCs w:val="16"/>
              </w:rPr>
              <w:t>arba finansuotojo</w:t>
            </w:r>
            <w:r w:rsidRPr="008B78CD">
              <w:rPr>
                <w:bCs/>
                <w:sz w:val="20"/>
                <w:szCs w:val="16"/>
              </w:rPr>
              <w:t xml:space="preserve"> </w:t>
            </w:r>
            <w:r w:rsidRPr="008B78CD">
              <w:rPr>
                <w:bCs/>
                <w:i/>
                <w:iCs/>
                <w:kern w:val="2"/>
                <w:sz w:val="20"/>
                <w:szCs w:val="16"/>
                <w14:ligatures w14:val="standardContextual"/>
              </w:rPr>
              <w:t xml:space="preserve">aktualūs kontaktiniai duomenys </w:t>
            </w:r>
            <w:r w:rsidRPr="008B78CD">
              <w:rPr>
                <w:bCs/>
                <w:i/>
                <w:iCs/>
                <w:sz w:val="20"/>
                <w:szCs w:val="16"/>
              </w:rPr>
              <w:t>(tel. Nr., el. pašto adresas)</w:t>
            </w:r>
            <w:r w:rsidRPr="008B78CD">
              <w:rPr>
                <w:bCs/>
                <w:i/>
                <w:iCs/>
                <w:kern w:val="2"/>
                <w:sz w:val="20"/>
                <w:szCs w:val="16"/>
                <w14:ligatures w14:val="standardContextual"/>
              </w:rPr>
              <w:t xml:space="preserve"> </w:t>
            </w:r>
            <w:r w:rsidRPr="008B78CD">
              <w:rPr>
                <w:bCs/>
                <w:i/>
                <w:iCs/>
                <w:sz w:val="20"/>
                <w:szCs w:val="16"/>
              </w:rPr>
              <w:t>ir jo kontaktinis asmuo (vardas, pavardė, pareigos, tel. Nr., el. paštas)</w:t>
            </w:r>
          </w:p>
          <w:p w14:paraId="2E547543" w14:textId="77777777" w:rsidR="00DE0283" w:rsidRPr="00FC2240" w:rsidRDefault="00DE0283" w:rsidP="00415318">
            <w:pPr>
              <w:jc w:val="center"/>
              <w:rPr>
                <w:i/>
                <w:iCs/>
                <w:sz w:val="20"/>
              </w:rPr>
            </w:pPr>
            <w:r w:rsidRPr="008B78CD">
              <w:rPr>
                <w:bCs/>
                <w:i/>
                <w:iCs/>
                <w:kern w:val="2"/>
                <w:sz w:val="20"/>
                <w:szCs w:val="16"/>
                <w14:ligatures w14:val="standardContextual"/>
              </w:rPr>
              <w:t>pateiktai informacijai patikrinti</w:t>
            </w:r>
          </w:p>
        </w:tc>
      </w:tr>
      <w:tr w:rsidR="00D569E6" w:rsidRPr="00FC2240" w14:paraId="4D5C3246" w14:textId="77777777" w:rsidTr="00415318">
        <w:trPr>
          <w:trHeight w:val="145"/>
        </w:trPr>
        <w:tc>
          <w:tcPr>
            <w:tcW w:w="192" w:type="pct"/>
            <w:vMerge/>
            <w:shd w:val="clear" w:color="auto" w:fill="DEEAF6" w:themeFill="accent5" w:themeFillTint="33"/>
          </w:tcPr>
          <w:p w14:paraId="5D0D3178" w14:textId="77777777" w:rsidR="00DE0283" w:rsidRPr="00FC2240" w:rsidRDefault="00DE0283" w:rsidP="00415318">
            <w:pPr>
              <w:jc w:val="both"/>
              <w:rPr>
                <w:sz w:val="20"/>
              </w:rPr>
            </w:pPr>
          </w:p>
        </w:tc>
        <w:tc>
          <w:tcPr>
            <w:tcW w:w="495" w:type="pct"/>
            <w:shd w:val="clear" w:color="auto" w:fill="DEEAF6" w:themeFill="accent5" w:themeFillTint="33"/>
          </w:tcPr>
          <w:p w14:paraId="5E2FB085" w14:textId="77777777" w:rsidR="00DE0283" w:rsidRPr="00FC2240" w:rsidRDefault="00DE0283" w:rsidP="00415318">
            <w:pPr>
              <w:jc w:val="center"/>
              <w:rPr>
                <w:i/>
                <w:iCs/>
                <w:sz w:val="18"/>
                <w:szCs w:val="18"/>
              </w:rPr>
            </w:pPr>
            <w:r w:rsidRPr="00FC2240">
              <w:rPr>
                <w:i/>
                <w:iCs/>
                <w:sz w:val="18"/>
                <w:szCs w:val="18"/>
              </w:rPr>
              <w:t>1</w:t>
            </w:r>
          </w:p>
        </w:tc>
        <w:tc>
          <w:tcPr>
            <w:tcW w:w="794" w:type="pct"/>
            <w:shd w:val="clear" w:color="auto" w:fill="DEEAF6" w:themeFill="accent5" w:themeFillTint="33"/>
          </w:tcPr>
          <w:p w14:paraId="6693B5AE" w14:textId="77777777" w:rsidR="00DE0283" w:rsidRPr="00FC2240" w:rsidRDefault="00DE0283" w:rsidP="00415318">
            <w:pPr>
              <w:jc w:val="center"/>
              <w:rPr>
                <w:i/>
                <w:iCs/>
                <w:sz w:val="18"/>
                <w:szCs w:val="18"/>
              </w:rPr>
            </w:pPr>
            <w:r w:rsidRPr="00FC2240">
              <w:rPr>
                <w:i/>
                <w:iCs/>
                <w:sz w:val="18"/>
                <w:szCs w:val="18"/>
              </w:rPr>
              <w:t>2</w:t>
            </w:r>
          </w:p>
        </w:tc>
        <w:tc>
          <w:tcPr>
            <w:tcW w:w="766" w:type="pct"/>
            <w:shd w:val="clear" w:color="auto" w:fill="DEEAF6" w:themeFill="accent5" w:themeFillTint="33"/>
          </w:tcPr>
          <w:p w14:paraId="4BADCC78" w14:textId="77777777" w:rsidR="00DE0283" w:rsidRPr="00FC2240" w:rsidRDefault="00DE0283" w:rsidP="00415318">
            <w:pPr>
              <w:jc w:val="center"/>
              <w:rPr>
                <w:i/>
                <w:iCs/>
                <w:sz w:val="18"/>
                <w:szCs w:val="18"/>
              </w:rPr>
            </w:pPr>
            <w:r w:rsidRPr="00FC2240">
              <w:rPr>
                <w:i/>
                <w:iCs/>
                <w:sz w:val="18"/>
                <w:szCs w:val="18"/>
              </w:rPr>
              <w:t>3</w:t>
            </w:r>
          </w:p>
        </w:tc>
        <w:tc>
          <w:tcPr>
            <w:tcW w:w="788" w:type="pct"/>
            <w:shd w:val="clear" w:color="auto" w:fill="DEEAF6" w:themeFill="accent5" w:themeFillTint="33"/>
          </w:tcPr>
          <w:p w14:paraId="658A05E3" w14:textId="77777777" w:rsidR="00DE0283" w:rsidRPr="00FC2240" w:rsidRDefault="00DE0283" w:rsidP="00415318">
            <w:pPr>
              <w:jc w:val="center"/>
              <w:rPr>
                <w:i/>
                <w:iCs/>
                <w:sz w:val="18"/>
                <w:szCs w:val="18"/>
              </w:rPr>
            </w:pPr>
            <w:r w:rsidRPr="00FC2240">
              <w:rPr>
                <w:i/>
                <w:iCs/>
                <w:sz w:val="18"/>
                <w:szCs w:val="18"/>
              </w:rPr>
              <w:t>4</w:t>
            </w:r>
          </w:p>
        </w:tc>
        <w:tc>
          <w:tcPr>
            <w:tcW w:w="947" w:type="pct"/>
            <w:shd w:val="clear" w:color="auto" w:fill="DEEAF6" w:themeFill="accent5" w:themeFillTint="33"/>
          </w:tcPr>
          <w:p w14:paraId="7B10BDB0" w14:textId="77777777" w:rsidR="00DE0283" w:rsidRPr="00FC2240" w:rsidRDefault="00DE0283" w:rsidP="00415318">
            <w:pPr>
              <w:jc w:val="center"/>
              <w:rPr>
                <w:i/>
                <w:iCs/>
                <w:sz w:val="18"/>
                <w:szCs w:val="18"/>
              </w:rPr>
            </w:pPr>
            <w:r w:rsidRPr="00FC2240">
              <w:rPr>
                <w:i/>
                <w:iCs/>
                <w:sz w:val="18"/>
                <w:szCs w:val="18"/>
              </w:rPr>
              <w:t>5</w:t>
            </w:r>
          </w:p>
        </w:tc>
        <w:tc>
          <w:tcPr>
            <w:tcW w:w="1018" w:type="pct"/>
            <w:shd w:val="clear" w:color="auto" w:fill="DEEAF6" w:themeFill="accent5" w:themeFillTint="33"/>
          </w:tcPr>
          <w:p w14:paraId="4C49FC2D" w14:textId="77777777" w:rsidR="00DE0283" w:rsidRPr="00FC2240" w:rsidRDefault="00DE0283" w:rsidP="00415318">
            <w:pPr>
              <w:jc w:val="center"/>
              <w:rPr>
                <w:i/>
                <w:iCs/>
                <w:sz w:val="18"/>
                <w:szCs w:val="18"/>
              </w:rPr>
            </w:pPr>
            <w:r>
              <w:rPr>
                <w:i/>
                <w:iCs/>
                <w:sz w:val="18"/>
                <w:szCs w:val="18"/>
              </w:rPr>
              <w:t>6</w:t>
            </w:r>
          </w:p>
        </w:tc>
      </w:tr>
      <w:tr w:rsidR="00D569E6" w:rsidRPr="00FC2240" w14:paraId="1C6EC89B" w14:textId="77777777" w:rsidTr="00415318">
        <w:trPr>
          <w:trHeight w:val="698"/>
        </w:trPr>
        <w:tc>
          <w:tcPr>
            <w:tcW w:w="192" w:type="pct"/>
            <w:shd w:val="clear" w:color="auto" w:fill="DEEAF6" w:themeFill="accent5" w:themeFillTint="33"/>
          </w:tcPr>
          <w:p w14:paraId="65017ECB" w14:textId="77777777" w:rsidR="00DE0283" w:rsidRPr="00FC2240" w:rsidRDefault="00DE0283" w:rsidP="00415318">
            <w:pPr>
              <w:pStyle w:val="NoSpacing"/>
              <w:contextualSpacing/>
              <w:rPr>
                <w:sz w:val="20"/>
                <w:szCs w:val="20"/>
                <w:lang w:val="lt-LT"/>
              </w:rPr>
            </w:pPr>
            <w:r w:rsidRPr="00FC2240">
              <w:rPr>
                <w:sz w:val="20"/>
                <w:szCs w:val="20"/>
                <w:lang w:val="lt-LT"/>
              </w:rPr>
              <w:t>1.</w:t>
            </w:r>
          </w:p>
        </w:tc>
        <w:tc>
          <w:tcPr>
            <w:tcW w:w="495" w:type="pct"/>
          </w:tcPr>
          <w:p w14:paraId="056A2A03" w14:textId="5137B3CE" w:rsidR="00DE0283" w:rsidRPr="00D569E6" w:rsidRDefault="00D569E6" w:rsidP="00415318">
            <w:pPr>
              <w:pStyle w:val="NoSpacing"/>
              <w:contextualSpacing/>
              <w:rPr>
                <w:szCs w:val="24"/>
                <w:lang w:val="lt-LT"/>
              </w:rPr>
            </w:pPr>
            <w:r w:rsidRPr="00D569E6">
              <w:rPr>
                <w:bCs/>
                <w:szCs w:val="24"/>
                <w:lang w:val="lt-LT"/>
              </w:rPr>
              <w:t>Projekto vadovas</w:t>
            </w:r>
          </w:p>
        </w:tc>
        <w:tc>
          <w:tcPr>
            <w:tcW w:w="794" w:type="pct"/>
          </w:tcPr>
          <w:p w14:paraId="54DA56A8" w14:textId="77777777" w:rsidR="00DE0283" w:rsidRPr="00FC2240" w:rsidRDefault="00DE0283" w:rsidP="00415318">
            <w:pPr>
              <w:pStyle w:val="NoSpacing"/>
              <w:contextualSpacing/>
              <w:rPr>
                <w:sz w:val="20"/>
                <w:szCs w:val="20"/>
                <w:lang w:val="lt-LT"/>
              </w:rPr>
            </w:pPr>
          </w:p>
        </w:tc>
        <w:tc>
          <w:tcPr>
            <w:tcW w:w="766" w:type="pct"/>
          </w:tcPr>
          <w:p w14:paraId="573B5341"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19F5D7DB" w14:textId="77777777" w:rsidR="00DE0283" w:rsidRPr="00FC2240" w:rsidRDefault="00DE0283" w:rsidP="00415318">
            <w:pPr>
              <w:pStyle w:val="NoSpacing"/>
              <w:contextualSpacing/>
              <w:rPr>
                <w:sz w:val="20"/>
                <w:szCs w:val="20"/>
                <w:lang w:val="lt-LT"/>
              </w:rPr>
            </w:pPr>
          </w:p>
        </w:tc>
        <w:tc>
          <w:tcPr>
            <w:tcW w:w="947" w:type="pct"/>
            <w:shd w:val="clear" w:color="auto" w:fill="FFFFFF" w:themeFill="background1"/>
          </w:tcPr>
          <w:p w14:paraId="0766ADFA" w14:textId="77777777" w:rsidR="00DE0283" w:rsidRPr="00FC2240" w:rsidRDefault="00DE0283" w:rsidP="00415318">
            <w:pPr>
              <w:pStyle w:val="NoSpacing"/>
              <w:contextualSpacing/>
              <w:rPr>
                <w:sz w:val="20"/>
                <w:szCs w:val="20"/>
                <w:lang w:val="lt-LT"/>
              </w:rPr>
            </w:pPr>
          </w:p>
        </w:tc>
        <w:tc>
          <w:tcPr>
            <w:tcW w:w="1018" w:type="pct"/>
            <w:tcBorders>
              <w:bottom w:val="single" w:sz="4" w:space="0" w:color="auto"/>
            </w:tcBorders>
            <w:shd w:val="clear" w:color="auto" w:fill="FFFFFF" w:themeFill="background1"/>
          </w:tcPr>
          <w:p w14:paraId="092CF2E4" w14:textId="77777777" w:rsidR="00DE0283" w:rsidRPr="00FC2240" w:rsidRDefault="00DE0283" w:rsidP="00415318">
            <w:pPr>
              <w:pStyle w:val="NoSpacing"/>
              <w:contextualSpacing/>
              <w:rPr>
                <w:sz w:val="20"/>
                <w:szCs w:val="20"/>
                <w:lang w:val="lt-LT"/>
              </w:rPr>
            </w:pPr>
          </w:p>
        </w:tc>
      </w:tr>
      <w:tr w:rsidR="00D569E6" w:rsidRPr="00FC2240" w14:paraId="3F4A24AC" w14:textId="77777777" w:rsidTr="00415318">
        <w:trPr>
          <w:trHeight w:val="698"/>
        </w:trPr>
        <w:tc>
          <w:tcPr>
            <w:tcW w:w="192" w:type="pct"/>
            <w:shd w:val="clear" w:color="auto" w:fill="DEEAF6" w:themeFill="accent5" w:themeFillTint="33"/>
          </w:tcPr>
          <w:p w14:paraId="6112A97D" w14:textId="77777777" w:rsidR="00DE0283" w:rsidRPr="00FC2240" w:rsidRDefault="00DE0283" w:rsidP="00415318">
            <w:pPr>
              <w:pStyle w:val="NoSpacing"/>
              <w:contextualSpacing/>
              <w:rPr>
                <w:sz w:val="20"/>
                <w:szCs w:val="20"/>
                <w:lang w:val="lt-LT"/>
              </w:rPr>
            </w:pPr>
            <w:r w:rsidRPr="00FC2240">
              <w:rPr>
                <w:sz w:val="20"/>
                <w:szCs w:val="20"/>
                <w:lang w:val="lt-LT"/>
              </w:rPr>
              <w:t>...</w:t>
            </w:r>
          </w:p>
        </w:tc>
        <w:tc>
          <w:tcPr>
            <w:tcW w:w="495" w:type="pct"/>
          </w:tcPr>
          <w:p w14:paraId="23FD0FAE" w14:textId="77777777" w:rsidR="00DE0283" w:rsidRPr="00D569E6" w:rsidRDefault="00DE0283" w:rsidP="00415318">
            <w:pPr>
              <w:pStyle w:val="NoSpacing"/>
              <w:contextualSpacing/>
              <w:rPr>
                <w:bCs/>
                <w:szCs w:val="24"/>
                <w:lang w:val="lt-LT"/>
              </w:rPr>
            </w:pPr>
          </w:p>
        </w:tc>
        <w:tc>
          <w:tcPr>
            <w:tcW w:w="794" w:type="pct"/>
          </w:tcPr>
          <w:p w14:paraId="3E4F55EF" w14:textId="77777777" w:rsidR="00DE0283" w:rsidRPr="00FC2240" w:rsidRDefault="00DE0283" w:rsidP="00415318">
            <w:pPr>
              <w:pStyle w:val="NoSpacing"/>
              <w:contextualSpacing/>
              <w:rPr>
                <w:sz w:val="20"/>
                <w:szCs w:val="20"/>
                <w:lang w:val="lt-LT"/>
              </w:rPr>
            </w:pPr>
          </w:p>
        </w:tc>
        <w:tc>
          <w:tcPr>
            <w:tcW w:w="766" w:type="pct"/>
          </w:tcPr>
          <w:p w14:paraId="04A095DC"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1FA1B8D8" w14:textId="77777777" w:rsidR="00DE0283" w:rsidRPr="00FC2240" w:rsidRDefault="00DE0283" w:rsidP="00415318">
            <w:pPr>
              <w:pStyle w:val="NoSpacing"/>
              <w:contextualSpacing/>
              <w:rPr>
                <w:sz w:val="20"/>
                <w:szCs w:val="20"/>
                <w:lang w:val="lt-LT"/>
              </w:rPr>
            </w:pPr>
          </w:p>
        </w:tc>
        <w:tc>
          <w:tcPr>
            <w:tcW w:w="947" w:type="pct"/>
            <w:shd w:val="clear" w:color="auto" w:fill="FFFFFF" w:themeFill="background1"/>
          </w:tcPr>
          <w:p w14:paraId="1A3CF87C" w14:textId="77777777" w:rsidR="00DE0283" w:rsidRPr="00FC2240" w:rsidRDefault="00DE0283" w:rsidP="00415318">
            <w:pPr>
              <w:pStyle w:val="NoSpacing"/>
              <w:contextualSpacing/>
              <w:rPr>
                <w:sz w:val="20"/>
                <w:szCs w:val="20"/>
                <w:lang w:val="lt-LT"/>
              </w:rPr>
            </w:pPr>
          </w:p>
        </w:tc>
        <w:tc>
          <w:tcPr>
            <w:tcW w:w="1018" w:type="pct"/>
            <w:tcBorders>
              <w:bottom w:val="single" w:sz="4" w:space="0" w:color="auto"/>
            </w:tcBorders>
            <w:shd w:val="clear" w:color="auto" w:fill="FFFFFF" w:themeFill="background1"/>
          </w:tcPr>
          <w:p w14:paraId="3015617F" w14:textId="77777777" w:rsidR="00DE0283" w:rsidRPr="00FC2240" w:rsidRDefault="00DE0283" w:rsidP="00415318">
            <w:pPr>
              <w:pStyle w:val="NoSpacing"/>
              <w:contextualSpacing/>
              <w:rPr>
                <w:sz w:val="20"/>
                <w:szCs w:val="20"/>
                <w:lang w:val="lt-LT"/>
              </w:rPr>
            </w:pPr>
          </w:p>
        </w:tc>
      </w:tr>
      <w:tr w:rsidR="00D569E6" w:rsidRPr="00FC2240" w14:paraId="0C49684A" w14:textId="77777777" w:rsidTr="00415318">
        <w:trPr>
          <w:trHeight w:val="698"/>
        </w:trPr>
        <w:tc>
          <w:tcPr>
            <w:tcW w:w="192" w:type="pct"/>
            <w:shd w:val="clear" w:color="auto" w:fill="DEEAF6" w:themeFill="accent5" w:themeFillTint="33"/>
          </w:tcPr>
          <w:p w14:paraId="1A6DA4AA" w14:textId="77777777" w:rsidR="00DE0283" w:rsidRPr="00FC2240" w:rsidRDefault="00DE0283" w:rsidP="00415318">
            <w:pPr>
              <w:pStyle w:val="NoSpacing"/>
              <w:contextualSpacing/>
              <w:rPr>
                <w:sz w:val="20"/>
                <w:szCs w:val="20"/>
                <w:lang w:val="lt-LT"/>
              </w:rPr>
            </w:pPr>
            <w:r w:rsidRPr="00FC2240">
              <w:rPr>
                <w:sz w:val="20"/>
                <w:szCs w:val="20"/>
                <w:lang w:val="lt-LT"/>
              </w:rPr>
              <w:t xml:space="preserve">2. </w:t>
            </w:r>
          </w:p>
        </w:tc>
        <w:tc>
          <w:tcPr>
            <w:tcW w:w="495" w:type="pct"/>
          </w:tcPr>
          <w:p w14:paraId="7B52E0DA" w14:textId="0A0B9ACB" w:rsidR="00DE0283" w:rsidRPr="00D569E6" w:rsidRDefault="00D569E6" w:rsidP="00415318">
            <w:pPr>
              <w:pStyle w:val="NoSpacing"/>
              <w:contextualSpacing/>
              <w:rPr>
                <w:szCs w:val="24"/>
                <w:lang w:val="lt-LT"/>
              </w:rPr>
            </w:pPr>
            <w:r w:rsidRPr="00D569E6">
              <w:rPr>
                <w:bCs/>
                <w:szCs w:val="24"/>
                <w:lang w:val="lt-LT"/>
              </w:rPr>
              <w:t>Analitikas</w:t>
            </w:r>
          </w:p>
        </w:tc>
        <w:tc>
          <w:tcPr>
            <w:tcW w:w="794" w:type="pct"/>
          </w:tcPr>
          <w:p w14:paraId="3588F5E5" w14:textId="77777777" w:rsidR="00DE0283" w:rsidRPr="00FC2240" w:rsidRDefault="00DE0283" w:rsidP="00415318">
            <w:pPr>
              <w:pStyle w:val="NoSpacing"/>
              <w:contextualSpacing/>
              <w:rPr>
                <w:sz w:val="20"/>
                <w:szCs w:val="20"/>
                <w:lang w:val="lt-LT"/>
              </w:rPr>
            </w:pPr>
          </w:p>
        </w:tc>
        <w:tc>
          <w:tcPr>
            <w:tcW w:w="766" w:type="pct"/>
          </w:tcPr>
          <w:p w14:paraId="624E1ED7"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6A021756" w14:textId="77777777" w:rsidR="00DE0283" w:rsidRPr="00FC2240" w:rsidRDefault="00DE0283" w:rsidP="00415318">
            <w:pPr>
              <w:pStyle w:val="NoSpacing"/>
              <w:contextualSpacing/>
              <w:rPr>
                <w:sz w:val="20"/>
                <w:szCs w:val="20"/>
                <w:lang w:val="lt-LT"/>
              </w:rPr>
            </w:pPr>
          </w:p>
        </w:tc>
        <w:tc>
          <w:tcPr>
            <w:tcW w:w="947" w:type="pct"/>
            <w:tcBorders>
              <w:right w:val="single" w:sz="4" w:space="0" w:color="auto"/>
            </w:tcBorders>
            <w:shd w:val="clear" w:color="auto" w:fill="FFFFFF" w:themeFill="background1"/>
          </w:tcPr>
          <w:p w14:paraId="6D463A65" w14:textId="77777777" w:rsidR="00DE0283" w:rsidRPr="00FC2240" w:rsidRDefault="00DE0283" w:rsidP="00415318">
            <w:pPr>
              <w:pStyle w:val="NoSpacing"/>
              <w:contextualSpacing/>
              <w:rPr>
                <w:sz w:val="20"/>
                <w:szCs w:val="20"/>
                <w:lang w:val="lt-LT"/>
              </w:rPr>
            </w:pPr>
          </w:p>
        </w:tc>
        <w:tc>
          <w:tcPr>
            <w:tcW w:w="1018" w:type="pct"/>
            <w:tcBorders>
              <w:top w:val="single" w:sz="4" w:space="0" w:color="auto"/>
              <w:left w:val="single" w:sz="4" w:space="0" w:color="auto"/>
              <w:bottom w:val="single" w:sz="4" w:space="0" w:color="auto"/>
              <w:tl2br w:val="nil"/>
              <w:tr2bl w:val="nil"/>
            </w:tcBorders>
            <w:shd w:val="clear" w:color="auto" w:fill="FFFFFF" w:themeFill="background1"/>
          </w:tcPr>
          <w:p w14:paraId="3A3B3412" w14:textId="77777777" w:rsidR="00DE0283" w:rsidRPr="00FC2240" w:rsidRDefault="00DE0283" w:rsidP="00415318">
            <w:pPr>
              <w:pStyle w:val="NoSpacing"/>
              <w:contextualSpacing/>
              <w:rPr>
                <w:sz w:val="20"/>
                <w:szCs w:val="20"/>
                <w:lang w:val="lt-LT"/>
              </w:rPr>
            </w:pPr>
          </w:p>
        </w:tc>
      </w:tr>
      <w:tr w:rsidR="00D569E6" w:rsidRPr="00FC2240" w14:paraId="779B7189" w14:textId="77777777" w:rsidTr="00415318">
        <w:trPr>
          <w:trHeight w:val="698"/>
        </w:trPr>
        <w:tc>
          <w:tcPr>
            <w:tcW w:w="192" w:type="pct"/>
            <w:shd w:val="clear" w:color="auto" w:fill="DEEAF6" w:themeFill="accent5" w:themeFillTint="33"/>
          </w:tcPr>
          <w:p w14:paraId="773298E0" w14:textId="77777777" w:rsidR="00DE0283" w:rsidRPr="00FC2240" w:rsidRDefault="00DE0283" w:rsidP="00415318">
            <w:pPr>
              <w:pStyle w:val="NoSpacing"/>
              <w:contextualSpacing/>
              <w:rPr>
                <w:sz w:val="20"/>
                <w:szCs w:val="20"/>
                <w:lang w:val="lt-LT"/>
              </w:rPr>
            </w:pPr>
            <w:r w:rsidRPr="00FC2240">
              <w:rPr>
                <w:sz w:val="20"/>
                <w:szCs w:val="20"/>
                <w:lang w:val="lt-LT"/>
              </w:rPr>
              <w:t>...</w:t>
            </w:r>
          </w:p>
        </w:tc>
        <w:tc>
          <w:tcPr>
            <w:tcW w:w="495" w:type="pct"/>
          </w:tcPr>
          <w:p w14:paraId="6B1FB9D7" w14:textId="77777777" w:rsidR="00DE0283" w:rsidRPr="00D569E6" w:rsidRDefault="00DE0283" w:rsidP="00415318">
            <w:pPr>
              <w:pStyle w:val="NoSpacing"/>
              <w:contextualSpacing/>
              <w:rPr>
                <w:bCs/>
                <w:szCs w:val="24"/>
                <w:lang w:val="lt-LT"/>
              </w:rPr>
            </w:pPr>
          </w:p>
        </w:tc>
        <w:tc>
          <w:tcPr>
            <w:tcW w:w="794" w:type="pct"/>
          </w:tcPr>
          <w:p w14:paraId="3B295FAC" w14:textId="77777777" w:rsidR="00DE0283" w:rsidRPr="00FC2240" w:rsidRDefault="00DE0283" w:rsidP="00415318">
            <w:pPr>
              <w:pStyle w:val="NoSpacing"/>
              <w:contextualSpacing/>
              <w:rPr>
                <w:sz w:val="20"/>
                <w:szCs w:val="20"/>
                <w:lang w:val="lt-LT"/>
              </w:rPr>
            </w:pPr>
          </w:p>
        </w:tc>
        <w:tc>
          <w:tcPr>
            <w:tcW w:w="766" w:type="pct"/>
          </w:tcPr>
          <w:p w14:paraId="3D4818FC"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11F34AAD" w14:textId="77777777" w:rsidR="00DE0283" w:rsidRPr="00FC2240" w:rsidRDefault="00DE0283" w:rsidP="00415318">
            <w:pPr>
              <w:pStyle w:val="NoSpacing"/>
              <w:contextualSpacing/>
              <w:rPr>
                <w:sz w:val="20"/>
                <w:szCs w:val="20"/>
                <w:lang w:val="lt-LT"/>
              </w:rPr>
            </w:pPr>
          </w:p>
        </w:tc>
        <w:tc>
          <w:tcPr>
            <w:tcW w:w="947" w:type="pct"/>
            <w:tcBorders>
              <w:right w:val="single" w:sz="4" w:space="0" w:color="auto"/>
            </w:tcBorders>
            <w:shd w:val="clear" w:color="auto" w:fill="FFFFFF" w:themeFill="background1"/>
          </w:tcPr>
          <w:p w14:paraId="3D847B21" w14:textId="77777777" w:rsidR="00DE0283" w:rsidRPr="00FC2240" w:rsidRDefault="00DE0283" w:rsidP="00415318">
            <w:pPr>
              <w:pStyle w:val="NoSpacing"/>
              <w:contextualSpacing/>
              <w:rPr>
                <w:sz w:val="20"/>
                <w:szCs w:val="20"/>
                <w:lang w:val="lt-LT"/>
              </w:rPr>
            </w:pPr>
          </w:p>
        </w:tc>
        <w:tc>
          <w:tcPr>
            <w:tcW w:w="1018" w:type="pct"/>
            <w:tcBorders>
              <w:top w:val="single" w:sz="4" w:space="0" w:color="auto"/>
              <w:left w:val="single" w:sz="4" w:space="0" w:color="auto"/>
              <w:bottom w:val="single" w:sz="4" w:space="0" w:color="auto"/>
              <w:tl2br w:val="nil"/>
              <w:tr2bl w:val="nil"/>
            </w:tcBorders>
            <w:shd w:val="clear" w:color="auto" w:fill="FFFFFF" w:themeFill="background1"/>
          </w:tcPr>
          <w:p w14:paraId="1E74883E" w14:textId="77777777" w:rsidR="00DE0283" w:rsidRPr="00FC2240" w:rsidRDefault="00DE0283" w:rsidP="00415318">
            <w:pPr>
              <w:pStyle w:val="NoSpacing"/>
              <w:contextualSpacing/>
              <w:rPr>
                <w:sz w:val="20"/>
                <w:szCs w:val="20"/>
                <w:lang w:val="lt-LT"/>
              </w:rPr>
            </w:pPr>
          </w:p>
        </w:tc>
      </w:tr>
      <w:tr w:rsidR="00D569E6" w:rsidRPr="00FC2240" w14:paraId="62B8274A" w14:textId="77777777" w:rsidTr="00415318">
        <w:trPr>
          <w:trHeight w:val="737"/>
        </w:trPr>
        <w:tc>
          <w:tcPr>
            <w:tcW w:w="192" w:type="pct"/>
            <w:shd w:val="clear" w:color="auto" w:fill="DEEAF6" w:themeFill="accent5" w:themeFillTint="33"/>
          </w:tcPr>
          <w:p w14:paraId="215F8BC2" w14:textId="77777777" w:rsidR="00DE0283" w:rsidRPr="00FC2240" w:rsidRDefault="00DE0283" w:rsidP="00415318">
            <w:pPr>
              <w:pStyle w:val="NoSpacing"/>
              <w:contextualSpacing/>
              <w:rPr>
                <w:sz w:val="20"/>
                <w:szCs w:val="20"/>
                <w:lang w:val="lt-LT"/>
              </w:rPr>
            </w:pPr>
            <w:r w:rsidRPr="00FC2240">
              <w:rPr>
                <w:sz w:val="20"/>
                <w:szCs w:val="20"/>
                <w:lang w:val="lt-LT"/>
              </w:rPr>
              <w:t>3.</w:t>
            </w:r>
          </w:p>
        </w:tc>
        <w:tc>
          <w:tcPr>
            <w:tcW w:w="495" w:type="pct"/>
          </w:tcPr>
          <w:p w14:paraId="69815609" w14:textId="70328070" w:rsidR="00DE0283" w:rsidRPr="00D569E6" w:rsidRDefault="00D569E6" w:rsidP="00415318">
            <w:pPr>
              <w:pStyle w:val="NoSpacing"/>
              <w:contextualSpacing/>
              <w:rPr>
                <w:szCs w:val="24"/>
                <w:lang w:val="lt-LT"/>
              </w:rPr>
            </w:pPr>
            <w:r w:rsidRPr="00D569E6">
              <w:rPr>
                <w:bCs/>
                <w:szCs w:val="24"/>
                <w:lang w:val="lt-LT"/>
              </w:rPr>
              <w:t>Sistemos architektas</w:t>
            </w:r>
          </w:p>
        </w:tc>
        <w:tc>
          <w:tcPr>
            <w:tcW w:w="794" w:type="pct"/>
          </w:tcPr>
          <w:p w14:paraId="21CE78D4" w14:textId="77777777" w:rsidR="00DE0283" w:rsidRPr="00FC2240" w:rsidRDefault="00DE0283" w:rsidP="00415318">
            <w:pPr>
              <w:pStyle w:val="NoSpacing"/>
              <w:contextualSpacing/>
              <w:rPr>
                <w:sz w:val="20"/>
                <w:szCs w:val="20"/>
                <w:lang w:val="lt-LT"/>
              </w:rPr>
            </w:pPr>
          </w:p>
        </w:tc>
        <w:tc>
          <w:tcPr>
            <w:tcW w:w="766" w:type="pct"/>
          </w:tcPr>
          <w:p w14:paraId="3E07C16D" w14:textId="77777777" w:rsidR="00DE0283" w:rsidRDefault="00DE0283" w:rsidP="00415318">
            <w:pPr>
              <w:pStyle w:val="NoSpacing"/>
              <w:contextualSpacing/>
              <w:rPr>
                <w:sz w:val="20"/>
                <w:szCs w:val="20"/>
                <w:lang w:val="lt-LT"/>
              </w:rPr>
            </w:pPr>
          </w:p>
          <w:p w14:paraId="08FE2387" w14:textId="77777777" w:rsidR="00D569E6" w:rsidRPr="00D569E6" w:rsidRDefault="00D569E6" w:rsidP="00D569E6">
            <w:pPr>
              <w:jc w:val="center"/>
            </w:pPr>
          </w:p>
        </w:tc>
        <w:tc>
          <w:tcPr>
            <w:tcW w:w="788" w:type="pct"/>
            <w:shd w:val="clear" w:color="auto" w:fill="FFFFFF" w:themeFill="background1"/>
          </w:tcPr>
          <w:p w14:paraId="18A5A299" w14:textId="77777777" w:rsidR="00DE0283" w:rsidRPr="00FC2240" w:rsidRDefault="00DE0283" w:rsidP="00415318">
            <w:pPr>
              <w:pStyle w:val="NoSpacing"/>
              <w:contextualSpacing/>
              <w:rPr>
                <w:sz w:val="20"/>
                <w:szCs w:val="20"/>
                <w:lang w:val="lt-LT"/>
              </w:rPr>
            </w:pPr>
          </w:p>
        </w:tc>
        <w:tc>
          <w:tcPr>
            <w:tcW w:w="947" w:type="pct"/>
            <w:tcBorders>
              <w:right w:val="single" w:sz="4" w:space="0" w:color="auto"/>
            </w:tcBorders>
            <w:shd w:val="clear" w:color="auto" w:fill="FFFFFF" w:themeFill="background1"/>
          </w:tcPr>
          <w:p w14:paraId="255B9609" w14:textId="77777777" w:rsidR="00DE0283" w:rsidRPr="00FC2240" w:rsidRDefault="00DE0283" w:rsidP="00415318">
            <w:pPr>
              <w:pStyle w:val="NoSpacing"/>
              <w:contextualSpacing/>
              <w:rPr>
                <w:sz w:val="20"/>
                <w:szCs w:val="20"/>
                <w:lang w:val="lt-LT"/>
              </w:rPr>
            </w:pPr>
          </w:p>
        </w:tc>
        <w:tc>
          <w:tcPr>
            <w:tcW w:w="1018" w:type="pct"/>
            <w:tcBorders>
              <w:left w:val="single" w:sz="4" w:space="0" w:color="auto"/>
              <w:bottom w:val="single" w:sz="4" w:space="0" w:color="auto"/>
              <w:tl2br w:val="nil"/>
              <w:tr2bl w:val="nil"/>
            </w:tcBorders>
            <w:shd w:val="clear" w:color="auto" w:fill="FFFFFF" w:themeFill="background1"/>
          </w:tcPr>
          <w:p w14:paraId="45979190" w14:textId="77777777" w:rsidR="00DE0283" w:rsidRPr="00FC2240" w:rsidRDefault="00DE0283" w:rsidP="00415318">
            <w:pPr>
              <w:pStyle w:val="NoSpacing"/>
              <w:contextualSpacing/>
              <w:rPr>
                <w:sz w:val="20"/>
                <w:szCs w:val="20"/>
                <w:lang w:val="lt-LT"/>
              </w:rPr>
            </w:pPr>
          </w:p>
        </w:tc>
      </w:tr>
      <w:tr w:rsidR="00D569E6" w:rsidRPr="00FC2240" w14:paraId="6F152B59" w14:textId="77777777" w:rsidTr="00415318">
        <w:trPr>
          <w:trHeight w:val="719"/>
        </w:trPr>
        <w:tc>
          <w:tcPr>
            <w:tcW w:w="192" w:type="pct"/>
            <w:shd w:val="clear" w:color="auto" w:fill="DEEAF6" w:themeFill="accent5" w:themeFillTint="33"/>
          </w:tcPr>
          <w:p w14:paraId="4DC823E3" w14:textId="77777777" w:rsidR="00DE0283" w:rsidRPr="00FC2240" w:rsidRDefault="00DE0283" w:rsidP="00415318">
            <w:pPr>
              <w:pStyle w:val="NoSpacing"/>
              <w:contextualSpacing/>
              <w:rPr>
                <w:sz w:val="20"/>
                <w:szCs w:val="20"/>
                <w:lang w:val="lt-LT"/>
              </w:rPr>
            </w:pPr>
            <w:r w:rsidRPr="00FC2240">
              <w:rPr>
                <w:sz w:val="20"/>
                <w:szCs w:val="20"/>
                <w:lang w:val="lt-LT"/>
              </w:rPr>
              <w:t>...</w:t>
            </w:r>
          </w:p>
        </w:tc>
        <w:tc>
          <w:tcPr>
            <w:tcW w:w="495" w:type="pct"/>
          </w:tcPr>
          <w:p w14:paraId="1215ABC9" w14:textId="77777777" w:rsidR="00DE0283" w:rsidRPr="00D569E6" w:rsidRDefault="00DE0283" w:rsidP="00415318">
            <w:pPr>
              <w:pStyle w:val="NoSpacing"/>
              <w:contextualSpacing/>
              <w:rPr>
                <w:szCs w:val="24"/>
                <w:lang w:val="lt-LT"/>
              </w:rPr>
            </w:pPr>
          </w:p>
        </w:tc>
        <w:tc>
          <w:tcPr>
            <w:tcW w:w="794" w:type="pct"/>
          </w:tcPr>
          <w:p w14:paraId="646BFC35" w14:textId="77777777" w:rsidR="00DE0283" w:rsidRPr="00FC2240" w:rsidRDefault="00DE0283" w:rsidP="00415318">
            <w:pPr>
              <w:pStyle w:val="NoSpacing"/>
              <w:contextualSpacing/>
              <w:rPr>
                <w:sz w:val="20"/>
                <w:szCs w:val="20"/>
                <w:lang w:val="lt-LT"/>
              </w:rPr>
            </w:pPr>
          </w:p>
        </w:tc>
        <w:tc>
          <w:tcPr>
            <w:tcW w:w="766" w:type="pct"/>
          </w:tcPr>
          <w:p w14:paraId="1DB77451"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21F612F5" w14:textId="77777777" w:rsidR="00DE0283" w:rsidRPr="00FC2240" w:rsidRDefault="00DE0283" w:rsidP="00415318">
            <w:pPr>
              <w:pStyle w:val="NoSpacing"/>
              <w:contextualSpacing/>
              <w:rPr>
                <w:sz w:val="20"/>
                <w:szCs w:val="20"/>
                <w:lang w:val="lt-LT"/>
              </w:rPr>
            </w:pPr>
          </w:p>
        </w:tc>
        <w:tc>
          <w:tcPr>
            <w:tcW w:w="947" w:type="pct"/>
            <w:shd w:val="clear" w:color="auto" w:fill="FFFFFF" w:themeFill="background1"/>
          </w:tcPr>
          <w:p w14:paraId="7841F813" w14:textId="77777777" w:rsidR="00DE0283" w:rsidRPr="00FC2240" w:rsidRDefault="00DE0283" w:rsidP="00415318">
            <w:pPr>
              <w:pStyle w:val="NoSpacing"/>
              <w:contextualSpacing/>
              <w:rPr>
                <w:sz w:val="20"/>
                <w:szCs w:val="20"/>
                <w:lang w:val="lt-LT"/>
              </w:rPr>
            </w:pPr>
          </w:p>
        </w:tc>
        <w:tc>
          <w:tcPr>
            <w:tcW w:w="1018" w:type="pct"/>
            <w:tcBorders>
              <w:top w:val="single" w:sz="4" w:space="0" w:color="auto"/>
              <w:bottom w:val="single" w:sz="4" w:space="0" w:color="auto"/>
            </w:tcBorders>
            <w:shd w:val="clear" w:color="auto" w:fill="FFFFFF" w:themeFill="background1"/>
          </w:tcPr>
          <w:p w14:paraId="15D6DE27" w14:textId="77777777" w:rsidR="00DE0283" w:rsidRPr="00FC2240" w:rsidRDefault="00DE0283" w:rsidP="00415318">
            <w:pPr>
              <w:pStyle w:val="NoSpacing"/>
              <w:contextualSpacing/>
              <w:rPr>
                <w:sz w:val="20"/>
                <w:szCs w:val="20"/>
                <w:lang w:val="lt-LT"/>
              </w:rPr>
            </w:pPr>
          </w:p>
        </w:tc>
      </w:tr>
      <w:tr w:rsidR="00DE0283" w:rsidRPr="00FC2240" w14:paraId="59AF7818" w14:textId="77777777" w:rsidTr="00415318">
        <w:trPr>
          <w:trHeight w:val="719"/>
        </w:trPr>
        <w:tc>
          <w:tcPr>
            <w:tcW w:w="192" w:type="pct"/>
            <w:shd w:val="clear" w:color="auto" w:fill="DEEAF6" w:themeFill="accent5" w:themeFillTint="33"/>
          </w:tcPr>
          <w:p w14:paraId="1CD9F241" w14:textId="61E5E4C8" w:rsidR="00DE0283" w:rsidRPr="00FC2240" w:rsidRDefault="00DE0283" w:rsidP="00415318">
            <w:pPr>
              <w:pStyle w:val="NoSpacing"/>
              <w:contextualSpacing/>
              <w:rPr>
                <w:sz w:val="20"/>
                <w:szCs w:val="20"/>
                <w:lang w:val="lt-LT"/>
              </w:rPr>
            </w:pPr>
            <w:r>
              <w:rPr>
                <w:sz w:val="20"/>
                <w:szCs w:val="20"/>
                <w:lang w:val="lt-LT"/>
              </w:rPr>
              <w:t>4.</w:t>
            </w:r>
          </w:p>
        </w:tc>
        <w:tc>
          <w:tcPr>
            <w:tcW w:w="495" w:type="pct"/>
          </w:tcPr>
          <w:p w14:paraId="702F705E" w14:textId="4C57C5D4" w:rsidR="00DE0283" w:rsidRPr="00D569E6" w:rsidRDefault="00D569E6" w:rsidP="00415318">
            <w:pPr>
              <w:pStyle w:val="NoSpacing"/>
              <w:contextualSpacing/>
              <w:rPr>
                <w:szCs w:val="24"/>
                <w:lang w:val="lt-LT"/>
              </w:rPr>
            </w:pPr>
            <w:r w:rsidRPr="00D569E6">
              <w:rPr>
                <w:szCs w:val="24"/>
                <w:lang w:val="lt-LT"/>
              </w:rPr>
              <w:t>Programuotojas</w:t>
            </w:r>
          </w:p>
        </w:tc>
        <w:tc>
          <w:tcPr>
            <w:tcW w:w="794" w:type="pct"/>
          </w:tcPr>
          <w:p w14:paraId="66F6AE4C" w14:textId="77777777" w:rsidR="00DE0283" w:rsidRPr="00FC2240" w:rsidRDefault="00DE0283" w:rsidP="00415318">
            <w:pPr>
              <w:pStyle w:val="NoSpacing"/>
              <w:contextualSpacing/>
              <w:rPr>
                <w:sz w:val="20"/>
                <w:szCs w:val="20"/>
                <w:lang w:val="lt-LT"/>
              </w:rPr>
            </w:pPr>
          </w:p>
        </w:tc>
        <w:tc>
          <w:tcPr>
            <w:tcW w:w="766" w:type="pct"/>
          </w:tcPr>
          <w:p w14:paraId="20898608" w14:textId="77777777" w:rsidR="00DE0283" w:rsidRPr="00FC2240" w:rsidRDefault="00DE0283" w:rsidP="00415318">
            <w:pPr>
              <w:pStyle w:val="NoSpacing"/>
              <w:contextualSpacing/>
              <w:rPr>
                <w:sz w:val="20"/>
                <w:szCs w:val="20"/>
                <w:lang w:val="lt-LT"/>
              </w:rPr>
            </w:pPr>
          </w:p>
        </w:tc>
        <w:tc>
          <w:tcPr>
            <w:tcW w:w="788" w:type="pct"/>
            <w:shd w:val="clear" w:color="auto" w:fill="FFFFFF" w:themeFill="background1"/>
          </w:tcPr>
          <w:p w14:paraId="56E7B460" w14:textId="77777777" w:rsidR="00DE0283" w:rsidRPr="00FC2240" w:rsidRDefault="00DE0283" w:rsidP="00415318">
            <w:pPr>
              <w:pStyle w:val="NoSpacing"/>
              <w:contextualSpacing/>
              <w:rPr>
                <w:sz w:val="20"/>
                <w:szCs w:val="20"/>
                <w:lang w:val="lt-LT"/>
              </w:rPr>
            </w:pPr>
          </w:p>
        </w:tc>
        <w:tc>
          <w:tcPr>
            <w:tcW w:w="947" w:type="pct"/>
            <w:shd w:val="clear" w:color="auto" w:fill="FFFFFF" w:themeFill="background1"/>
          </w:tcPr>
          <w:p w14:paraId="11FFAE0E" w14:textId="77777777" w:rsidR="00DE0283" w:rsidRPr="00FC2240" w:rsidRDefault="00DE0283" w:rsidP="00415318">
            <w:pPr>
              <w:pStyle w:val="NoSpacing"/>
              <w:contextualSpacing/>
              <w:rPr>
                <w:sz w:val="20"/>
                <w:szCs w:val="20"/>
                <w:lang w:val="lt-LT"/>
              </w:rPr>
            </w:pPr>
          </w:p>
        </w:tc>
        <w:tc>
          <w:tcPr>
            <w:tcW w:w="1018" w:type="pct"/>
            <w:tcBorders>
              <w:top w:val="single" w:sz="4" w:space="0" w:color="auto"/>
              <w:bottom w:val="single" w:sz="4" w:space="0" w:color="auto"/>
            </w:tcBorders>
            <w:shd w:val="clear" w:color="auto" w:fill="FFFFFF" w:themeFill="background1"/>
          </w:tcPr>
          <w:p w14:paraId="18C50723" w14:textId="77777777" w:rsidR="00DE0283" w:rsidRPr="00FC2240" w:rsidRDefault="00DE0283" w:rsidP="00415318">
            <w:pPr>
              <w:pStyle w:val="NoSpacing"/>
              <w:contextualSpacing/>
              <w:rPr>
                <w:sz w:val="20"/>
                <w:szCs w:val="20"/>
                <w:lang w:val="lt-LT"/>
              </w:rPr>
            </w:pPr>
          </w:p>
        </w:tc>
      </w:tr>
      <w:tr w:rsidR="00D569E6" w:rsidRPr="00FC2240" w14:paraId="763B0096" w14:textId="77777777" w:rsidTr="00415318">
        <w:trPr>
          <w:trHeight w:val="719"/>
        </w:trPr>
        <w:tc>
          <w:tcPr>
            <w:tcW w:w="192" w:type="pct"/>
            <w:shd w:val="clear" w:color="auto" w:fill="DEEAF6" w:themeFill="accent5" w:themeFillTint="33"/>
          </w:tcPr>
          <w:p w14:paraId="03B7816A" w14:textId="77C74626" w:rsidR="00D569E6" w:rsidRDefault="00D569E6" w:rsidP="00415318">
            <w:pPr>
              <w:pStyle w:val="NoSpacing"/>
              <w:contextualSpacing/>
              <w:rPr>
                <w:sz w:val="20"/>
                <w:szCs w:val="20"/>
                <w:lang w:val="lt-LT"/>
              </w:rPr>
            </w:pPr>
            <w:r>
              <w:rPr>
                <w:sz w:val="20"/>
                <w:szCs w:val="20"/>
                <w:lang w:val="lt-LT"/>
              </w:rPr>
              <w:t>...</w:t>
            </w:r>
          </w:p>
        </w:tc>
        <w:tc>
          <w:tcPr>
            <w:tcW w:w="495" w:type="pct"/>
          </w:tcPr>
          <w:p w14:paraId="31EC7203" w14:textId="77777777" w:rsidR="00D569E6" w:rsidRPr="00FC2240" w:rsidRDefault="00D569E6" w:rsidP="00415318">
            <w:pPr>
              <w:pStyle w:val="NoSpacing"/>
              <w:contextualSpacing/>
              <w:rPr>
                <w:sz w:val="20"/>
                <w:szCs w:val="20"/>
                <w:lang w:val="lt-LT"/>
              </w:rPr>
            </w:pPr>
          </w:p>
        </w:tc>
        <w:tc>
          <w:tcPr>
            <w:tcW w:w="794" w:type="pct"/>
          </w:tcPr>
          <w:p w14:paraId="56DEA0E6" w14:textId="77777777" w:rsidR="00D569E6" w:rsidRPr="00FC2240" w:rsidRDefault="00D569E6" w:rsidP="00415318">
            <w:pPr>
              <w:pStyle w:val="NoSpacing"/>
              <w:contextualSpacing/>
              <w:rPr>
                <w:sz w:val="20"/>
                <w:szCs w:val="20"/>
                <w:lang w:val="lt-LT"/>
              </w:rPr>
            </w:pPr>
          </w:p>
        </w:tc>
        <w:tc>
          <w:tcPr>
            <w:tcW w:w="766" w:type="pct"/>
          </w:tcPr>
          <w:p w14:paraId="35CF8028" w14:textId="77777777" w:rsidR="00D569E6" w:rsidRPr="00FC2240" w:rsidRDefault="00D569E6" w:rsidP="00415318">
            <w:pPr>
              <w:pStyle w:val="NoSpacing"/>
              <w:contextualSpacing/>
              <w:rPr>
                <w:sz w:val="20"/>
                <w:szCs w:val="20"/>
                <w:lang w:val="lt-LT"/>
              </w:rPr>
            </w:pPr>
          </w:p>
        </w:tc>
        <w:tc>
          <w:tcPr>
            <w:tcW w:w="788" w:type="pct"/>
            <w:shd w:val="clear" w:color="auto" w:fill="FFFFFF" w:themeFill="background1"/>
          </w:tcPr>
          <w:p w14:paraId="747447E2" w14:textId="77777777" w:rsidR="00D569E6" w:rsidRPr="00FC2240" w:rsidRDefault="00D569E6" w:rsidP="00415318">
            <w:pPr>
              <w:pStyle w:val="NoSpacing"/>
              <w:contextualSpacing/>
              <w:rPr>
                <w:sz w:val="20"/>
                <w:szCs w:val="20"/>
                <w:lang w:val="lt-LT"/>
              </w:rPr>
            </w:pPr>
          </w:p>
        </w:tc>
        <w:tc>
          <w:tcPr>
            <w:tcW w:w="947" w:type="pct"/>
            <w:shd w:val="clear" w:color="auto" w:fill="FFFFFF" w:themeFill="background1"/>
          </w:tcPr>
          <w:p w14:paraId="2BF6A2A3" w14:textId="77777777" w:rsidR="00D569E6" w:rsidRPr="00FC2240" w:rsidRDefault="00D569E6" w:rsidP="00415318">
            <w:pPr>
              <w:pStyle w:val="NoSpacing"/>
              <w:contextualSpacing/>
              <w:rPr>
                <w:sz w:val="20"/>
                <w:szCs w:val="20"/>
                <w:lang w:val="lt-LT"/>
              </w:rPr>
            </w:pPr>
          </w:p>
        </w:tc>
        <w:tc>
          <w:tcPr>
            <w:tcW w:w="1018" w:type="pct"/>
            <w:tcBorders>
              <w:top w:val="single" w:sz="4" w:space="0" w:color="auto"/>
              <w:bottom w:val="single" w:sz="4" w:space="0" w:color="auto"/>
            </w:tcBorders>
            <w:shd w:val="clear" w:color="auto" w:fill="FFFFFF" w:themeFill="background1"/>
          </w:tcPr>
          <w:p w14:paraId="2FCA12AB" w14:textId="77777777" w:rsidR="00D569E6" w:rsidRPr="00FC2240" w:rsidRDefault="00D569E6" w:rsidP="00415318">
            <w:pPr>
              <w:pStyle w:val="NoSpacing"/>
              <w:contextualSpacing/>
              <w:rPr>
                <w:sz w:val="20"/>
                <w:szCs w:val="20"/>
                <w:lang w:val="lt-LT"/>
              </w:rPr>
            </w:pPr>
          </w:p>
        </w:tc>
      </w:tr>
    </w:tbl>
    <w:p w14:paraId="3D3E1B54" w14:textId="77777777" w:rsidR="00322535" w:rsidRDefault="00322535" w:rsidP="00322535">
      <w:pPr>
        <w:pBdr>
          <w:top w:val="nil"/>
          <w:left w:val="nil"/>
          <w:bottom w:val="nil"/>
          <w:right w:val="nil"/>
          <w:between w:val="nil"/>
          <w:bar w:val="nil"/>
        </w:pBdr>
        <w:jc w:val="both"/>
        <w:rPr>
          <w:rFonts w:eastAsia="Arial Unicode MS"/>
          <w:i/>
          <w:iCs/>
          <w:sz w:val="20"/>
          <w:bdr w:val="nil"/>
        </w:rPr>
      </w:pPr>
    </w:p>
    <w:p w14:paraId="67D8A7C8" w14:textId="21BBD098" w:rsidR="00322535" w:rsidRPr="00322535" w:rsidRDefault="00322535" w:rsidP="00322535">
      <w:pPr>
        <w:pBdr>
          <w:top w:val="nil"/>
          <w:left w:val="nil"/>
          <w:bottom w:val="nil"/>
          <w:right w:val="nil"/>
          <w:between w:val="nil"/>
          <w:bar w:val="nil"/>
        </w:pBdr>
        <w:jc w:val="both"/>
        <w:rPr>
          <w:rFonts w:eastAsia="Arial Unicode MS"/>
          <w:i/>
          <w:iCs/>
          <w:sz w:val="20"/>
          <w:bdr w:val="nil"/>
        </w:rPr>
      </w:pPr>
      <w:r w:rsidRPr="00322535">
        <w:rPr>
          <w:rFonts w:eastAsia="Arial Unicode MS"/>
          <w:i/>
          <w:iCs/>
          <w:sz w:val="20"/>
          <w:bdr w:val="nil"/>
        </w:rPr>
        <w:t>Specialistų patirtis skaičiuojama mėnesiais. Jei keliamas reikalavimas turėti specialistui patirtį konkrečioje srityje, pavyzdžiui ne mažiau kaip 1 (vienerius) metus, tai turi būti suminė patirtis ne mažiau kaip 12 mėn. Darbo patirtis tuo pačiu laikotarpiu vykdant skirtingas sutartis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p w14:paraId="17FD4ED2" w14:textId="39D96575" w:rsidR="00FA2EDE" w:rsidRDefault="00FA2EDE" w:rsidP="00B1636D">
      <w:pPr>
        <w:tabs>
          <w:tab w:val="left" w:pos="4224"/>
          <w:tab w:val="left" w:pos="4932"/>
        </w:tabs>
        <w:jc w:val="both"/>
        <w:rPr>
          <w:szCs w:val="24"/>
          <w:lang w:eastAsia="ar-SA"/>
        </w:rPr>
      </w:pPr>
    </w:p>
    <w:p w14:paraId="468F1C68" w14:textId="77777777" w:rsidR="00B97116" w:rsidRDefault="00B97116" w:rsidP="00B97116">
      <w:pPr>
        <w:tabs>
          <w:tab w:val="left" w:pos="4224"/>
          <w:tab w:val="left" w:pos="4932"/>
        </w:tabs>
        <w:jc w:val="both"/>
        <w:rPr>
          <w:b/>
          <w:bCs/>
          <w:szCs w:val="24"/>
          <w:u w:val="single"/>
          <w:lang w:eastAsia="ar-SA"/>
        </w:rPr>
      </w:pPr>
      <w:r w:rsidRPr="00FC2240">
        <w:rPr>
          <w:b/>
          <w:bCs/>
          <w:szCs w:val="24"/>
          <w:u w:val="single"/>
          <w:lang w:eastAsia="ar-SA"/>
        </w:rPr>
        <w:t>PASTABOS:</w:t>
      </w:r>
    </w:p>
    <w:p w14:paraId="3C2DFFA2" w14:textId="77777777" w:rsidR="000E1806" w:rsidRDefault="00565E0F" w:rsidP="000E1806">
      <w:pPr>
        <w:rPr>
          <w:rFonts w:asciiTheme="majorBidi" w:hAnsiTheme="majorBidi" w:cstheme="majorBidi"/>
          <w:iCs/>
          <w:color w:val="000000" w:themeColor="text1"/>
        </w:rPr>
      </w:pPr>
      <w:r w:rsidRPr="00565E0F">
        <w:rPr>
          <w:color w:val="000000" w:themeColor="text1"/>
          <w:szCs w:val="24"/>
          <w:u w:val="single"/>
          <w:lang w:eastAsia="ar-SA"/>
        </w:rPr>
        <w:t xml:space="preserve">1. </w:t>
      </w:r>
      <w:r w:rsidRPr="00565E0F">
        <w:rPr>
          <w:rFonts w:asciiTheme="majorBidi" w:hAnsiTheme="majorBidi" w:cstheme="majorBidi"/>
          <w:iCs/>
          <w:color w:val="000000" w:themeColor="text1"/>
        </w:rPr>
        <w:t xml:space="preserve">Siekiant užtikrinti tinkamą pasiūlymų vertinimą skiriant ekonominio naudingumo balus už „Atsakingų specialistų patirtis (Q)“ antrąjį </w:t>
      </w:r>
      <w:r w:rsidRPr="00565E0F">
        <w:rPr>
          <w:rFonts w:asciiTheme="majorBidi" w:hAnsiTheme="majorBidi" w:cstheme="majorBidi"/>
          <w:color w:val="000000" w:themeColor="text1"/>
        </w:rPr>
        <w:t>kriterijų</w:t>
      </w:r>
      <w:r w:rsidRPr="00565E0F">
        <w:rPr>
          <w:rFonts w:asciiTheme="majorBidi" w:hAnsiTheme="majorBidi" w:cstheme="majorBidi"/>
          <w:iCs/>
          <w:color w:val="000000" w:themeColor="text1"/>
        </w:rPr>
        <w:t xml:space="preserve">, </w:t>
      </w:r>
      <w:r w:rsidRPr="00565E0F">
        <w:rPr>
          <w:rFonts w:asciiTheme="majorBidi" w:hAnsiTheme="majorBidi" w:cstheme="majorBidi"/>
          <w:iCs/>
          <w:color w:val="000000" w:themeColor="text1"/>
          <w:u w:val="single"/>
        </w:rPr>
        <w:t>tiekėjų prašoma kartu su pasiūlymu pateikti</w:t>
      </w:r>
      <w:r w:rsidRPr="00565E0F">
        <w:rPr>
          <w:rFonts w:asciiTheme="majorBidi" w:hAnsiTheme="majorBidi" w:cstheme="majorBidi"/>
          <w:iCs/>
          <w:color w:val="000000" w:themeColor="text1"/>
        </w:rPr>
        <w:t xml:space="preserve"> specialiųjų pirkimo sąlygų 5 priedo „Kvalifikacijos ir kiti reikalavimai“ </w:t>
      </w:r>
      <w:bookmarkStart w:id="0" w:name="_Hlk214531887"/>
      <w:r w:rsidRPr="00565E0F">
        <w:rPr>
          <w:rFonts w:asciiTheme="majorBidi" w:hAnsiTheme="majorBidi" w:cstheme="majorBidi"/>
          <w:color w:val="000000" w:themeColor="text1"/>
        </w:rPr>
        <w:t>lentelės 2.1 - 2.</w:t>
      </w:r>
      <w:r w:rsidR="0051572E">
        <w:rPr>
          <w:rFonts w:asciiTheme="majorBidi" w:hAnsiTheme="majorBidi" w:cstheme="majorBidi"/>
          <w:color w:val="000000" w:themeColor="text1"/>
        </w:rPr>
        <w:t>4</w:t>
      </w:r>
      <w:r w:rsidRPr="00565E0F">
        <w:rPr>
          <w:rFonts w:asciiTheme="majorBidi" w:hAnsiTheme="majorBidi" w:cstheme="majorBidi"/>
          <w:iCs/>
          <w:color w:val="000000" w:themeColor="text1"/>
        </w:rPr>
        <w:t xml:space="preserve"> punktuose </w:t>
      </w:r>
      <w:bookmarkEnd w:id="0"/>
      <w:r w:rsidRPr="00565E0F">
        <w:rPr>
          <w:rFonts w:asciiTheme="majorBidi" w:hAnsiTheme="majorBidi" w:cstheme="majorBidi"/>
          <w:iCs/>
          <w:color w:val="000000" w:themeColor="text1"/>
        </w:rPr>
        <w:t>nurodytų</w:t>
      </w:r>
    </w:p>
    <w:p w14:paraId="141047C5" w14:textId="7F8F6BF8" w:rsidR="00565E0F" w:rsidRPr="000E1806" w:rsidRDefault="00565E0F" w:rsidP="000E1806">
      <w:pPr>
        <w:rPr>
          <w:rFonts w:asciiTheme="majorBidi" w:hAnsiTheme="majorBidi" w:cstheme="majorBidi"/>
          <w:iCs/>
          <w:color w:val="000000" w:themeColor="text1"/>
        </w:rPr>
      </w:pPr>
      <w:r w:rsidRPr="00565E0F">
        <w:rPr>
          <w:rFonts w:asciiTheme="majorBidi" w:hAnsiTheme="majorBidi" w:cstheme="majorBidi"/>
          <w:iCs/>
          <w:color w:val="000000" w:themeColor="text1"/>
        </w:rPr>
        <w:t>specialistų kvalifikacijos atitiktį pagrindžiančius dokumentus. Tiekėjų atitikties šiam (-iems) kvalifikacijos reikalavimui (-ams)</w:t>
      </w:r>
      <w:r w:rsidRPr="00565E0F">
        <w:rPr>
          <w:rFonts w:asciiTheme="majorBidi" w:hAnsiTheme="majorBidi" w:cstheme="majorBidi"/>
          <w:color w:val="000000" w:themeColor="text1"/>
        </w:rPr>
        <w:t xml:space="preserve"> </w:t>
      </w:r>
      <w:r w:rsidRPr="00565E0F">
        <w:rPr>
          <w:rFonts w:asciiTheme="majorBidi" w:hAnsiTheme="majorBidi" w:cstheme="majorBidi"/>
          <w:iCs/>
          <w:color w:val="000000" w:themeColor="text1"/>
        </w:rPr>
        <w:t>vertinimas bus atliekamas ekonomiškai naudingiausio pasiūlymo vertinimo etape.</w:t>
      </w:r>
    </w:p>
    <w:p w14:paraId="2960322C" w14:textId="7F02C77D" w:rsidR="00ED3FA9" w:rsidRPr="00AA39A5" w:rsidRDefault="00565E0F" w:rsidP="00B97116">
      <w:pPr>
        <w:tabs>
          <w:tab w:val="left" w:pos="4224"/>
          <w:tab w:val="left" w:pos="4932"/>
        </w:tabs>
        <w:jc w:val="both"/>
        <w:rPr>
          <w:b/>
          <w:bCs/>
          <w:sz w:val="20"/>
        </w:rPr>
      </w:pPr>
      <w:r>
        <w:rPr>
          <w:color w:val="000000"/>
          <w:szCs w:val="24"/>
        </w:rPr>
        <w:t>2</w:t>
      </w:r>
      <w:r w:rsidR="00EE12E4">
        <w:rPr>
          <w:color w:val="000000"/>
          <w:szCs w:val="24"/>
        </w:rPr>
        <w:t xml:space="preserve">. </w:t>
      </w:r>
      <w:r w:rsidR="00B97116" w:rsidRPr="00644988">
        <w:rPr>
          <w:color w:val="000000"/>
          <w:szCs w:val="24"/>
        </w:rPr>
        <w:t>Perkančioji organizacija, norėdama įsitikinti arba siekdama pasitikslinti pateiktą informaciją apie specialistų papildomą patirtį, atskiru prašymu gali paprašyti pateikti įvykdytų sutarčių, projektų arba veiklų kopijas arba išrašus iš sutarčių, projektų arba veiklų bei sutarties, projekto arba veiklos objektą apibūdinančius dokumentus (pvz., techninę užduotį),</w:t>
      </w:r>
      <w:r w:rsidR="00B97116" w:rsidRPr="00644988">
        <w:rPr>
          <w:color w:val="000000" w:themeColor="text1"/>
          <w:szCs w:val="24"/>
        </w:rPr>
        <w:t xml:space="preserve"> jei pateikiama finansuotojo pažyma – dokumentus, įrodančius, kad projektai, sutartys ar veiklos buvo finansuoti nurodyto finansuotojo,</w:t>
      </w:r>
      <w:r w:rsidR="00B97116" w:rsidRPr="00644988">
        <w:rPr>
          <w:color w:val="000000"/>
          <w:szCs w:val="24"/>
        </w:rPr>
        <w:t xml:space="preserve"> arba be išankstinio įspėjimo susisiekti su Tiekėjo nurodytu užsakovo ar finansuotojo atstovu</w:t>
      </w:r>
      <w:r w:rsidR="000F71E5">
        <w:rPr>
          <w:color w:val="000000"/>
          <w:szCs w:val="24"/>
        </w:rPr>
        <w:t>.</w:t>
      </w:r>
    </w:p>
    <w:sectPr w:rsidR="00ED3FA9" w:rsidRPr="00AA39A5" w:rsidSect="00E127CF">
      <w:pgSz w:w="15840" w:h="12240" w:orient="landscape"/>
      <w:pgMar w:top="851" w:right="28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C104" w14:textId="77777777" w:rsidR="00F9525E" w:rsidRDefault="00F9525E" w:rsidP="000F04C2">
      <w:r>
        <w:separator/>
      </w:r>
    </w:p>
  </w:endnote>
  <w:endnote w:type="continuationSeparator" w:id="0">
    <w:p w14:paraId="18DEADAA" w14:textId="77777777" w:rsidR="00F9525E" w:rsidRDefault="00F9525E" w:rsidP="000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4842" w14:textId="77777777" w:rsidR="00F9525E" w:rsidRDefault="00F9525E" w:rsidP="000F04C2">
      <w:r>
        <w:separator/>
      </w:r>
    </w:p>
  </w:footnote>
  <w:footnote w:type="continuationSeparator" w:id="0">
    <w:p w14:paraId="76F6FE8D" w14:textId="77777777" w:rsidR="00F9525E" w:rsidRDefault="00F9525E" w:rsidP="000F04C2">
      <w:r>
        <w:continuationSeparator/>
      </w:r>
    </w:p>
  </w:footnote>
  <w:footnote w:id="1">
    <w:p w14:paraId="204825F1" w14:textId="77777777" w:rsidR="000D44D0" w:rsidRDefault="000D44D0" w:rsidP="007D17D7">
      <w:pPr>
        <w:jc w:val="both"/>
        <w:rPr>
          <w:rFonts w:asciiTheme="majorBidi" w:hAnsiTheme="majorBidi" w:cstheme="majorBidi"/>
          <w:i/>
          <w:iCs/>
          <w:sz w:val="22"/>
          <w:szCs w:val="22"/>
        </w:rPr>
      </w:pPr>
      <w:r>
        <w:rPr>
          <w:rStyle w:val="FootnoteReference"/>
          <w:sz w:val="22"/>
          <w:szCs w:val="22"/>
        </w:rPr>
        <w:footnoteRef/>
      </w:r>
      <w:r>
        <w:rPr>
          <w:sz w:val="22"/>
          <w:szCs w:val="22"/>
        </w:rPr>
        <w:t xml:space="preserve"> </w:t>
      </w:r>
      <w:r>
        <w:rPr>
          <w:rFonts w:asciiTheme="majorBidi" w:hAnsiTheme="majorBidi" w:cstheme="majorBidi"/>
          <w:i/>
          <w:iCs/>
          <w:sz w:val="22"/>
          <w:szCs w:val="22"/>
        </w:rPr>
        <w:t>Jeigu pasitelkiamas specialistas nėra tiekėjo darbuotojas</w:t>
      </w:r>
      <w:r>
        <w:rPr>
          <w:rFonts w:asciiTheme="majorBidi" w:hAnsiTheme="majorBidi" w:cstheme="majorBidi"/>
          <w:b/>
          <w:bCs/>
          <w:i/>
          <w:iCs/>
          <w:sz w:val="22"/>
          <w:szCs w:val="22"/>
          <w:u w:val="single"/>
        </w:rPr>
        <w:t>, kartu su pasiūlymų</w:t>
      </w:r>
      <w:r>
        <w:rPr>
          <w:rFonts w:asciiTheme="majorBidi" w:hAnsiTheme="majorBidi" w:cstheme="majorBidi"/>
          <w:i/>
          <w:iCs/>
          <w:sz w:val="22"/>
          <w:szCs w:val="22"/>
        </w:rPr>
        <w:t xml:space="preserve"> turi būti pateikiamas specialisto sutikimas, ketinimų protokolas, sutartis arba kitas dokumentas,</w:t>
      </w:r>
      <w:r>
        <w:rPr>
          <w:i/>
          <w:iCs/>
          <w:sz w:val="22"/>
          <w:szCs w:val="22"/>
        </w:rPr>
        <w:t xml:space="preserve"> </w:t>
      </w:r>
      <w:r>
        <w:rPr>
          <w:rFonts w:asciiTheme="majorBidi" w:hAnsiTheme="majorBidi" w:cstheme="majorBidi"/>
          <w:i/>
          <w:iCs/>
          <w:sz w:val="22"/>
          <w:szCs w:val="22"/>
        </w:rPr>
        <w:t>sudarytas iki pasiūlymų pateikimo termino pabaigos, įrodantis, kad specialisto ištekliai tiekėjui laimėjus konkursą ir pasirašius viešojo pirkimo sutartį bus prieinami.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64E6A"/>
    <w:multiLevelType w:val="hybridMultilevel"/>
    <w:tmpl w:val="E38AE704"/>
    <w:lvl w:ilvl="0" w:tplc="DE70FD7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F7C3B17"/>
    <w:multiLevelType w:val="hybridMultilevel"/>
    <w:tmpl w:val="DDD00C58"/>
    <w:lvl w:ilvl="0" w:tplc="F174A5F2">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182284193">
    <w:abstractNumId w:val="2"/>
  </w:num>
  <w:num w:numId="2" w16cid:durableId="1601638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10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EA"/>
    <w:rsid w:val="00021488"/>
    <w:rsid w:val="0003048E"/>
    <w:rsid w:val="000315AD"/>
    <w:rsid w:val="00031BAA"/>
    <w:rsid w:val="00047A9F"/>
    <w:rsid w:val="000551F9"/>
    <w:rsid w:val="000577C0"/>
    <w:rsid w:val="00064C27"/>
    <w:rsid w:val="00072EE8"/>
    <w:rsid w:val="00083C00"/>
    <w:rsid w:val="00085DD0"/>
    <w:rsid w:val="000A3181"/>
    <w:rsid w:val="000B0018"/>
    <w:rsid w:val="000B0FDD"/>
    <w:rsid w:val="000B32DE"/>
    <w:rsid w:val="000B458F"/>
    <w:rsid w:val="000B6715"/>
    <w:rsid w:val="000C1483"/>
    <w:rsid w:val="000C2ABA"/>
    <w:rsid w:val="000D262D"/>
    <w:rsid w:val="000D44D0"/>
    <w:rsid w:val="000E17A0"/>
    <w:rsid w:val="000E1806"/>
    <w:rsid w:val="000E1A25"/>
    <w:rsid w:val="000F04C2"/>
    <w:rsid w:val="000F71E5"/>
    <w:rsid w:val="001065B6"/>
    <w:rsid w:val="00116AAF"/>
    <w:rsid w:val="00134AA4"/>
    <w:rsid w:val="00135F14"/>
    <w:rsid w:val="001505E1"/>
    <w:rsid w:val="00160CD0"/>
    <w:rsid w:val="00183D6F"/>
    <w:rsid w:val="00183D7B"/>
    <w:rsid w:val="00191307"/>
    <w:rsid w:val="0019180F"/>
    <w:rsid w:val="00192ACC"/>
    <w:rsid w:val="001A100A"/>
    <w:rsid w:val="001A4192"/>
    <w:rsid w:val="001A5FD8"/>
    <w:rsid w:val="001B149B"/>
    <w:rsid w:val="001B3A2D"/>
    <w:rsid w:val="001B485A"/>
    <w:rsid w:val="001B5CD8"/>
    <w:rsid w:val="001D4134"/>
    <w:rsid w:val="001E6F01"/>
    <w:rsid w:val="001F22BD"/>
    <w:rsid w:val="00201608"/>
    <w:rsid w:val="002055B2"/>
    <w:rsid w:val="00211389"/>
    <w:rsid w:val="002151FB"/>
    <w:rsid w:val="0022683A"/>
    <w:rsid w:val="0023151A"/>
    <w:rsid w:val="00233D00"/>
    <w:rsid w:val="002454A8"/>
    <w:rsid w:val="002466A0"/>
    <w:rsid w:val="00251926"/>
    <w:rsid w:val="00251EBD"/>
    <w:rsid w:val="00253B1D"/>
    <w:rsid w:val="0025524A"/>
    <w:rsid w:val="00255F9E"/>
    <w:rsid w:val="00260C3C"/>
    <w:rsid w:val="002628B2"/>
    <w:rsid w:val="00270C0B"/>
    <w:rsid w:val="002726BB"/>
    <w:rsid w:val="00293895"/>
    <w:rsid w:val="00295C72"/>
    <w:rsid w:val="002B25B5"/>
    <w:rsid w:val="002B3DD5"/>
    <w:rsid w:val="002C7F1B"/>
    <w:rsid w:val="002E0A23"/>
    <w:rsid w:val="002E29FF"/>
    <w:rsid w:val="002E634B"/>
    <w:rsid w:val="002F2FF4"/>
    <w:rsid w:val="0030324E"/>
    <w:rsid w:val="00315276"/>
    <w:rsid w:val="00322535"/>
    <w:rsid w:val="0032284E"/>
    <w:rsid w:val="00324033"/>
    <w:rsid w:val="00325FD2"/>
    <w:rsid w:val="00335016"/>
    <w:rsid w:val="00352878"/>
    <w:rsid w:val="00352C85"/>
    <w:rsid w:val="003538F3"/>
    <w:rsid w:val="0035528C"/>
    <w:rsid w:val="00356167"/>
    <w:rsid w:val="003737B2"/>
    <w:rsid w:val="003757AF"/>
    <w:rsid w:val="003806E5"/>
    <w:rsid w:val="00383C96"/>
    <w:rsid w:val="003927C2"/>
    <w:rsid w:val="00393DD7"/>
    <w:rsid w:val="003976D3"/>
    <w:rsid w:val="003A187A"/>
    <w:rsid w:val="003A5559"/>
    <w:rsid w:val="003A5A19"/>
    <w:rsid w:val="003A7E9F"/>
    <w:rsid w:val="003B2A1C"/>
    <w:rsid w:val="003D1458"/>
    <w:rsid w:val="003D2E6D"/>
    <w:rsid w:val="003D518C"/>
    <w:rsid w:val="003E39C6"/>
    <w:rsid w:val="003E45A3"/>
    <w:rsid w:val="003E7CB9"/>
    <w:rsid w:val="003F5399"/>
    <w:rsid w:val="003F6A73"/>
    <w:rsid w:val="00415244"/>
    <w:rsid w:val="0041689E"/>
    <w:rsid w:val="0041699D"/>
    <w:rsid w:val="00416C15"/>
    <w:rsid w:val="0042176C"/>
    <w:rsid w:val="00434697"/>
    <w:rsid w:val="004475DF"/>
    <w:rsid w:val="00453C7F"/>
    <w:rsid w:val="00457023"/>
    <w:rsid w:val="00457673"/>
    <w:rsid w:val="00462DE0"/>
    <w:rsid w:val="0046377B"/>
    <w:rsid w:val="00474312"/>
    <w:rsid w:val="00475A15"/>
    <w:rsid w:val="00476AC0"/>
    <w:rsid w:val="004944DB"/>
    <w:rsid w:val="004A4969"/>
    <w:rsid w:val="004C03BB"/>
    <w:rsid w:val="004C6B53"/>
    <w:rsid w:val="004D7CBF"/>
    <w:rsid w:val="004E4A9A"/>
    <w:rsid w:val="004F0A70"/>
    <w:rsid w:val="004F5CBC"/>
    <w:rsid w:val="00503467"/>
    <w:rsid w:val="0050404E"/>
    <w:rsid w:val="005040F4"/>
    <w:rsid w:val="00511EEA"/>
    <w:rsid w:val="00514F10"/>
    <w:rsid w:val="0051572E"/>
    <w:rsid w:val="005162A1"/>
    <w:rsid w:val="0052701F"/>
    <w:rsid w:val="0054169E"/>
    <w:rsid w:val="0054592C"/>
    <w:rsid w:val="00565E0F"/>
    <w:rsid w:val="00566FF8"/>
    <w:rsid w:val="00570332"/>
    <w:rsid w:val="00573101"/>
    <w:rsid w:val="00576B9F"/>
    <w:rsid w:val="00591357"/>
    <w:rsid w:val="00592C80"/>
    <w:rsid w:val="005972B9"/>
    <w:rsid w:val="005A4A93"/>
    <w:rsid w:val="005B0D98"/>
    <w:rsid w:val="005B32E0"/>
    <w:rsid w:val="005C0588"/>
    <w:rsid w:val="005C0FAF"/>
    <w:rsid w:val="005D1742"/>
    <w:rsid w:val="005D7453"/>
    <w:rsid w:val="005E0EDF"/>
    <w:rsid w:val="005F6913"/>
    <w:rsid w:val="005F6991"/>
    <w:rsid w:val="005F7B1B"/>
    <w:rsid w:val="00605FA2"/>
    <w:rsid w:val="00606E36"/>
    <w:rsid w:val="00612B32"/>
    <w:rsid w:val="00612D8B"/>
    <w:rsid w:val="006207F5"/>
    <w:rsid w:val="006273FA"/>
    <w:rsid w:val="00630001"/>
    <w:rsid w:val="0063614A"/>
    <w:rsid w:val="00651551"/>
    <w:rsid w:val="00676049"/>
    <w:rsid w:val="00676D50"/>
    <w:rsid w:val="00677074"/>
    <w:rsid w:val="00681758"/>
    <w:rsid w:val="006825A5"/>
    <w:rsid w:val="00696F7C"/>
    <w:rsid w:val="006A19CC"/>
    <w:rsid w:val="006B342A"/>
    <w:rsid w:val="006B5E18"/>
    <w:rsid w:val="006C1219"/>
    <w:rsid w:val="006C5807"/>
    <w:rsid w:val="006E5B26"/>
    <w:rsid w:val="006E7909"/>
    <w:rsid w:val="006F17F9"/>
    <w:rsid w:val="00703308"/>
    <w:rsid w:val="007037FC"/>
    <w:rsid w:val="00705BEA"/>
    <w:rsid w:val="00720763"/>
    <w:rsid w:val="00721AB3"/>
    <w:rsid w:val="00731300"/>
    <w:rsid w:val="00737C81"/>
    <w:rsid w:val="007401C2"/>
    <w:rsid w:val="007420AB"/>
    <w:rsid w:val="00744A03"/>
    <w:rsid w:val="00746365"/>
    <w:rsid w:val="007544FE"/>
    <w:rsid w:val="007635DB"/>
    <w:rsid w:val="00767595"/>
    <w:rsid w:val="0077033E"/>
    <w:rsid w:val="00770745"/>
    <w:rsid w:val="00771F09"/>
    <w:rsid w:val="00790FAA"/>
    <w:rsid w:val="00792192"/>
    <w:rsid w:val="007933C6"/>
    <w:rsid w:val="00793482"/>
    <w:rsid w:val="007979D3"/>
    <w:rsid w:val="007A2226"/>
    <w:rsid w:val="007A30B7"/>
    <w:rsid w:val="007B2584"/>
    <w:rsid w:val="007B6ED6"/>
    <w:rsid w:val="007B7FF8"/>
    <w:rsid w:val="007C5589"/>
    <w:rsid w:val="007C6447"/>
    <w:rsid w:val="007D17D7"/>
    <w:rsid w:val="007D4EDF"/>
    <w:rsid w:val="007D7D7F"/>
    <w:rsid w:val="007E0B3A"/>
    <w:rsid w:val="007E2CA6"/>
    <w:rsid w:val="007E5DD8"/>
    <w:rsid w:val="007F0BFF"/>
    <w:rsid w:val="007F1DCE"/>
    <w:rsid w:val="007F4E72"/>
    <w:rsid w:val="008001A2"/>
    <w:rsid w:val="00806D24"/>
    <w:rsid w:val="00814F21"/>
    <w:rsid w:val="00827822"/>
    <w:rsid w:val="00830030"/>
    <w:rsid w:val="00834245"/>
    <w:rsid w:val="008508FF"/>
    <w:rsid w:val="00852470"/>
    <w:rsid w:val="008546BA"/>
    <w:rsid w:val="00855D5D"/>
    <w:rsid w:val="00855DD8"/>
    <w:rsid w:val="00874121"/>
    <w:rsid w:val="00880E11"/>
    <w:rsid w:val="00883D21"/>
    <w:rsid w:val="008862E1"/>
    <w:rsid w:val="00893D2F"/>
    <w:rsid w:val="00896A9E"/>
    <w:rsid w:val="00897098"/>
    <w:rsid w:val="008A04E4"/>
    <w:rsid w:val="008B0D40"/>
    <w:rsid w:val="008B320D"/>
    <w:rsid w:val="008B36DC"/>
    <w:rsid w:val="008B3ED9"/>
    <w:rsid w:val="008B52F3"/>
    <w:rsid w:val="008B70ED"/>
    <w:rsid w:val="008D5222"/>
    <w:rsid w:val="008E4A1E"/>
    <w:rsid w:val="008E6B76"/>
    <w:rsid w:val="008E7BDE"/>
    <w:rsid w:val="008F14FC"/>
    <w:rsid w:val="008F5232"/>
    <w:rsid w:val="008F6098"/>
    <w:rsid w:val="00901745"/>
    <w:rsid w:val="009208FA"/>
    <w:rsid w:val="00933A5B"/>
    <w:rsid w:val="00933F31"/>
    <w:rsid w:val="00942DB7"/>
    <w:rsid w:val="0094325D"/>
    <w:rsid w:val="009452E7"/>
    <w:rsid w:val="0095328C"/>
    <w:rsid w:val="009564B2"/>
    <w:rsid w:val="009658F9"/>
    <w:rsid w:val="009671E7"/>
    <w:rsid w:val="00967C7A"/>
    <w:rsid w:val="00980A59"/>
    <w:rsid w:val="0098326C"/>
    <w:rsid w:val="00983DD5"/>
    <w:rsid w:val="00991BC1"/>
    <w:rsid w:val="00992C1F"/>
    <w:rsid w:val="009942E2"/>
    <w:rsid w:val="009A248D"/>
    <w:rsid w:val="009A6671"/>
    <w:rsid w:val="009B3D5D"/>
    <w:rsid w:val="009B74B8"/>
    <w:rsid w:val="009C5584"/>
    <w:rsid w:val="009D1C8C"/>
    <w:rsid w:val="009D2AB4"/>
    <w:rsid w:val="009E0817"/>
    <w:rsid w:val="009E0C86"/>
    <w:rsid w:val="009E2452"/>
    <w:rsid w:val="009E62D1"/>
    <w:rsid w:val="009F0D90"/>
    <w:rsid w:val="00A3398B"/>
    <w:rsid w:val="00A34B16"/>
    <w:rsid w:val="00A45E41"/>
    <w:rsid w:val="00A47A55"/>
    <w:rsid w:val="00A54B50"/>
    <w:rsid w:val="00A56E09"/>
    <w:rsid w:val="00A6145F"/>
    <w:rsid w:val="00A664C5"/>
    <w:rsid w:val="00A66534"/>
    <w:rsid w:val="00A71252"/>
    <w:rsid w:val="00A751F2"/>
    <w:rsid w:val="00A820D4"/>
    <w:rsid w:val="00A87866"/>
    <w:rsid w:val="00AA39A5"/>
    <w:rsid w:val="00AB5483"/>
    <w:rsid w:val="00AB59A5"/>
    <w:rsid w:val="00AD5400"/>
    <w:rsid w:val="00AD55E1"/>
    <w:rsid w:val="00AE2C45"/>
    <w:rsid w:val="00AE33E5"/>
    <w:rsid w:val="00AF68CE"/>
    <w:rsid w:val="00B027E2"/>
    <w:rsid w:val="00B162CE"/>
    <w:rsid w:val="00B1636D"/>
    <w:rsid w:val="00B17E60"/>
    <w:rsid w:val="00B23FE7"/>
    <w:rsid w:val="00B25743"/>
    <w:rsid w:val="00B25EA4"/>
    <w:rsid w:val="00B27A20"/>
    <w:rsid w:val="00B37E4C"/>
    <w:rsid w:val="00B457F5"/>
    <w:rsid w:val="00B57BC7"/>
    <w:rsid w:val="00B622C8"/>
    <w:rsid w:val="00B7077C"/>
    <w:rsid w:val="00B733E6"/>
    <w:rsid w:val="00B803BC"/>
    <w:rsid w:val="00B922BB"/>
    <w:rsid w:val="00B97116"/>
    <w:rsid w:val="00BC000B"/>
    <w:rsid w:val="00BC2139"/>
    <w:rsid w:val="00BC3EC3"/>
    <w:rsid w:val="00BC42EA"/>
    <w:rsid w:val="00BC747C"/>
    <w:rsid w:val="00BD29AC"/>
    <w:rsid w:val="00BD5206"/>
    <w:rsid w:val="00BD6304"/>
    <w:rsid w:val="00C022A8"/>
    <w:rsid w:val="00C12E51"/>
    <w:rsid w:val="00C23BCB"/>
    <w:rsid w:val="00C33389"/>
    <w:rsid w:val="00C34273"/>
    <w:rsid w:val="00C403D4"/>
    <w:rsid w:val="00C44556"/>
    <w:rsid w:val="00C51B4E"/>
    <w:rsid w:val="00C552BA"/>
    <w:rsid w:val="00C62E42"/>
    <w:rsid w:val="00C62E69"/>
    <w:rsid w:val="00C6423D"/>
    <w:rsid w:val="00C64C8E"/>
    <w:rsid w:val="00C65568"/>
    <w:rsid w:val="00C70819"/>
    <w:rsid w:val="00C72DB2"/>
    <w:rsid w:val="00C92A08"/>
    <w:rsid w:val="00CA5CDF"/>
    <w:rsid w:val="00CA724A"/>
    <w:rsid w:val="00CB1303"/>
    <w:rsid w:val="00CC74CB"/>
    <w:rsid w:val="00CE6A0D"/>
    <w:rsid w:val="00CF5030"/>
    <w:rsid w:val="00D013F6"/>
    <w:rsid w:val="00D01A19"/>
    <w:rsid w:val="00D02046"/>
    <w:rsid w:val="00D071CE"/>
    <w:rsid w:val="00D1702B"/>
    <w:rsid w:val="00D24409"/>
    <w:rsid w:val="00D24883"/>
    <w:rsid w:val="00D34D60"/>
    <w:rsid w:val="00D35B5D"/>
    <w:rsid w:val="00D55C6C"/>
    <w:rsid w:val="00D569E6"/>
    <w:rsid w:val="00D62E86"/>
    <w:rsid w:val="00D63C88"/>
    <w:rsid w:val="00D64048"/>
    <w:rsid w:val="00D73B68"/>
    <w:rsid w:val="00D8428C"/>
    <w:rsid w:val="00D951E9"/>
    <w:rsid w:val="00DA03F2"/>
    <w:rsid w:val="00DA38A1"/>
    <w:rsid w:val="00DA7B6F"/>
    <w:rsid w:val="00DB0119"/>
    <w:rsid w:val="00DB189B"/>
    <w:rsid w:val="00DB4A22"/>
    <w:rsid w:val="00DC1E1F"/>
    <w:rsid w:val="00DC4820"/>
    <w:rsid w:val="00DC7586"/>
    <w:rsid w:val="00DD32BC"/>
    <w:rsid w:val="00DE0283"/>
    <w:rsid w:val="00DF1AC2"/>
    <w:rsid w:val="00DF7214"/>
    <w:rsid w:val="00E00503"/>
    <w:rsid w:val="00E127CF"/>
    <w:rsid w:val="00E169D2"/>
    <w:rsid w:val="00E23B32"/>
    <w:rsid w:val="00E25120"/>
    <w:rsid w:val="00E254C2"/>
    <w:rsid w:val="00E312BE"/>
    <w:rsid w:val="00E40F37"/>
    <w:rsid w:val="00E42A9F"/>
    <w:rsid w:val="00E5071B"/>
    <w:rsid w:val="00E51987"/>
    <w:rsid w:val="00E553B8"/>
    <w:rsid w:val="00E60E9F"/>
    <w:rsid w:val="00E742D9"/>
    <w:rsid w:val="00E77956"/>
    <w:rsid w:val="00E82431"/>
    <w:rsid w:val="00E86F31"/>
    <w:rsid w:val="00E90570"/>
    <w:rsid w:val="00E906B3"/>
    <w:rsid w:val="00E93941"/>
    <w:rsid w:val="00EA6591"/>
    <w:rsid w:val="00EB3AFE"/>
    <w:rsid w:val="00EB41B4"/>
    <w:rsid w:val="00EB71B2"/>
    <w:rsid w:val="00EC5E15"/>
    <w:rsid w:val="00EC6124"/>
    <w:rsid w:val="00EC7BA4"/>
    <w:rsid w:val="00ED1B44"/>
    <w:rsid w:val="00ED3FA9"/>
    <w:rsid w:val="00EE12E4"/>
    <w:rsid w:val="00EE4C0B"/>
    <w:rsid w:val="00EF4133"/>
    <w:rsid w:val="00F0188C"/>
    <w:rsid w:val="00F06E73"/>
    <w:rsid w:val="00F2236B"/>
    <w:rsid w:val="00F2725B"/>
    <w:rsid w:val="00F341E7"/>
    <w:rsid w:val="00F3655E"/>
    <w:rsid w:val="00F42E94"/>
    <w:rsid w:val="00F51DC9"/>
    <w:rsid w:val="00F57E5E"/>
    <w:rsid w:val="00F64D33"/>
    <w:rsid w:val="00F84E2B"/>
    <w:rsid w:val="00F87ACA"/>
    <w:rsid w:val="00F9267C"/>
    <w:rsid w:val="00F93E6A"/>
    <w:rsid w:val="00F9525E"/>
    <w:rsid w:val="00F977F7"/>
    <w:rsid w:val="00FA2EDE"/>
    <w:rsid w:val="00FA375F"/>
    <w:rsid w:val="00FA52B6"/>
    <w:rsid w:val="00FB085E"/>
    <w:rsid w:val="00FB114D"/>
    <w:rsid w:val="00FB302C"/>
    <w:rsid w:val="00FC04CE"/>
    <w:rsid w:val="00FC077A"/>
    <w:rsid w:val="00FC485A"/>
    <w:rsid w:val="00FC5927"/>
    <w:rsid w:val="00FC5F23"/>
    <w:rsid w:val="00FD0029"/>
    <w:rsid w:val="00FD3742"/>
    <w:rsid w:val="00FE0716"/>
    <w:rsid w:val="00FE15FF"/>
    <w:rsid w:val="00FE3E9E"/>
    <w:rsid w:val="00FF7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9A9F"/>
  <w15:chartTrackingRefBased/>
  <w15:docId w15:val="{0528216C-1625-4EB1-AA87-07C41C66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EA"/>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42EA"/>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C42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C42EA"/>
    <w:rPr>
      <w:rFonts w:ascii="Times New Roman" w:hAnsi="Times New Roman"/>
      <w:kern w:val="0"/>
      <w:sz w:val="24"/>
      <w14:ligatures w14:val="none"/>
    </w:rPr>
  </w:style>
  <w:style w:type="paragraph" w:styleId="Header">
    <w:name w:val="header"/>
    <w:basedOn w:val="Normal"/>
    <w:link w:val="HeaderChar"/>
    <w:uiPriority w:val="99"/>
    <w:unhideWhenUsed/>
    <w:rsid w:val="000F04C2"/>
    <w:pPr>
      <w:tabs>
        <w:tab w:val="center" w:pos="4680"/>
        <w:tab w:val="right" w:pos="9360"/>
      </w:tabs>
    </w:pPr>
  </w:style>
  <w:style w:type="character" w:customStyle="1" w:styleId="HeaderChar">
    <w:name w:val="Header Char"/>
    <w:basedOn w:val="DefaultParagraphFont"/>
    <w:link w:val="Header"/>
    <w:uiPriority w:val="99"/>
    <w:rsid w:val="000F04C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0F04C2"/>
    <w:pPr>
      <w:tabs>
        <w:tab w:val="center" w:pos="4680"/>
        <w:tab w:val="right" w:pos="9360"/>
      </w:tabs>
    </w:pPr>
  </w:style>
  <w:style w:type="character" w:customStyle="1" w:styleId="FooterChar">
    <w:name w:val="Footer Char"/>
    <w:basedOn w:val="DefaultParagraphFont"/>
    <w:link w:val="Footer"/>
    <w:uiPriority w:val="99"/>
    <w:rsid w:val="000F04C2"/>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B027E2"/>
    <w:pPr>
      <w:spacing w:after="0" w:line="240" w:lineRule="auto"/>
    </w:pPr>
    <w:rPr>
      <w:rFonts w:ascii="Times New Roman" w:eastAsia="Times New Roman" w:hAnsi="Times New Roman" w:cs="Times New Roman"/>
      <w:kern w:val="0"/>
      <w:sz w:val="24"/>
      <w:szCs w:val="20"/>
      <w:lang w:val="lt-LT"/>
      <w14:ligatures w14:val="none"/>
    </w:rPr>
  </w:style>
  <w:style w:type="paragraph" w:styleId="CommentText">
    <w:name w:val="annotation text"/>
    <w:basedOn w:val="Normal"/>
    <w:link w:val="CommentTextChar"/>
    <w:uiPriority w:val="99"/>
    <w:unhideWhenUsed/>
    <w:rsid w:val="00453C7F"/>
    <w:rPr>
      <w:sz w:val="20"/>
    </w:rPr>
  </w:style>
  <w:style w:type="character" w:customStyle="1" w:styleId="CommentTextChar">
    <w:name w:val="Comment Text Char"/>
    <w:basedOn w:val="DefaultParagraphFont"/>
    <w:link w:val="CommentText"/>
    <w:uiPriority w:val="99"/>
    <w:rsid w:val="00453C7F"/>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453C7F"/>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EB71B2"/>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EB71B2"/>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qFormat/>
    <w:rsid w:val="00EB71B2"/>
    <w:rPr>
      <w:vertAlign w:val="superscript"/>
    </w:rPr>
  </w:style>
  <w:style w:type="character" w:styleId="Hyperlink">
    <w:name w:val="Hyperlink"/>
    <w:basedOn w:val="DefaultParagraphFont"/>
    <w:uiPriority w:val="99"/>
    <w:unhideWhenUsed/>
    <w:rsid w:val="00EB71B2"/>
    <w:rPr>
      <w:color w:val="0563C1" w:themeColor="hyperlink"/>
      <w:u w:val="single"/>
    </w:rPr>
  </w:style>
  <w:style w:type="character" w:styleId="UnresolvedMention">
    <w:name w:val="Unresolved Mention"/>
    <w:basedOn w:val="DefaultParagraphFont"/>
    <w:uiPriority w:val="99"/>
    <w:semiHidden/>
    <w:unhideWhenUsed/>
    <w:rsid w:val="00EB71B2"/>
    <w:rPr>
      <w:color w:val="605E5C"/>
      <w:shd w:val="clear" w:color="auto" w:fill="E1DFDD"/>
    </w:rPr>
  </w:style>
  <w:style w:type="character" w:styleId="FollowedHyperlink">
    <w:name w:val="FollowedHyperlink"/>
    <w:basedOn w:val="DefaultParagraphFont"/>
    <w:uiPriority w:val="99"/>
    <w:semiHidden/>
    <w:unhideWhenUsed/>
    <w:rsid w:val="009942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0404E"/>
    <w:rPr>
      <w:b/>
      <w:bCs/>
    </w:rPr>
  </w:style>
  <w:style w:type="character" w:customStyle="1" w:styleId="CommentSubjectChar">
    <w:name w:val="Comment Subject Char"/>
    <w:basedOn w:val="CommentTextChar"/>
    <w:link w:val="CommentSubject"/>
    <w:uiPriority w:val="99"/>
    <w:semiHidden/>
    <w:rsid w:val="0050404E"/>
    <w:rPr>
      <w:rFonts w:ascii="Times New Roman" w:eastAsia="Times New Roman" w:hAnsi="Times New Roman" w:cs="Times New Roman"/>
      <w:b/>
      <w:bCs/>
      <w:kern w:val="0"/>
      <w:sz w:val="20"/>
      <w:szCs w:val="20"/>
      <w:lang w:val="lt-LT"/>
      <w14:ligatures w14:val="none"/>
    </w:rPr>
  </w:style>
  <w:style w:type="paragraph" w:styleId="ListParagraph">
    <w:name w:val="List Paragraph"/>
    <w:basedOn w:val="Normal"/>
    <w:uiPriority w:val="34"/>
    <w:qFormat/>
    <w:rsid w:val="00B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1293">
      <w:bodyDiv w:val="1"/>
      <w:marLeft w:val="0"/>
      <w:marRight w:val="0"/>
      <w:marTop w:val="0"/>
      <w:marBottom w:val="0"/>
      <w:divBdr>
        <w:top w:val="none" w:sz="0" w:space="0" w:color="auto"/>
        <w:left w:val="none" w:sz="0" w:space="0" w:color="auto"/>
        <w:bottom w:val="none" w:sz="0" w:space="0" w:color="auto"/>
        <w:right w:val="none" w:sz="0" w:space="0" w:color="auto"/>
      </w:divBdr>
    </w:div>
    <w:div w:id="256669448">
      <w:bodyDiv w:val="1"/>
      <w:marLeft w:val="0"/>
      <w:marRight w:val="0"/>
      <w:marTop w:val="0"/>
      <w:marBottom w:val="0"/>
      <w:divBdr>
        <w:top w:val="none" w:sz="0" w:space="0" w:color="auto"/>
        <w:left w:val="none" w:sz="0" w:space="0" w:color="auto"/>
        <w:bottom w:val="none" w:sz="0" w:space="0" w:color="auto"/>
        <w:right w:val="none" w:sz="0" w:space="0" w:color="auto"/>
      </w:divBdr>
    </w:div>
    <w:div w:id="293490577">
      <w:bodyDiv w:val="1"/>
      <w:marLeft w:val="0"/>
      <w:marRight w:val="0"/>
      <w:marTop w:val="0"/>
      <w:marBottom w:val="0"/>
      <w:divBdr>
        <w:top w:val="none" w:sz="0" w:space="0" w:color="auto"/>
        <w:left w:val="none" w:sz="0" w:space="0" w:color="auto"/>
        <w:bottom w:val="none" w:sz="0" w:space="0" w:color="auto"/>
        <w:right w:val="none" w:sz="0" w:space="0" w:color="auto"/>
      </w:divBdr>
    </w:div>
    <w:div w:id="367338505">
      <w:bodyDiv w:val="1"/>
      <w:marLeft w:val="0"/>
      <w:marRight w:val="0"/>
      <w:marTop w:val="0"/>
      <w:marBottom w:val="0"/>
      <w:divBdr>
        <w:top w:val="none" w:sz="0" w:space="0" w:color="auto"/>
        <w:left w:val="none" w:sz="0" w:space="0" w:color="auto"/>
        <w:bottom w:val="none" w:sz="0" w:space="0" w:color="auto"/>
        <w:right w:val="none" w:sz="0" w:space="0" w:color="auto"/>
      </w:divBdr>
    </w:div>
    <w:div w:id="1296333738">
      <w:bodyDiv w:val="1"/>
      <w:marLeft w:val="0"/>
      <w:marRight w:val="0"/>
      <w:marTop w:val="0"/>
      <w:marBottom w:val="0"/>
      <w:divBdr>
        <w:top w:val="none" w:sz="0" w:space="0" w:color="auto"/>
        <w:left w:val="none" w:sz="0" w:space="0" w:color="auto"/>
        <w:bottom w:val="none" w:sz="0" w:space="0" w:color="auto"/>
        <w:right w:val="none" w:sz="0" w:space="0" w:color="auto"/>
      </w:divBdr>
    </w:div>
    <w:div w:id="1405369471">
      <w:bodyDiv w:val="1"/>
      <w:marLeft w:val="0"/>
      <w:marRight w:val="0"/>
      <w:marTop w:val="0"/>
      <w:marBottom w:val="0"/>
      <w:divBdr>
        <w:top w:val="none" w:sz="0" w:space="0" w:color="auto"/>
        <w:left w:val="none" w:sz="0" w:space="0" w:color="auto"/>
        <w:bottom w:val="none" w:sz="0" w:space="0" w:color="auto"/>
        <w:right w:val="none" w:sz="0" w:space="0" w:color="auto"/>
      </w:divBdr>
    </w:div>
    <w:div w:id="1759789722">
      <w:bodyDiv w:val="1"/>
      <w:marLeft w:val="0"/>
      <w:marRight w:val="0"/>
      <w:marTop w:val="0"/>
      <w:marBottom w:val="0"/>
      <w:divBdr>
        <w:top w:val="none" w:sz="0" w:space="0" w:color="auto"/>
        <w:left w:val="none" w:sz="0" w:space="0" w:color="auto"/>
        <w:bottom w:val="none" w:sz="0" w:space="0" w:color="auto"/>
        <w:right w:val="none" w:sz="0" w:space="0" w:color="auto"/>
      </w:divBdr>
    </w:div>
    <w:div w:id="1804158673">
      <w:bodyDiv w:val="1"/>
      <w:marLeft w:val="0"/>
      <w:marRight w:val="0"/>
      <w:marTop w:val="0"/>
      <w:marBottom w:val="0"/>
      <w:divBdr>
        <w:top w:val="none" w:sz="0" w:space="0" w:color="auto"/>
        <w:left w:val="none" w:sz="0" w:space="0" w:color="auto"/>
        <w:bottom w:val="none" w:sz="0" w:space="0" w:color="auto"/>
        <w:right w:val="none" w:sz="0" w:space="0" w:color="auto"/>
      </w:divBdr>
    </w:div>
    <w:div w:id="18662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F5C4-2947-497E-B25C-A900A6C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Donata Stankūnienė</cp:lastModifiedBy>
  <cp:revision>181</cp:revision>
  <dcterms:created xsi:type="dcterms:W3CDTF">2025-03-27T13:04:00Z</dcterms:created>
  <dcterms:modified xsi:type="dcterms:W3CDTF">2026-05-15T11:14:00Z</dcterms:modified>
</cp:coreProperties>
</file>