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901D" w14:textId="77777777" w:rsidR="00E90FD0" w:rsidRPr="00E90FD0" w:rsidRDefault="00E90FD0" w:rsidP="00E90FD0">
      <w:pPr>
        <w:spacing w:after="0" w:line="276" w:lineRule="auto"/>
        <w:jc w:val="right"/>
        <w:rPr>
          <w:rFonts w:ascii="Times New Roman" w:hAnsi="Times New Roman" w:cs="Times New Roman"/>
          <w:sz w:val="20"/>
          <w:szCs w:val="20"/>
        </w:rPr>
      </w:pPr>
      <w:r w:rsidRPr="00E90FD0">
        <w:rPr>
          <w:rFonts w:ascii="Times New Roman" w:hAnsi="Times New Roman" w:cs="Times New Roman"/>
          <w:sz w:val="20"/>
          <w:szCs w:val="20"/>
        </w:rPr>
        <w:t xml:space="preserve">Pirkimo sąlygų 1 priedas </w:t>
      </w:r>
    </w:p>
    <w:p w14:paraId="67DC8FC9" w14:textId="77777777" w:rsidR="00E90FD0" w:rsidRPr="00E90FD0" w:rsidRDefault="00E90FD0" w:rsidP="00E90FD0">
      <w:pPr>
        <w:spacing w:after="0" w:line="276" w:lineRule="auto"/>
        <w:jc w:val="right"/>
        <w:rPr>
          <w:rFonts w:ascii="Times New Roman" w:hAnsi="Times New Roman" w:cs="Times New Roman"/>
          <w:sz w:val="20"/>
          <w:szCs w:val="20"/>
        </w:rPr>
      </w:pPr>
      <w:r w:rsidRPr="00E90FD0">
        <w:rPr>
          <w:rFonts w:ascii="Times New Roman" w:hAnsi="Times New Roman" w:cs="Times New Roman"/>
          <w:sz w:val="20"/>
          <w:szCs w:val="20"/>
        </w:rPr>
        <w:t>Techninė specifikacija</w:t>
      </w:r>
    </w:p>
    <w:p w14:paraId="1384F767" w14:textId="77777777" w:rsidR="00E90FD0" w:rsidRPr="00E90FD0" w:rsidRDefault="00E90FD0" w:rsidP="00E90FD0">
      <w:pPr>
        <w:spacing w:after="0" w:line="276" w:lineRule="auto"/>
        <w:jc w:val="both"/>
        <w:rPr>
          <w:rFonts w:ascii="Times New Roman" w:hAnsi="Times New Roman" w:cs="Times New Roman"/>
          <w:b/>
          <w:bCs/>
        </w:rPr>
      </w:pPr>
      <w:r w:rsidRPr="00E90FD0">
        <w:rPr>
          <w:rFonts w:ascii="Times New Roman" w:hAnsi="Times New Roman" w:cs="Times New Roman"/>
          <w:b/>
          <w:bCs/>
        </w:rPr>
        <w:t xml:space="preserve"> </w:t>
      </w:r>
    </w:p>
    <w:p w14:paraId="66D2DBC5" w14:textId="65B19947" w:rsidR="00E90FD0" w:rsidRPr="00E90FD0" w:rsidRDefault="00E90FD0" w:rsidP="00E90FD0">
      <w:pPr>
        <w:spacing w:after="0" w:line="276" w:lineRule="auto"/>
        <w:ind w:right="-613"/>
        <w:jc w:val="center"/>
        <w:rPr>
          <w:rFonts w:ascii="Times New Roman" w:hAnsi="Times New Roman" w:cs="Times New Roman"/>
          <w:b/>
          <w:bCs/>
          <w:sz w:val="22"/>
          <w:szCs w:val="22"/>
        </w:rPr>
      </w:pPr>
      <w:r w:rsidRPr="00E90FD0">
        <w:rPr>
          <w:rFonts w:ascii="Times New Roman" w:hAnsi="Times New Roman" w:cs="Times New Roman"/>
          <w:b/>
          <w:bCs/>
          <w:sz w:val="22"/>
          <w:szCs w:val="22"/>
        </w:rPr>
        <w:t>LINIJINIO GREITINTUVO DEMONTAVIMO</w:t>
      </w:r>
      <w:r w:rsidRPr="00E90FD0">
        <w:rPr>
          <w:rFonts w:ascii="Times New Roman" w:hAnsi="Times New Roman" w:cs="Times New Roman"/>
          <w:b/>
          <w:bCs/>
          <w:sz w:val="22"/>
          <w:szCs w:val="22"/>
        </w:rPr>
        <w:t xml:space="preserve"> </w:t>
      </w:r>
      <w:r w:rsidRPr="00E90FD0">
        <w:rPr>
          <w:rFonts w:ascii="Times New Roman" w:hAnsi="Times New Roman" w:cs="Times New Roman"/>
          <w:b/>
          <w:bCs/>
          <w:sz w:val="22"/>
          <w:szCs w:val="22"/>
        </w:rPr>
        <w:t>IR UTILIZAVIMO PASLAUGŲ</w:t>
      </w:r>
    </w:p>
    <w:p w14:paraId="1A956271" w14:textId="591F30F0" w:rsidR="00E90FD0" w:rsidRPr="00E90FD0" w:rsidRDefault="00E90FD0" w:rsidP="00E90FD0">
      <w:pPr>
        <w:spacing w:after="0" w:line="276" w:lineRule="auto"/>
        <w:jc w:val="center"/>
        <w:rPr>
          <w:rFonts w:ascii="Times New Roman" w:hAnsi="Times New Roman" w:cs="Times New Roman"/>
          <w:b/>
          <w:bCs/>
          <w:sz w:val="22"/>
          <w:szCs w:val="22"/>
        </w:rPr>
      </w:pPr>
      <w:r w:rsidRPr="00E90FD0">
        <w:rPr>
          <w:rFonts w:ascii="Times New Roman" w:hAnsi="Times New Roman" w:cs="Times New Roman"/>
          <w:b/>
          <w:bCs/>
          <w:sz w:val="22"/>
          <w:szCs w:val="22"/>
        </w:rPr>
        <w:t>TECHNINĖ SPECIFIKACIJA</w:t>
      </w:r>
    </w:p>
    <w:p w14:paraId="4B962502" w14:textId="77777777" w:rsidR="00E90FD0" w:rsidRPr="00A12721" w:rsidRDefault="00E90FD0" w:rsidP="00E90FD0">
      <w:pPr>
        <w:spacing w:after="0" w:line="276" w:lineRule="auto"/>
        <w:rPr>
          <w:rFonts w:ascii="Times New Roman" w:hAnsi="Times New Roman" w:cs="Times New Roman"/>
        </w:rPr>
      </w:pPr>
    </w:p>
    <w:p w14:paraId="4AD58B8E" w14:textId="04F74720" w:rsidR="00E90FD0" w:rsidRDefault="00E90FD0" w:rsidP="00E90FD0">
      <w:pPr>
        <w:spacing w:after="0" w:line="276" w:lineRule="auto"/>
        <w:ind w:right="-143"/>
        <w:rPr>
          <w:rFonts w:ascii="Times New Roman" w:hAnsi="Times New Roman" w:cs="Times New Roman"/>
          <w:sz w:val="22"/>
          <w:szCs w:val="22"/>
        </w:rPr>
      </w:pPr>
      <w:r w:rsidRPr="00A12721">
        <w:rPr>
          <w:rFonts w:ascii="Times New Roman" w:hAnsi="Times New Roman" w:cs="Times New Roman"/>
          <w:b/>
          <w:bCs/>
        </w:rPr>
        <w:t>Pirkimo objektas</w:t>
      </w:r>
      <w:r>
        <w:rPr>
          <w:rFonts w:ascii="Times New Roman" w:hAnsi="Times New Roman" w:cs="Times New Roman"/>
          <w:b/>
          <w:bCs/>
        </w:rPr>
        <w:t xml:space="preserve"> - </w:t>
      </w:r>
      <w:r>
        <w:rPr>
          <w:rFonts w:ascii="Times New Roman" w:hAnsi="Times New Roman" w:cs="Times New Roman"/>
          <w:sz w:val="22"/>
          <w:szCs w:val="22"/>
        </w:rPr>
        <w:t>L</w:t>
      </w:r>
      <w:r w:rsidRPr="00A12721">
        <w:rPr>
          <w:rFonts w:ascii="Times New Roman" w:hAnsi="Times New Roman" w:cs="Times New Roman"/>
          <w:sz w:val="22"/>
          <w:szCs w:val="22"/>
        </w:rPr>
        <w:t xml:space="preserve">inijinio greitintuvo CLINAC </w:t>
      </w:r>
      <w:proofErr w:type="spellStart"/>
      <w:r w:rsidRPr="00A12721">
        <w:rPr>
          <w:rFonts w:ascii="Times New Roman" w:hAnsi="Times New Roman" w:cs="Times New Roman"/>
          <w:sz w:val="22"/>
          <w:szCs w:val="22"/>
        </w:rPr>
        <w:t>iX</w:t>
      </w:r>
      <w:proofErr w:type="spellEnd"/>
      <w:r>
        <w:rPr>
          <w:rFonts w:ascii="Times New Roman" w:hAnsi="Times New Roman" w:cs="Times New Roman"/>
          <w:sz w:val="22"/>
          <w:szCs w:val="22"/>
        </w:rPr>
        <w:t xml:space="preserve"> 5000 </w:t>
      </w:r>
      <w:r w:rsidRPr="00A12721">
        <w:rPr>
          <w:rFonts w:ascii="Times New Roman" w:hAnsi="Times New Roman" w:cs="Times New Roman"/>
          <w:sz w:val="22"/>
          <w:szCs w:val="22"/>
        </w:rPr>
        <w:t>(inventorinis Nr. ES1641212) išardymo,</w:t>
      </w:r>
      <w:r>
        <w:rPr>
          <w:rFonts w:ascii="Times New Roman" w:hAnsi="Times New Roman" w:cs="Times New Roman"/>
          <w:sz w:val="22"/>
          <w:szCs w:val="22"/>
        </w:rPr>
        <w:t xml:space="preserve"> </w:t>
      </w:r>
      <w:r w:rsidRPr="00A12721">
        <w:rPr>
          <w:rFonts w:ascii="Times New Roman" w:hAnsi="Times New Roman" w:cs="Times New Roman"/>
          <w:sz w:val="22"/>
          <w:szCs w:val="22"/>
        </w:rPr>
        <w:t>išmontavimo, komponentų rūšiavimo, radioaktyviųjų medžiagų</w:t>
      </w:r>
      <w:r>
        <w:rPr>
          <w:rFonts w:ascii="Times New Roman" w:hAnsi="Times New Roman" w:cs="Times New Roman"/>
          <w:sz w:val="22"/>
          <w:szCs w:val="22"/>
        </w:rPr>
        <w:t xml:space="preserve"> (RAM)</w:t>
      </w:r>
      <w:r w:rsidRPr="00A12721">
        <w:rPr>
          <w:rFonts w:ascii="Times New Roman" w:hAnsi="Times New Roman" w:cs="Times New Roman"/>
          <w:sz w:val="22"/>
          <w:szCs w:val="22"/>
        </w:rPr>
        <w:t xml:space="preserve"> turinčių ar galimai aktyvuotų komponentų identifikavimo, atskyrimo, radiologinio įvertinimo, pakavimo, transportavimo ir perdavimo radioaktyviųjų atliekų tvarkytojui paslaugos. Paslaugos turi būti atliktos laikantis galiojančių Lietuvos Respublikos radiacinės saugos, radioaktyviųjų atliekų tvarkymo, aplinkosaugos, darbuotojų saugos ir sveikatos bei atliekų tvarkymo reikalavimų.</w:t>
      </w:r>
    </w:p>
    <w:p w14:paraId="6A9830D5" w14:textId="77777777" w:rsidR="00E90FD0" w:rsidRPr="00A12721" w:rsidRDefault="00E90FD0" w:rsidP="00E90FD0">
      <w:pPr>
        <w:spacing w:after="0" w:line="276" w:lineRule="auto"/>
        <w:ind w:right="-143"/>
        <w:rPr>
          <w:rFonts w:ascii="Times New Roman" w:hAnsi="Times New Roman" w:cs="Times New Roman"/>
          <w:b/>
          <w:bCs/>
        </w:rPr>
      </w:pPr>
    </w:p>
    <w:tbl>
      <w:tblPr>
        <w:tblStyle w:val="TableGrid"/>
        <w:tblW w:w="10201" w:type="dxa"/>
        <w:tblLook w:val="04A0" w:firstRow="1" w:lastRow="0" w:firstColumn="1" w:lastColumn="0" w:noHBand="0" w:noVBand="1"/>
      </w:tblPr>
      <w:tblGrid>
        <w:gridCol w:w="562"/>
        <w:gridCol w:w="2694"/>
        <w:gridCol w:w="6945"/>
      </w:tblGrid>
      <w:tr w:rsidR="00E90FD0" w14:paraId="40AD683A" w14:textId="77777777" w:rsidTr="00E90FD0">
        <w:tc>
          <w:tcPr>
            <w:tcW w:w="562" w:type="dxa"/>
          </w:tcPr>
          <w:p w14:paraId="7D57A943" w14:textId="77777777" w:rsidR="00E90FD0" w:rsidRDefault="00E90FD0" w:rsidP="008647F6">
            <w:pPr>
              <w:rPr>
                <w:rFonts w:ascii="Times New Roman" w:hAnsi="Times New Roman" w:cs="Times New Roman"/>
              </w:rPr>
            </w:pPr>
            <w:r w:rsidRPr="00CC781E">
              <w:rPr>
                <w:rFonts w:ascii="Times New Roman" w:hAnsi="Times New Roman" w:cs="Times New Roman"/>
                <w:b/>
                <w:color w:val="000000" w:themeColor="text1"/>
                <w:sz w:val="22"/>
                <w:szCs w:val="22"/>
              </w:rPr>
              <w:t>Eil. Nr.</w:t>
            </w:r>
          </w:p>
        </w:tc>
        <w:tc>
          <w:tcPr>
            <w:tcW w:w="2694" w:type="dxa"/>
          </w:tcPr>
          <w:p w14:paraId="27057803" w14:textId="75EC0F3B" w:rsidR="00E90FD0" w:rsidRDefault="00E90FD0" w:rsidP="008647F6">
            <w:pPr>
              <w:rPr>
                <w:rFonts w:ascii="Times New Roman" w:hAnsi="Times New Roman" w:cs="Times New Roman"/>
              </w:rPr>
            </w:pPr>
            <w:r w:rsidRPr="00CC781E">
              <w:rPr>
                <w:rFonts w:ascii="Times New Roman" w:hAnsi="Times New Roman" w:cs="Times New Roman"/>
                <w:b/>
                <w:color w:val="000000" w:themeColor="text1"/>
                <w:sz w:val="22"/>
                <w:szCs w:val="22"/>
              </w:rPr>
              <w:t>Darbų/paslaugų aprašymas</w:t>
            </w:r>
          </w:p>
        </w:tc>
        <w:tc>
          <w:tcPr>
            <w:tcW w:w="6945" w:type="dxa"/>
          </w:tcPr>
          <w:p w14:paraId="17D9CA8F" w14:textId="77777777" w:rsidR="00E90FD0" w:rsidRDefault="00E90FD0" w:rsidP="008647F6">
            <w:pPr>
              <w:rPr>
                <w:rFonts w:ascii="Times New Roman" w:hAnsi="Times New Roman" w:cs="Times New Roman"/>
              </w:rPr>
            </w:pPr>
            <w:r w:rsidRPr="00CC781E">
              <w:rPr>
                <w:rFonts w:ascii="Times New Roman" w:hAnsi="Times New Roman" w:cs="Times New Roman"/>
                <w:b/>
                <w:color w:val="000000" w:themeColor="text1"/>
                <w:sz w:val="22"/>
                <w:szCs w:val="22"/>
              </w:rPr>
              <w:t>Reikalaujama apimtis</w:t>
            </w:r>
          </w:p>
        </w:tc>
      </w:tr>
      <w:tr w:rsidR="00E90FD0" w14:paraId="6BE7A212" w14:textId="77777777" w:rsidTr="00E90FD0">
        <w:tc>
          <w:tcPr>
            <w:tcW w:w="562" w:type="dxa"/>
          </w:tcPr>
          <w:p w14:paraId="57845CE0"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1.</w:t>
            </w:r>
          </w:p>
        </w:tc>
        <w:tc>
          <w:tcPr>
            <w:tcW w:w="2694" w:type="dxa"/>
          </w:tcPr>
          <w:p w14:paraId="0BEBD51F"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Linijinio greitintuvo išardymas</w:t>
            </w:r>
          </w:p>
        </w:tc>
        <w:tc>
          <w:tcPr>
            <w:tcW w:w="6945" w:type="dxa"/>
          </w:tcPr>
          <w:p w14:paraId="715BAE45"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Tiekėjas turi atlikti linijinio greitintuvo konstrukcinių, karkaso, korpusinių ir kitų išorinių bei vidinių komponentų išardymo darbus.</w:t>
            </w:r>
          </w:p>
        </w:tc>
      </w:tr>
      <w:tr w:rsidR="00E90FD0" w14:paraId="7EB6755F" w14:textId="77777777" w:rsidTr="00E90FD0">
        <w:tc>
          <w:tcPr>
            <w:tcW w:w="562" w:type="dxa"/>
          </w:tcPr>
          <w:p w14:paraId="30417524"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2.</w:t>
            </w:r>
          </w:p>
        </w:tc>
        <w:tc>
          <w:tcPr>
            <w:tcW w:w="2694" w:type="dxa"/>
          </w:tcPr>
          <w:p w14:paraId="5A37AF6F"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Komponentų rūšiavimas</w:t>
            </w:r>
          </w:p>
        </w:tc>
        <w:tc>
          <w:tcPr>
            <w:tcW w:w="6945" w:type="dxa"/>
          </w:tcPr>
          <w:p w14:paraId="2552087F" w14:textId="77777777" w:rsidR="00E90FD0" w:rsidRDefault="00E90FD0" w:rsidP="008647F6">
            <w:pPr>
              <w:rPr>
                <w:rFonts w:ascii="Times New Roman" w:hAnsi="Times New Roman" w:cs="Times New Roman"/>
                <w:color w:val="000000" w:themeColor="text1"/>
                <w:sz w:val="22"/>
                <w:szCs w:val="22"/>
              </w:rPr>
            </w:pPr>
            <w:r w:rsidRPr="00CC781E">
              <w:rPr>
                <w:rFonts w:ascii="Times New Roman" w:hAnsi="Times New Roman" w:cs="Times New Roman"/>
                <w:color w:val="000000" w:themeColor="text1"/>
                <w:sz w:val="22"/>
                <w:szCs w:val="22"/>
              </w:rPr>
              <w:t>Išardymo metu komponentai turi būti rūšiuojami pagal jų pobūdį: metalo laužas, elektronikos atliekos, kitos neradioaktyvios atliekos, radioaktyviųjų medžiagų turinčios ar galimai aktyvuotos dalys.</w:t>
            </w:r>
          </w:p>
          <w:p w14:paraId="571CBB70" w14:textId="77777777" w:rsidR="00E90FD0" w:rsidRPr="00D05FDB" w:rsidRDefault="00E90FD0" w:rsidP="008647F6">
            <w:pPr>
              <w:rPr>
                <w:rFonts w:ascii="Times New Roman" w:hAnsi="Times New Roman" w:cs="Times New Roman"/>
                <w:sz w:val="22"/>
                <w:szCs w:val="22"/>
              </w:rPr>
            </w:pPr>
            <w:r w:rsidRPr="00D05FDB">
              <w:rPr>
                <w:rFonts w:ascii="Times New Roman" w:hAnsi="Times New Roman" w:cs="Times New Roman"/>
                <w:sz w:val="22"/>
                <w:szCs w:val="22"/>
              </w:rPr>
              <w:t>NVC turi teisę pasilikti pasirinktas ardomo linijinio greitintuvo dalis ar komponentus. Tokios dalys negali būti utilizuojamos ar išvežamos be NVC suderinimo.</w:t>
            </w:r>
          </w:p>
        </w:tc>
      </w:tr>
      <w:tr w:rsidR="00E90FD0" w14:paraId="0D5E39FB" w14:textId="77777777" w:rsidTr="00E90FD0">
        <w:tc>
          <w:tcPr>
            <w:tcW w:w="562" w:type="dxa"/>
          </w:tcPr>
          <w:p w14:paraId="38C1B626"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3.</w:t>
            </w:r>
          </w:p>
        </w:tc>
        <w:tc>
          <w:tcPr>
            <w:tcW w:w="2694" w:type="dxa"/>
          </w:tcPr>
          <w:p w14:paraId="7A75945C"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Elektronikos mazgų atskyrimas</w:t>
            </w:r>
          </w:p>
        </w:tc>
        <w:tc>
          <w:tcPr>
            <w:tcW w:w="6945" w:type="dxa"/>
          </w:tcPr>
          <w:p w14:paraId="0BC99558"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Elektronikos mazgai, laidai, valdymo komponentai ir kitos elektroninės įrangos atliekos turi būti atskirtos ir perduotos teisę tokias atliekas tvarkyti turinčiam atliekų tvarkytojui.</w:t>
            </w:r>
          </w:p>
        </w:tc>
      </w:tr>
      <w:tr w:rsidR="00E90FD0" w14:paraId="1DA53EEC" w14:textId="77777777" w:rsidTr="00E90FD0">
        <w:tc>
          <w:tcPr>
            <w:tcW w:w="562" w:type="dxa"/>
          </w:tcPr>
          <w:p w14:paraId="72E31863"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4.</w:t>
            </w:r>
          </w:p>
        </w:tc>
        <w:tc>
          <w:tcPr>
            <w:tcW w:w="2694" w:type="dxa"/>
          </w:tcPr>
          <w:p w14:paraId="0D2B95BD"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RAM komponentų identifikavimas ir atskyrimas</w:t>
            </w:r>
          </w:p>
        </w:tc>
        <w:tc>
          <w:tcPr>
            <w:tcW w:w="6945" w:type="dxa"/>
          </w:tcPr>
          <w:p w14:paraId="5C1C2C3B"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Tiekėjas turi identifikuoti ir atskirti linijinio greitintuvo komponentus, kurie gali turėti radioaktyviųjų medžiagų arba būti aktyvuoti dėl įrangos eksploatacijos.</w:t>
            </w:r>
          </w:p>
        </w:tc>
      </w:tr>
      <w:tr w:rsidR="00E90FD0" w14:paraId="34FD1F0D" w14:textId="77777777" w:rsidTr="00E90FD0">
        <w:tc>
          <w:tcPr>
            <w:tcW w:w="562" w:type="dxa"/>
          </w:tcPr>
          <w:p w14:paraId="676BA512"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5.</w:t>
            </w:r>
          </w:p>
        </w:tc>
        <w:tc>
          <w:tcPr>
            <w:tcW w:w="2694" w:type="dxa"/>
          </w:tcPr>
          <w:p w14:paraId="27A88C5E"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RAM atliekų radiologinis įvertinimas</w:t>
            </w:r>
          </w:p>
        </w:tc>
        <w:tc>
          <w:tcPr>
            <w:tcW w:w="6945" w:type="dxa"/>
          </w:tcPr>
          <w:p w14:paraId="081DAA0C"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Tiekėjas turi atlikti RAM atliekų izotopų sudėties matavimą ir aktyvumo nustatymą. Matavimų rezultatai turi būti įforminti protokolu arba ataskaita.</w:t>
            </w:r>
          </w:p>
        </w:tc>
      </w:tr>
      <w:tr w:rsidR="00E90FD0" w14:paraId="43A4D1C6" w14:textId="77777777" w:rsidTr="00E90FD0">
        <w:tc>
          <w:tcPr>
            <w:tcW w:w="562" w:type="dxa"/>
          </w:tcPr>
          <w:p w14:paraId="6D9CF3B0"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6.</w:t>
            </w:r>
          </w:p>
        </w:tc>
        <w:tc>
          <w:tcPr>
            <w:tcW w:w="2694" w:type="dxa"/>
          </w:tcPr>
          <w:p w14:paraId="393D8918"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RAM atliekų paruošimas transportavimui</w:t>
            </w:r>
          </w:p>
        </w:tc>
        <w:tc>
          <w:tcPr>
            <w:tcW w:w="6945" w:type="dxa"/>
          </w:tcPr>
          <w:p w14:paraId="08C135C3"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RAM atliekos turi būti tinkamai supakuotos, paženklintos ir paruoštos transportavimui pagal taikomus reikalavimus. Jei reikalinga, turi būti naudojami specialūs sertifikuoti konteineriai.</w:t>
            </w:r>
          </w:p>
        </w:tc>
      </w:tr>
      <w:tr w:rsidR="00E90FD0" w14:paraId="5D977E59" w14:textId="77777777" w:rsidTr="00E90FD0">
        <w:tc>
          <w:tcPr>
            <w:tcW w:w="562" w:type="dxa"/>
          </w:tcPr>
          <w:p w14:paraId="2510849B"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7.</w:t>
            </w:r>
          </w:p>
        </w:tc>
        <w:tc>
          <w:tcPr>
            <w:tcW w:w="2694" w:type="dxa"/>
          </w:tcPr>
          <w:p w14:paraId="05BBE276"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RAM atliekų transportavimas</w:t>
            </w:r>
          </w:p>
        </w:tc>
        <w:tc>
          <w:tcPr>
            <w:tcW w:w="6945" w:type="dxa"/>
          </w:tcPr>
          <w:p w14:paraId="13EB8C88"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 xml:space="preserve">Tiekėjas turi </w:t>
            </w:r>
            <w:r>
              <w:rPr>
                <w:rFonts w:ascii="Times New Roman" w:hAnsi="Times New Roman" w:cs="Times New Roman"/>
                <w:color w:val="000000" w:themeColor="text1"/>
                <w:sz w:val="22"/>
                <w:szCs w:val="22"/>
              </w:rPr>
              <w:t>savo sąskaita atlikti</w:t>
            </w:r>
            <w:r w:rsidRPr="00CC781E">
              <w:rPr>
                <w:rFonts w:ascii="Times New Roman" w:hAnsi="Times New Roman" w:cs="Times New Roman"/>
                <w:color w:val="000000" w:themeColor="text1"/>
                <w:sz w:val="22"/>
                <w:szCs w:val="22"/>
              </w:rPr>
              <w:t xml:space="preserve"> RAM atliekų transportavimą iki teisę priimti ir tvarkyti tokias atliekas turinčio radioaktyviųjų atliekų tvarkytojo.</w:t>
            </w:r>
          </w:p>
        </w:tc>
      </w:tr>
      <w:tr w:rsidR="00E90FD0" w14:paraId="40DA7004" w14:textId="77777777" w:rsidTr="00E90FD0">
        <w:tc>
          <w:tcPr>
            <w:tcW w:w="562" w:type="dxa"/>
          </w:tcPr>
          <w:p w14:paraId="17D7151F"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8.</w:t>
            </w:r>
          </w:p>
        </w:tc>
        <w:tc>
          <w:tcPr>
            <w:tcW w:w="2694" w:type="dxa"/>
          </w:tcPr>
          <w:p w14:paraId="3151F23F"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RAM atliekų perdavimas tvarkytojui</w:t>
            </w:r>
          </w:p>
        </w:tc>
        <w:tc>
          <w:tcPr>
            <w:tcW w:w="6945" w:type="dxa"/>
          </w:tcPr>
          <w:p w14:paraId="2FC72644"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Tiekėjas turi perduoti RAM atliekas radioaktyviųjų atliekų tvarkytojui ir pateikti perkančiajai organizacijai tai patvirtinančius dokumentus.</w:t>
            </w:r>
          </w:p>
        </w:tc>
      </w:tr>
      <w:tr w:rsidR="00E90FD0" w14:paraId="4EBB8881" w14:textId="77777777" w:rsidTr="00E90FD0">
        <w:tc>
          <w:tcPr>
            <w:tcW w:w="562" w:type="dxa"/>
          </w:tcPr>
          <w:p w14:paraId="17081C1A"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9.</w:t>
            </w:r>
          </w:p>
        </w:tc>
        <w:tc>
          <w:tcPr>
            <w:tcW w:w="2694" w:type="dxa"/>
          </w:tcPr>
          <w:p w14:paraId="2D2AD256"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Neradioaktyvių atliekų perdavimas utilizavimui</w:t>
            </w:r>
          </w:p>
        </w:tc>
        <w:tc>
          <w:tcPr>
            <w:tcW w:w="6945" w:type="dxa"/>
          </w:tcPr>
          <w:p w14:paraId="5ED3EC41" w14:textId="77777777" w:rsidR="00E90FD0" w:rsidRDefault="00E90FD0" w:rsidP="008647F6">
            <w:pPr>
              <w:rPr>
                <w:rFonts w:ascii="Times New Roman" w:hAnsi="Times New Roman" w:cs="Times New Roman"/>
              </w:rPr>
            </w:pPr>
            <w:r w:rsidRPr="00CC781E">
              <w:rPr>
                <w:rFonts w:ascii="Times New Roman" w:hAnsi="Times New Roman" w:cs="Times New Roman"/>
                <w:color w:val="000000" w:themeColor="text1"/>
                <w:sz w:val="22"/>
                <w:szCs w:val="22"/>
              </w:rPr>
              <w:t>Išardymo metu susidariusios neradioaktyvios atliekos turi būti perduotos teisę tokias atliekas tvarkyti turintiems atliekų tvarkytojams.</w:t>
            </w:r>
          </w:p>
        </w:tc>
      </w:tr>
      <w:tr w:rsidR="00E90FD0" w14:paraId="739F78C6" w14:textId="77777777" w:rsidTr="00E90FD0">
        <w:tc>
          <w:tcPr>
            <w:tcW w:w="562" w:type="dxa"/>
          </w:tcPr>
          <w:p w14:paraId="0B709E6D" w14:textId="77777777" w:rsidR="00E90FD0" w:rsidRDefault="00E90FD0" w:rsidP="00E90FD0">
            <w:pPr>
              <w:rPr>
                <w:rFonts w:ascii="Times New Roman" w:hAnsi="Times New Roman" w:cs="Times New Roman"/>
              </w:rPr>
            </w:pPr>
            <w:r w:rsidRPr="00CC781E">
              <w:rPr>
                <w:rFonts w:ascii="Times New Roman" w:hAnsi="Times New Roman" w:cs="Times New Roman"/>
                <w:color w:val="000000" w:themeColor="text1"/>
                <w:sz w:val="22"/>
                <w:szCs w:val="22"/>
              </w:rPr>
              <w:t>10.</w:t>
            </w:r>
          </w:p>
        </w:tc>
        <w:tc>
          <w:tcPr>
            <w:tcW w:w="2694" w:type="dxa"/>
          </w:tcPr>
          <w:p w14:paraId="7A7A72BE" w14:textId="77777777" w:rsidR="00E90FD0" w:rsidRDefault="00E90FD0" w:rsidP="00E90FD0">
            <w:pPr>
              <w:rPr>
                <w:rFonts w:ascii="Times New Roman" w:hAnsi="Times New Roman" w:cs="Times New Roman"/>
              </w:rPr>
            </w:pPr>
            <w:r w:rsidRPr="00CC781E">
              <w:rPr>
                <w:rFonts w:ascii="Times New Roman" w:hAnsi="Times New Roman" w:cs="Times New Roman"/>
                <w:color w:val="000000" w:themeColor="text1"/>
                <w:sz w:val="22"/>
                <w:szCs w:val="22"/>
              </w:rPr>
              <w:t>Darbo vietos sutvarkymas</w:t>
            </w:r>
          </w:p>
        </w:tc>
        <w:tc>
          <w:tcPr>
            <w:tcW w:w="6945" w:type="dxa"/>
          </w:tcPr>
          <w:p w14:paraId="4690D73D" w14:textId="77777777" w:rsidR="00E90FD0" w:rsidRDefault="00E90FD0" w:rsidP="00E90FD0">
            <w:pPr>
              <w:rPr>
                <w:rFonts w:ascii="Times New Roman" w:hAnsi="Times New Roman" w:cs="Times New Roman"/>
              </w:rPr>
            </w:pPr>
            <w:r w:rsidRPr="00CC781E">
              <w:rPr>
                <w:rFonts w:ascii="Times New Roman" w:hAnsi="Times New Roman" w:cs="Times New Roman"/>
                <w:color w:val="000000" w:themeColor="text1"/>
                <w:sz w:val="22"/>
                <w:szCs w:val="22"/>
              </w:rPr>
              <w:t>Baigus darbus, darbų zona turi būti sutvarkyta, pašalintos išardymo metu susidariusios atliekos, darbo vieta palikta saugi tolesniems darbams.</w:t>
            </w:r>
          </w:p>
        </w:tc>
      </w:tr>
    </w:tbl>
    <w:p w14:paraId="576EECFE" w14:textId="0B594675" w:rsidR="00E90FD0" w:rsidRDefault="00E90FD0" w:rsidP="00E90FD0">
      <w:pPr>
        <w:spacing w:after="0" w:line="276" w:lineRule="auto"/>
        <w:rPr>
          <w:rFonts w:ascii="Times New Roman" w:hAnsi="Times New Roman" w:cs="Times New Roman"/>
        </w:rPr>
      </w:pPr>
      <w:r>
        <w:rPr>
          <w:rFonts w:ascii="Times New Roman" w:hAnsi="Times New Roman" w:cs="Times New Roman"/>
        </w:rPr>
        <w:t xml:space="preserve"> </w:t>
      </w:r>
    </w:p>
    <w:p w14:paraId="5586B3D3" w14:textId="77777777" w:rsidR="00E90FD0" w:rsidRPr="00A12721" w:rsidRDefault="00E90FD0" w:rsidP="00E90FD0">
      <w:pPr>
        <w:spacing w:after="0" w:line="276" w:lineRule="auto"/>
        <w:jc w:val="both"/>
        <w:rPr>
          <w:rFonts w:ascii="Times New Roman" w:hAnsi="Times New Roman" w:cs="Times New Roman"/>
          <w:b/>
          <w:bCs/>
        </w:rPr>
      </w:pPr>
      <w:r w:rsidRPr="00A12721">
        <w:rPr>
          <w:rFonts w:ascii="Times New Roman" w:hAnsi="Times New Roman" w:cs="Times New Roman"/>
          <w:b/>
          <w:bCs/>
        </w:rPr>
        <w:t>Reikalavimai darbų atlikimui</w:t>
      </w:r>
    </w:p>
    <w:p w14:paraId="2BAD808B" w14:textId="77777777" w:rsidR="00E90FD0" w:rsidRPr="00A12721" w:rsidRDefault="00E90FD0" w:rsidP="00E90FD0">
      <w:pPr>
        <w:pStyle w:val="ListParagraph"/>
        <w:numPr>
          <w:ilvl w:val="0"/>
          <w:numId w:val="1"/>
        </w:numPr>
        <w:spacing w:after="0" w:line="276" w:lineRule="auto"/>
        <w:ind w:left="426"/>
        <w:jc w:val="both"/>
        <w:rPr>
          <w:rFonts w:ascii="Times New Roman" w:hAnsi="Times New Roman" w:cs="Times New Roman"/>
          <w:sz w:val="22"/>
          <w:szCs w:val="22"/>
        </w:rPr>
      </w:pPr>
      <w:r w:rsidRPr="00A12721">
        <w:rPr>
          <w:rFonts w:ascii="Times New Roman" w:hAnsi="Times New Roman" w:cs="Times New Roman"/>
          <w:sz w:val="22"/>
          <w:szCs w:val="22"/>
        </w:rPr>
        <w:t>Darbai turi būti atliekami taip, kad nebūtų užterštos patalpos, aplinkinės konstrukcijos, transportavimo keliai ar kita ligoninės infrastruktūra.</w:t>
      </w:r>
    </w:p>
    <w:p w14:paraId="3A2914A3" w14:textId="77777777" w:rsidR="00E90FD0" w:rsidRPr="00A12721" w:rsidRDefault="00E90FD0" w:rsidP="00E90FD0">
      <w:pPr>
        <w:pStyle w:val="ListParagraph"/>
        <w:numPr>
          <w:ilvl w:val="0"/>
          <w:numId w:val="1"/>
        </w:numPr>
        <w:spacing w:after="0" w:line="276" w:lineRule="auto"/>
        <w:ind w:left="426"/>
        <w:jc w:val="both"/>
        <w:rPr>
          <w:rFonts w:ascii="Times New Roman" w:hAnsi="Times New Roman" w:cs="Times New Roman"/>
          <w:sz w:val="22"/>
          <w:szCs w:val="22"/>
        </w:rPr>
      </w:pPr>
      <w:r w:rsidRPr="00A12721">
        <w:rPr>
          <w:rFonts w:ascii="Times New Roman" w:hAnsi="Times New Roman" w:cs="Times New Roman"/>
          <w:sz w:val="22"/>
          <w:szCs w:val="22"/>
        </w:rPr>
        <w:t>Tiekėjas privalo naudoti savo darbo įrankius, matavimo priemones, apsaugos priemones, pakavimo priemones, konteinerius ir kitą darbams reikalingą įrangą.</w:t>
      </w:r>
    </w:p>
    <w:p w14:paraId="55097746" w14:textId="77777777" w:rsidR="00E90FD0" w:rsidRPr="00A12721" w:rsidRDefault="00E90FD0" w:rsidP="00E90FD0">
      <w:pPr>
        <w:pStyle w:val="ListParagraph"/>
        <w:numPr>
          <w:ilvl w:val="0"/>
          <w:numId w:val="1"/>
        </w:numPr>
        <w:spacing w:after="0" w:line="276" w:lineRule="auto"/>
        <w:ind w:left="426"/>
        <w:jc w:val="both"/>
        <w:rPr>
          <w:rFonts w:ascii="Times New Roman" w:hAnsi="Times New Roman" w:cs="Times New Roman"/>
          <w:sz w:val="22"/>
          <w:szCs w:val="22"/>
        </w:rPr>
      </w:pPr>
      <w:r w:rsidRPr="00A12721">
        <w:rPr>
          <w:rFonts w:ascii="Times New Roman" w:hAnsi="Times New Roman" w:cs="Times New Roman"/>
          <w:sz w:val="22"/>
          <w:szCs w:val="22"/>
        </w:rPr>
        <w:t>Tiekėjas atsako už tinkamą atliekų identifikavimą, rūšiavimą, pakavimą, ženklinimą, transportavimą ir perdavimą atitinkamiems atliekų tvarkytojams.</w:t>
      </w:r>
    </w:p>
    <w:p w14:paraId="67318BE6" w14:textId="77777777" w:rsidR="00E90FD0" w:rsidRPr="00A12721" w:rsidRDefault="00E90FD0" w:rsidP="00E90FD0">
      <w:pPr>
        <w:pStyle w:val="ListParagraph"/>
        <w:numPr>
          <w:ilvl w:val="0"/>
          <w:numId w:val="1"/>
        </w:numPr>
        <w:spacing w:after="0" w:line="276" w:lineRule="auto"/>
        <w:ind w:left="426"/>
        <w:jc w:val="both"/>
        <w:rPr>
          <w:rFonts w:ascii="Times New Roman" w:hAnsi="Times New Roman" w:cs="Times New Roman"/>
          <w:sz w:val="22"/>
          <w:szCs w:val="22"/>
        </w:rPr>
      </w:pPr>
      <w:r w:rsidRPr="00A12721">
        <w:rPr>
          <w:rFonts w:ascii="Times New Roman" w:hAnsi="Times New Roman" w:cs="Times New Roman"/>
          <w:sz w:val="22"/>
          <w:szCs w:val="22"/>
        </w:rPr>
        <w:t>Visi su RAM atliekomis susiję veiksmai turi būti dokumentuojami taip, kad perkančioji organizacija galėtų pagrįsti, jog radioaktyviosios atliekos buvo tinkamai sutvarkytos ir perduotos teisėtam tvarkytojui.</w:t>
      </w:r>
    </w:p>
    <w:p w14:paraId="72D0DDBA" w14:textId="77777777" w:rsidR="00E90FD0" w:rsidRPr="00A12721" w:rsidRDefault="00E90FD0" w:rsidP="00E90FD0">
      <w:pPr>
        <w:pStyle w:val="ListParagraph"/>
        <w:numPr>
          <w:ilvl w:val="0"/>
          <w:numId w:val="1"/>
        </w:numPr>
        <w:spacing w:after="0" w:line="276" w:lineRule="auto"/>
        <w:ind w:left="426"/>
        <w:jc w:val="both"/>
        <w:rPr>
          <w:rFonts w:ascii="Times New Roman" w:hAnsi="Times New Roman" w:cs="Times New Roman"/>
          <w:sz w:val="22"/>
          <w:szCs w:val="22"/>
        </w:rPr>
      </w:pPr>
      <w:r w:rsidRPr="00A12721">
        <w:rPr>
          <w:rFonts w:ascii="Times New Roman" w:hAnsi="Times New Roman" w:cs="Times New Roman"/>
          <w:sz w:val="22"/>
          <w:szCs w:val="22"/>
        </w:rPr>
        <w:t>Jei darbų metu nustatoma papildomų galimai radioaktyvių ar pavojingų komponentų, tiekėjas privalo apie tai nedelsdamas informuoti perkančiąją organizaciją ir suderinti tolesnius veiksmus.</w:t>
      </w:r>
    </w:p>
    <w:p w14:paraId="7D61062C" w14:textId="46ABCD46" w:rsidR="003333A7" w:rsidRDefault="003333A7" w:rsidP="00E90FD0"/>
    <w:sectPr w:rsidR="003333A7" w:rsidSect="00E90FD0">
      <w:pgSz w:w="11906" w:h="16838"/>
      <w:pgMar w:top="709"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617F5"/>
    <w:multiLevelType w:val="hybridMultilevel"/>
    <w:tmpl w:val="6F7EB536"/>
    <w:lvl w:ilvl="0" w:tplc="0427000F">
      <w:start w:val="1"/>
      <w:numFmt w:val="decimal"/>
      <w:lvlText w:val="%1."/>
      <w:lvlJc w:val="left"/>
      <w:pPr>
        <w:ind w:left="99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340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36C"/>
    <w:rsid w:val="003333A7"/>
    <w:rsid w:val="0036636C"/>
    <w:rsid w:val="003D3B18"/>
    <w:rsid w:val="00694608"/>
    <w:rsid w:val="00E90FD0"/>
    <w:rsid w:val="00FF5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38043"/>
  <w15:chartTrackingRefBased/>
  <w15:docId w15:val="{93AF252D-DFA2-422D-B1C1-04817C8AE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D0"/>
  </w:style>
  <w:style w:type="paragraph" w:styleId="Heading1">
    <w:name w:val="heading 1"/>
    <w:basedOn w:val="Normal"/>
    <w:next w:val="Normal"/>
    <w:link w:val="Heading1Char"/>
    <w:uiPriority w:val="9"/>
    <w:qFormat/>
    <w:rsid w:val="003663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3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3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3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3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3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3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3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3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3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3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3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3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3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3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3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3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36C"/>
    <w:rPr>
      <w:rFonts w:eastAsiaTheme="majorEastAsia" w:cstheme="majorBidi"/>
      <w:color w:val="272727" w:themeColor="text1" w:themeTint="D8"/>
    </w:rPr>
  </w:style>
  <w:style w:type="paragraph" w:styleId="Title">
    <w:name w:val="Title"/>
    <w:basedOn w:val="Normal"/>
    <w:next w:val="Normal"/>
    <w:link w:val="TitleChar"/>
    <w:uiPriority w:val="10"/>
    <w:qFormat/>
    <w:rsid w:val="003663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3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3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3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36C"/>
    <w:pPr>
      <w:spacing w:before="160"/>
      <w:jc w:val="center"/>
    </w:pPr>
    <w:rPr>
      <w:i/>
      <w:iCs/>
      <w:color w:val="404040" w:themeColor="text1" w:themeTint="BF"/>
    </w:rPr>
  </w:style>
  <w:style w:type="character" w:customStyle="1" w:styleId="QuoteChar">
    <w:name w:val="Quote Char"/>
    <w:basedOn w:val="DefaultParagraphFont"/>
    <w:link w:val="Quote"/>
    <w:uiPriority w:val="29"/>
    <w:rsid w:val="0036636C"/>
    <w:rPr>
      <w:i/>
      <w:iCs/>
      <w:color w:val="404040" w:themeColor="text1" w:themeTint="BF"/>
    </w:rPr>
  </w:style>
  <w:style w:type="paragraph" w:styleId="ListParagraph">
    <w:name w:val="List Paragraph"/>
    <w:basedOn w:val="Normal"/>
    <w:uiPriority w:val="34"/>
    <w:qFormat/>
    <w:rsid w:val="0036636C"/>
    <w:pPr>
      <w:ind w:left="720"/>
      <w:contextualSpacing/>
    </w:pPr>
  </w:style>
  <w:style w:type="character" w:styleId="IntenseEmphasis">
    <w:name w:val="Intense Emphasis"/>
    <w:basedOn w:val="DefaultParagraphFont"/>
    <w:uiPriority w:val="21"/>
    <w:qFormat/>
    <w:rsid w:val="0036636C"/>
    <w:rPr>
      <w:i/>
      <w:iCs/>
      <w:color w:val="0F4761" w:themeColor="accent1" w:themeShade="BF"/>
    </w:rPr>
  </w:style>
  <w:style w:type="paragraph" w:styleId="IntenseQuote">
    <w:name w:val="Intense Quote"/>
    <w:basedOn w:val="Normal"/>
    <w:next w:val="Normal"/>
    <w:link w:val="IntenseQuoteChar"/>
    <w:uiPriority w:val="30"/>
    <w:qFormat/>
    <w:rsid w:val="003663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36C"/>
    <w:rPr>
      <w:i/>
      <w:iCs/>
      <w:color w:val="0F4761" w:themeColor="accent1" w:themeShade="BF"/>
    </w:rPr>
  </w:style>
  <w:style w:type="character" w:styleId="IntenseReference">
    <w:name w:val="Intense Reference"/>
    <w:basedOn w:val="DefaultParagraphFont"/>
    <w:uiPriority w:val="32"/>
    <w:qFormat/>
    <w:rsid w:val="0036636C"/>
    <w:rPr>
      <w:b/>
      <w:bCs/>
      <w:smallCaps/>
      <w:color w:val="0F4761" w:themeColor="accent1" w:themeShade="BF"/>
      <w:spacing w:val="5"/>
    </w:rPr>
  </w:style>
  <w:style w:type="table" w:styleId="TableGrid">
    <w:name w:val="Table Grid"/>
    <w:basedOn w:val="TableNormal"/>
    <w:uiPriority w:val="39"/>
    <w:rsid w:val="00E90F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205</TotalTime>
  <Pages>1</Pages>
  <Words>2381</Words>
  <Characters>1358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2026-05-25T07:26:00Z</dcterms:created>
  <dcterms:modified xsi:type="dcterms:W3CDTF">2026-05-25T12:29:00Z</dcterms:modified>
</cp:coreProperties>
</file>