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33AD30D9" w14:textId="49A6853A"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34863F84" w:rsidR="00993989" w:rsidRPr="00993989" w:rsidRDefault="00993989" w:rsidP="00993989">
                            <w:pPr>
                              <w:jc w:val="center"/>
                              <w:rPr>
                                <w:rFonts w:cs="Arial"/>
                                <w:sz w:val="24"/>
                                <w:szCs w:val="24"/>
                              </w:rPr>
                            </w:pPr>
                            <w:r w:rsidRPr="00993989">
                              <w:rPr>
                                <w:rFonts w:cs="Arial"/>
                                <w:sz w:val="24"/>
                                <w:szCs w:val="24"/>
                              </w:rPr>
                              <w:t>202</w:t>
                            </w:r>
                            <w:r w:rsidR="00023806">
                              <w:rPr>
                                <w:rFonts w:cs="Arial"/>
                                <w:sz w:val="24"/>
                                <w:szCs w:val="24"/>
                              </w:rPr>
                              <w:t>6</w:t>
                            </w:r>
                            <w:r w:rsidRPr="00993989">
                              <w:rPr>
                                <w:rFonts w:cs="Arial"/>
                                <w:sz w:val="24"/>
                                <w:szCs w:val="24"/>
                              </w:rPr>
                              <w:t>-0</w:t>
                            </w:r>
                            <w:r w:rsidR="00023806">
                              <w:rPr>
                                <w:rFonts w:cs="Arial"/>
                                <w:sz w:val="24"/>
                                <w:szCs w:val="24"/>
                              </w:rPr>
                              <w:t>5</w:t>
                            </w:r>
                            <w:r w:rsidRPr="00993989">
                              <w:rPr>
                                <w:rFonts w:cs="Arial"/>
                                <w:sz w:val="24"/>
                                <w:szCs w:val="24"/>
                              </w:rPr>
                              <w:t>-</w:t>
                            </w:r>
                            <w:r w:rsidR="00023806">
                              <w:rPr>
                                <w:rFonts w:cs="Arial"/>
                                <w:sz w:val="24"/>
                                <w:szCs w:val="24"/>
                              </w:rPr>
                              <w:t>25</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03AE4">
                              <w:rPr>
                                <w:rFonts w:cs="Arial"/>
                                <w:sz w:val="24"/>
                                <w:szCs w:val="24"/>
                              </w:rPr>
                              <w:t>2243</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34863F84" w:rsidR="00993989" w:rsidRPr="00993989" w:rsidRDefault="00993989" w:rsidP="00993989">
                      <w:pPr>
                        <w:jc w:val="center"/>
                        <w:rPr>
                          <w:rFonts w:cs="Arial"/>
                          <w:sz w:val="24"/>
                          <w:szCs w:val="24"/>
                        </w:rPr>
                      </w:pPr>
                      <w:r w:rsidRPr="00993989">
                        <w:rPr>
                          <w:rFonts w:cs="Arial"/>
                          <w:sz w:val="24"/>
                          <w:szCs w:val="24"/>
                        </w:rPr>
                        <w:t>202</w:t>
                      </w:r>
                      <w:r w:rsidR="00023806">
                        <w:rPr>
                          <w:rFonts w:cs="Arial"/>
                          <w:sz w:val="24"/>
                          <w:szCs w:val="24"/>
                        </w:rPr>
                        <w:t>6</w:t>
                      </w:r>
                      <w:r w:rsidRPr="00993989">
                        <w:rPr>
                          <w:rFonts w:cs="Arial"/>
                          <w:sz w:val="24"/>
                          <w:szCs w:val="24"/>
                        </w:rPr>
                        <w:t>-0</w:t>
                      </w:r>
                      <w:r w:rsidR="00023806">
                        <w:rPr>
                          <w:rFonts w:cs="Arial"/>
                          <w:sz w:val="24"/>
                          <w:szCs w:val="24"/>
                        </w:rPr>
                        <w:t>5</w:t>
                      </w:r>
                      <w:r w:rsidRPr="00993989">
                        <w:rPr>
                          <w:rFonts w:cs="Arial"/>
                          <w:sz w:val="24"/>
                          <w:szCs w:val="24"/>
                        </w:rPr>
                        <w:t>-</w:t>
                      </w:r>
                      <w:r w:rsidR="00023806">
                        <w:rPr>
                          <w:rFonts w:cs="Arial"/>
                          <w:sz w:val="24"/>
                          <w:szCs w:val="24"/>
                        </w:rPr>
                        <w:t>25</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03AE4">
                        <w:rPr>
                          <w:rFonts w:cs="Arial"/>
                          <w:sz w:val="24"/>
                          <w:szCs w:val="24"/>
                        </w:rPr>
                        <w:t>2243</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0C3FF9E8" w14:textId="7EC56933" w:rsidR="00993989" w:rsidRPr="00C10443" w:rsidRDefault="00993989" w:rsidP="00C10443">
      <w:pPr>
        <w:spacing w:line="276" w:lineRule="auto"/>
        <w:ind w:firstLine="0"/>
        <w:rPr>
          <w:rFonts w:cs="Arial"/>
          <w:i/>
          <w:iCs/>
          <w:sz w:val="24"/>
          <w:szCs w:val="24"/>
        </w:rPr>
      </w:pPr>
      <w:r w:rsidRPr="00993989">
        <w:rPr>
          <w:rFonts w:cs="Arial"/>
          <w:i/>
          <w:iCs/>
          <w:sz w:val="24"/>
          <w:szCs w:val="24"/>
        </w:rPr>
        <w:t>Siunčiama per CVP IS</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66415B1F" w14:textId="604C97CA" w:rsidR="0039554C" w:rsidRPr="00993989" w:rsidRDefault="00993989" w:rsidP="00023806">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w:t>
      </w:r>
      <w:r w:rsidR="00023806">
        <w:rPr>
          <w:rFonts w:cs="Arial"/>
          <w:sz w:val="24"/>
          <w:szCs w:val="24"/>
        </w:rPr>
        <w:t>v</w:t>
      </w:r>
      <w:r w:rsidRPr="00993989">
        <w:rPr>
          <w:rFonts w:cs="Arial"/>
          <w:sz w:val="24"/>
          <w:szCs w:val="24"/>
        </w:rPr>
        <w:t xml:space="preserve">ykdyti viešąjį pirkimą </w:t>
      </w:r>
      <w:bookmarkStart w:id="0" w:name="_Hlk173830900"/>
      <w:r w:rsidR="00460D32" w:rsidRPr="00460D32">
        <w:rPr>
          <w:rFonts w:eastAsia="Calibri"/>
          <w:b/>
          <w:bCs/>
          <w:sz w:val="24"/>
          <w:szCs w:val="24"/>
        </w:rPr>
        <w:t>„</w:t>
      </w:r>
      <w:r w:rsidR="00023806">
        <w:rPr>
          <w:b/>
          <w:sz w:val="24"/>
          <w:szCs w:val="24"/>
        </w:rPr>
        <w:t>Vaizdo stebėjimo sistemos atnaujinimo, plėtros ir duomenų perdavimo paslaugų pirkimas Panevėžio mieste</w:t>
      </w:r>
      <w:r w:rsidR="00460D32" w:rsidRPr="00460D32">
        <w:rPr>
          <w:rFonts w:eastAsia="Calibri"/>
          <w:b/>
          <w:bCs/>
          <w:sz w:val="24"/>
          <w:szCs w:val="24"/>
        </w:rPr>
        <w:t>“</w:t>
      </w:r>
      <w:bookmarkEnd w:id="0"/>
      <w:r w:rsidR="00460D32" w:rsidRPr="00460D32">
        <w:rPr>
          <w:rFonts w:eastAsia="Calibri"/>
          <w:b/>
          <w:bCs/>
          <w:sz w:val="24"/>
          <w:szCs w:val="24"/>
        </w:rPr>
        <w:t xml:space="preserve"> </w:t>
      </w:r>
      <w:r w:rsidRPr="00993989">
        <w:rPr>
          <w:rFonts w:cs="Arial"/>
          <w:sz w:val="24"/>
          <w:szCs w:val="24"/>
        </w:rPr>
        <w:t>(BVPŽ koda</w:t>
      </w:r>
      <w:r w:rsidR="00023806">
        <w:rPr>
          <w:rFonts w:cs="Arial"/>
          <w:sz w:val="24"/>
          <w:szCs w:val="24"/>
        </w:rPr>
        <w:t>i:</w:t>
      </w:r>
      <w:r w:rsidRPr="00993989">
        <w:rPr>
          <w:rFonts w:cs="Arial"/>
          <w:sz w:val="24"/>
          <w:szCs w:val="24"/>
        </w:rPr>
        <w:t xml:space="preserve"> </w:t>
      </w:r>
      <w:r w:rsidR="00023806">
        <w:rPr>
          <w:rFonts w:eastAsia="Calibri"/>
          <w:sz w:val="24"/>
          <w:szCs w:val="24"/>
        </w:rPr>
        <w:t>51314000-6</w:t>
      </w:r>
      <w:r w:rsidR="00023806" w:rsidRPr="00761AF7">
        <w:rPr>
          <w:rFonts w:eastAsia="Calibri"/>
          <w:sz w:val="24"/>
          <w:szCs w:val="24"/>
        </w:rPr>
        <w:t xml:space="preserve">, </w:t>
      </w:r>
      <w:r w:rsidR="00023806">
        <w:rPr>
          <w:rFonts w:eastAsia="Calibri"/>
          <w:sz w:val="24"/>
          <w:szCs w:val="24"/>
        </w:rPr>
        <w:t>50300000-8, 72318000-7</w:t>
      </w:r>
      <w:r w:rsidR="0039554C">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3A0CD2F3"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023806">
        <w:rPr>
          <w:rFonts w:cs="Arial"/>
          <w:sz w:val="24"/>
          <w:szCs w:val="24"/>
        </w:rPr>
        <w:t xml:space="preserve">as paslaugas </w:t>
      </w:r>
      <w:r w:rsidRPr="00993989">
        <w:rPr>
          <w:rFonts w:cs="Arial"/>
          <w:sz w:val="24"/>
          <w:szCs w:val="24"/>
        </w:rPr>
        <w:t xml:space="preserve">efektyviausiu būdu. </w:t>
      </w:r>
    </w:p>
    <w:p w14:paraId="7420A350" w14:textId="691FCCFE"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w:t>
      </w:r>
      <w:r w:rsidR="00023806">
        <w:rPr>
          <w:rFonts w:cs="Arial"/>
          <w:sz w:val="24"/>
          <w:szCs w:val="24"/>
        </w:rPr>
        <w:t xml:space="preserve">planuojamo vykdyti </w:t>
      </w:r>
      <w:r w:rsidR="00510119" w:rsidRPr="00510119">
        <w:rPr>
          <w:rFonts w:cs="Arial"/>
          <w:sz w:val="24"/>
          <w:szCs w:val="24"/>
        </w:rPr>
        <w:t xml:space="preserve">pirkimo </w:t>
      </w:r>
      <w:r w:rsidR="002530AD" w:rsidRPr="00023806">
        <w:rPr>
          <w:rFonts w:eastAsia="Calibri"/>
          <w:sz w:val="24"/>
          <w:szCs w:val="24"/>
        </w:rPr>
        <w:t>„</w:t>
      </w:r>
      <w:r w:rsidR="00023806" w:rsidRPr="00023806">
        <w:rPr>
          <w:sz w:val="24"/>
          <w:szCs w:val="24"/>
        </w:rPr>
        <w:t>Vaizdo stebėjimo sistemos atnaujinimo, plėtros ir duomenų perdavimo paslaugų pirkimas Panevėžio mieste</w:t>
      </w:r>
      <w:r w:rsidR="002530AD" w:rsidRPr="00023806">
        <w:rPr>
          <w:rFonts w:eastAsia="Calibri"/>
          <w:sz w:val="24"/>
          <w:szCs w:val="24"/>
        </w:rPr>
        <w:t>“</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3814DA30"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iki 202</w:t>
      </w:r>
      <w:r w:rsidR="00C10443">
        <w:rPr>
          <w:rFonts w:eastAsia="Calibri" w:cs="Arial"/>
          <w:b/>
          <w:bCs/>
          <w:color w:val="FF0000"/>
          <w:sz w:val="24"/>
          <w:szCs w:val="24"/>
        </w:rPr>
        <w:t>6</w:t>
      </w:r>
      <w:r w:rsidRPr="00993989">
        <w:rPr>
          <w:rFonts w:eastAsia="Calibri" w:cs="Arial"/>
          <w:b/>
          <w:bCs/>
          <w:color w:val="FF0000"/>
          <w:sz w:val="24"/>
          <w:szCs w:val="24"/>
        </w:rPr>
        <w:t xml:space="preserve"> m. </w:t>
      </w:r>
      <w:r w:rsidR="00C10443">
        <w:rPr>
          <w:rFonts w:eastAsia="Calibri" w:cs="Arial"/>
          <w:b/>
          <w:bCs/>
          <w:color w:val="FF0000"/>
          <w:sz w:val="24"/>
          <w:szCs w:val="24"/>
        </w:rPr>
        <w:t>birželio 5</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00533C79">
        <w:rPr>
          <w:rFonts w:eastAsia="Calibri" w:cs="Arial"/>
          <w:b/>
          <w:bCs/>
          <w:color w:val="EE0000"/>
          <w:sz w:val="24"/>
          <w:szCs w:val="24"/>
        </w:rPr>
        <w:t>1</w:t>
      </w:r>
      <w:r w:rsidR="00C10443">
        <w:rPr>
          <w:rFonts w:eastAsia="Calibri" w:cs="Arial"/>
          <w:b/>
          <w:bCs/>
          <w:color w:val="EE0000"/>
          <w:sz w:val="24"/>
          <w:szCs w:val="24"/>
        </w:rPr>
        <w:t>4</w:t>
      </w:r>
      <w:r w:rsidR="00533C79">
        <w:rPr>
          <w:rFonts w:eastAsia="Calibri" w:cs="Arial"/>
          <w:b/>
          <w:bCs/>
          <w:color w:val="EE0000"/>
          <w:sz w:val="24"/>
          <w:szCs w:val="24"/>
        </w:rPr>
        <w:t>.00 val.</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Pasiūlymai, klausimai, pastabos (siūlymai), gauti 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Pr="00993989" w:rsidRDefault="00993989" w:rsidP="008B2294">
      <w:pPr>
        <w:spacing w:after="120" w:line="276" w:lineRule="auto"/>
        <w:ind w:firstLine="0"/>
        <w:rPr>
          <w:rFonts w:cs="Arial"/>
          <w:b/>
          <w:sz w:val="24"/>
          <w:szCs w:val="24"/>
        </w:rPr>
      </w:pPr>
      <w:r w:rsidRPr="00993989">
        <w:rPr>
          <w:rFonts w:cs="Arial"/>
          <w:b/>
          <w:sz w:val="24"/>
          <w:szCs w:val="24"/>
        </w:rPr>
        <w:lastRenderedPageBreak/>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vAlign w:val="center"/>
          </w:tcPr>
          <w:p w14:paraId="7453171F"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32AAF3B1"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3538D10"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vAlign w:val="center"/>
          </w:tcPr>
          <w:p w14:paraId="150C6A31"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185298BE" w14:textId="1BC0BA64" w:rsidR="00BD1EC5" w:rsidRPr="00C10443"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00C10443">
              <w:rPr>
                <w:rFonts w:eastAsia="Calibri" w:cs="Arial"/>
                <w:b/>
                <w:sz w:val="24"/>
                <w:szCs w:val="24"/>
                <w:lang w:eastAsia="en-GB"/>
              </w:rPr>
              <w:t>T</w:t>
            </w:r>
            <w:r w:rsidRPr="00BD1EC5">
              <w:rPr>
                <w:rFonts w:eastAsia="Calibri" w:cs="Arial"/>
                <w:b/>
                <w:sz w:val="24"/>
                <w:szCs w:val="24"/>
                <w:u w:val="single"/>
                <w:lang w:eastAsia="en-GB"/>
              </w:rPr>
              <w:t>echnin</w:t>
            </w:r>
            <w:r w:rsidR="00C10443">
              <w:rPr>
                <w:rFonts w:eastAsia="Calibri" w:cs="Arial"/>
                <w:b/>
                <w:sz w:val="24"/>
                <w:szCs w:val="24"/>
                <w:u w:val="single"/>
                <w:lang w:eastAsia="en-GB"/>
              </w:rPr>
              <w:t>ės</w:t>
            </w:r>
            <w:r w:rsidR="0084079F">
              <w:rPr>
                <w:rFonts w:eastAsia="Calibri" w:cs="Arial"/>
                <w:b/>
                <w:sz w:val="24"/>
                <w:szCs w:val="24"/>
                <w:u w:val="single"/>
                <w:lang w:eastAsia="en-GB"/>
              </w:rPr>
              <w:t xml:space="preserve"> </w:t>
            </w:r>
            <w:r w:rsidR="00C10443">
              <w:rPr>
                <w:rFonts w:eastAsia="Calibri" w:cs="Arial"/>
                <w:b/>
                <w:sz w:val="24"/>
                <w:szCs w:val="24"/>
                <w:u w:val="single"/>
                <w:lang w:eastAsia="en-GB"/>
              </w:rPr>
              <w:t>specifikacijos ir jos pried</w:t>
            </w:r>
            <w:r w:rsidR="00103AE4">
              <w:rPr>
                <w:rFonts w:eastAsia="Calibri" w:cs="Arial"/>
                <w:b/>
                <w:sz w:val="24"/>
                <w:szCs w:val="24"/>
                <w:u w:val="single"/>
                <w:lang w:eastAsia="en-GB"/>
              </w:rPr>
              <w:t>o Nr. 1</w:t>
            </w:r>
            <w:r w:rsidR="002321D7" w:rsidRPr="002321D7">
              <w:rPr>
                <w:rFonts w:eastAsia="Calibri" w:cs="Arial"/>
                <w:b/>
                <w:sz w:val="24"/>
                <w:szCs w:val="24"/>
                <w:lang w:eastAsia="en-GB"/>
              </w:rPr>
              <w:t>?</w:t>
            </w:r>
          </w:p>
        </w:tc>
        <w:tc>
          <w:tcPr>
            <w:tcW w:w="5532" w:type="dxa"/>
            <w:vAlign w:val="center"/>
          </w:tcPr>
          <w:p w14:paraId="33BA7AAE"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vAlign w:val="center"/>
          </w:tcPr>
          <w:p w14:paraId="312D0677" w14:textId="35B6737F"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vAlign w:val="center"/>
          </w:tcPr>
          <w:p w14:paraId="275DDD25" w14:textId="0DAC2C5D" w:rsidR="00BD1EC5" w:rsidRPr="00C10443"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kvalifikacijos reikalavimų tiekėjams</w:t>
            </w:r>
            <w:r w:rsidR="002321D7" w:rsidRPr="002321D7">
              <w:rPr>
                <w:rFonts w:eastAsia="Calibri" w:cs="Arial"/>
                <w:b/>
                <w:sz w:val="24"/>
                <w:szCs w:val="24"/>
                <w:lang w:eastAsia="en-GB"/>
              </w:rPr>
              <w:t>?</w:t>
            </w:r>
          </w:p>
        </w:tc>
        <w:tc>
          <w:tcPr>
            <w:tcW w:w="5532" w:type="dxa"/>
            <w:vAlign w:val="center"/>
          </w:tcPr>
          <w:p w14:paraId="56F9AD15"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750B0A9E" w14:textId="77777777" w:rsidTr="00DD548B">
        <w:trPr>
          <w:trHeight w:val="466"/>
          <w:jc w:val="center"/>
        </w:trPr>
        <w:tc>
          <w:tcPr>
            <w:tcW w:w="577" w:type="dxa"/>
            <w:vAlign w:val="center"/>
          </w:tcPr>
          <w:p w14:paraId="00DAED29" w14:textId="36D80552"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3</w:t>
            </w:r>
            <w:r w:rsidRPr="00BD1EC5">
              <w:rPr>
                <w:rFonts w:eastAsia="Calibri" w:cs="Arial"/>
                <w:b/>
                <w:sz w:val="24"/>
                <w:szCs w:val="24"/>
                <w:lang w:eastAsia="en-GB"/>
              </w:rPr>
              <w:t>.</w:t>
            </w:r>
          </w:p>
        </w:tc>
        <w:tc>
          <w:tcPr>
            <w:tcW w:w="3242" w:type="dxa"/>
            <w:vAlign w:val="center"/>
          </w:tcPr>
          <w:p w14:paraId="69C8DFC3" w14:textId="1416E461" w:rsidR="00BD1EC5" w:rsidRPr="00C10443"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sutarties projekto</w:t>
            </w:r>
            <w:r w:rsidR="002321D7" w:rsidRPr="00BD1EC5">
              <w:rPr>
                <w:rFonts w:eastAsia="Calibri" w:cs="Arial"/>
                <w:b/>
                <w:sz w:val="24"/>
                <w:szCs w:val="24"/>
                <w:lang w:eastAsia="en-GB"/>
              </w:rPr>
              <w:t>?</w:t>
            </w:r>
          </w:p>
        </w:tc>
        <w:tc>
          <w:tcPr>
            <w:tcW w:w="5532" w:type="dxa"/>
            <w:vAlign w:val="center"/>
          </w:tcPr>
          <w:p w14:paraId="5A3D1993" w14:textId="77777777" w:rsidR="00BD1EC5" w:rsidRPr="00BD1EC5" w:rsidRDefault="00BD1EC5" w:rsidP="004A75B5">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993989" w:rsidRDefault="00993989" w:rsidP="002321D7">
      <w:pPr>
        <w:spacing w:line="276" w:lineRule="auto"/>
        <w:ind w:firstLine="0"/>
        <w:rPr>
          <w:rFonts w:eastAsia="Calibri" w:cs="Arial"/>
          <w:sz w:val="24"/>
          <w:szCs w:val="24"/>
        </w:rPr>
      </w:pPr>
      <w:r w:rsidRPr="00993989">
        <w:rPr>
          <w:rFonts w:eastAsia="Calibri" w:cs="Arial"/>
          <w:sz w:val="24"/>
          <w:szCs w:val="24"/>
        </w:rPr>
        <w:t>PRIDEDAMA:</w:t>
      </w:r>
    </w:p>
    <w:p w14:paraId="417172CF" w14:textId="1738CA58" w:rsidR="00103AE4"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521312">
        <w:rPr>
          <w:rFonts w:eastAsia="Calibri" w:cs="Arial"/>
          <w:sz w:val="24"/>
          <w:szCs w:val="24"/>
        </w:rPr>
        <w:t xml:space="preserve">1 priedas – </w:t>
      </w:r>
      <w:r w:rsidR="00C10443">
        <w:rPr>
          <w:rFonts w:cs="Arial"/>
          <w:sz w:val="24"/>
          <w:szCs w:val="24"/>
          <w:lang w:eastAsia="en-GB"/>
        </w:rPr>
        <w:t>Techninė specifikacija</w:t>
      </w:r>
      <w:r w:rsidR="00BB6197">
        <w:rPr>
          <w:rFonts w:cs="Arial"/>
          <w:sz w:val="24"/>
          <w:szCs w:val="24"/>
          <w:lang w:eastAsia="en-GB"/>
        </w:rPr>
        <w:t>, 24 lapai</w:t>
      </w:r>
      <w:r w:rsidR="00103AE4">
        <w:rPr>
          <w:rFonts w:cs="Arial"/>
          <w:sz w:val="24"/>
          <w:szCs w:val="24"/>
          <w:lang w:eastAsia="en-GB"/>
        </w:rPr>
        <w:t>;</w:t>
      </w:r>
    </w:p>
    <w:p w14:paraId="40AFEA73" w14:textId="43CC8996" w:rsidR="00993989" w:rsidRPr="00521312" w:rsidRDefault="00103AE4" w:rsidP="00993989">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lang w:eastAsia="en-GB"/>
        </w:rPr>
        <w:t xml:space="preserve">2 priedas – Techninės specifikacijos </w:t>
      </w:r>
      <w:r w:rsidR="00C10443">
        <w:rPr>
          <w:rFonts w:cs="Arial"/>
          <w:sz w:val="24"/>
          <w:szCs w:val="24"/>
          <w:lang w:eastAsia="en-GB"/>
        </w:rPr>
        <w:t>priedas Nr. 1</w:t>
      </w:r>
      <w:r w:rsidR="0054166F" w:rsidRPr="00521312">
        <w:rPr>
          <w:rFonts w:cs="Arial"/>
          <w:sz w:val="24"/>
          <w:szCs w:val="24"/>
        </w:rPr>
        <w:t>;</w:t>
      </w:r>
    </w:p>
    <w:p w14:paraId="2E61E7CA" w14:textId="15B04292" w:rsidR="00991914" w:rsidRPr="00C10443" w:rsidRDefault="00103AE4" w:rsidP="00C10443">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rPr>
        <w:t>3</w:t>
      </w:r>
      <w:r w:rsidR="00993989" w:rsidRPr="00172593">
        <w:rPr>
          <w:rFonts w:cs="Arial"/>
          <w:sz w:val="24"/>
          <w:szCs w:val="24"/>
        </w:rPr>
        <w:t xml:space="preserve"> priedas – </w:t>
      </w:r>
      <w:r w:rsidR="00991914" w:rsidRPr="00C10443">
        <w:rPr>
          <w:rFonts w:cs="Arial"/>
          <w:sz w:val="24"/>
          <w:szCs w:val="24"/>
        </w:rPr>
        <w:t>Kvalifikacijos reikalavimai tiekėjams</w:t>
      </w:r>
      <w:r w:rsidR="00BB6197">
        <w:rPr>
          <w:rFonts w:cs="Arial"/>
          <w:sz w:val="24"/>
          <w:szCs w:val="24"/>
        </w:rPr>
        <w:t>, 3 lapai</w:t>
      </w:r>
      <w:r w:rsidR="00991914" w:rsidRPr="00C10443">
        <w:rPr>
          <w:rFonts w:cs="Arial"/>
          <w:sz w:val="24"/>
          <w:szCs w:val="24"/>
        </w:rPr>
        <w:t>;</w:t>
      </w:r>
    </w:p>
    <w:p w14:paraId="692AFC40" w14:textId="69FCD765" w:rsidR="00991914" w:rsidRPr="00242651" w:rsidRDefault="00103AE4" w:rsidP="00993989">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rPr>
        <w:t>4</w:t>
      </w:r>
      <w:r w:rsidR="004741ED" w:rsidRPr="00242651">
        <w:rPr>
          <w:rFonts w:cs="Arial"/>
          <w:sz w:val="24"/>
          <w:szCs w:val="24"/>
        </w:rPr>
        <w:t xml:space="preserve"> priedas – Sutarties projektas</w:t>
      </w:r>
      <w:r w:rsidR="0055352E" w:rsidRPr="00242651">
        <w:rPr>
          <w:rFonts w:cs="Arial"/>
          <w:sz w:val="24"/>
          <w:szCs w:val="24"/>
        </w:rPr>
        <w:t xml:space="preserve">, </w:t>
      </w:r>
      <w:r w:rsidR="00C10443">
        <w:rPr>
          <w:rFonts w:cs="Arial"/>
          <w:sz w:val="24"/>
          <w:szCs w:val="24"/>
        </w:rPr>
        <w:t>29</w:t>
      </w:r>
      <w:r w:rsidR="0055352E" w:rsidRPr="00242651">
        <w:rPr>
          <w:rFonts w:cs="Arial"/>
          <w:sz w:val="24"/>
          <w:szCs w:val="24"/>
        </w:rPr>
        <w:t xml:space="preserve"> lap</w:t>
      </w:r>
      <w:r w:rsidR="00C10443">
        <w:rPr>
          <w:rFonts w:cs="Arial"/>
          <w:sz w:val="24"/>
          <w:szCs w:val="24"/>
        </w:rPr>
        <w:t>ai</w:t>
      </w:r>
      <w:r>
        <w:rPr>
          <w:rFonts w:cs="Arial"/>
          <w:sz w:val="24"/>
          <w:szCs w:val="24"/>
        </w:rPr>
        <w:t>.</w:t>
      </w:r>
    </w:p>
    <w:p w14:paraId="00678DB2" w14:textId="77777777" w:rsidR="00993989" w:rsidRDefault="00993989" w:rsidP="00F5658B">
      <w:pPr>
        <w:spacing w:line="276" w:lineRule="auto"/>
        <w:ind w:firstLine="709"/>
        <w:jc w:val="both"/>
        <w:rPr>
          <w:sz w:val="24"/>
          <w:szCs w:val="24"/>
        </w:rPr>
      </w:pPr>
    </w:p>
    <w:p w14:paraId="543A2346" w14:textId="77777777" w:rsidR="00993989" w:rsidRDefault="00993989" w:rsidP="00F5658B">
      <w:pPr>
        <w:spacing w:line="276" w:lineRule="auto"/>
        <w:ind w:firstLine="709"/>
        <w:jc w:val="both"/>
        <w:rPr>
          <w:sz w:val="24"/>
          <w:szCs w:val="24"/>
        </w:rPr>
      </w:pPr>
    </w:p>
    <w:p w14:paraId="24EB44C9" w14:textId="77777777" w:rsidR="00C10443" w:rsidRDefault="003D14FE" w:rsidP="00F5640C">
      <w:pPr>
        <w:suppressAutoHyphens/>
        <w:spacing w:line="240" w:lineRule="auto"/>
        <w:ind w:firstLine="0"/>
        <w:jc w:val="both"/>
        <w:rPr>
          <w:rFonts w:cs="Arial"/>
          <w:sz w:val="24"/>
          <w:szCs w:val="24"/>
          <w:lang w:eastAsia="ar-SA"/>
        </w:rPr>
      </w:pPr>
      <w:r w:rsidRPr="00381D1C">
        <w:rPr>
          <w:rFonts w:cs="Arial"/>
          <w:sz w:val="24"/>
          <w:szCs w:val="24"/>
          <w:lang w:eastAsia="ar-SA"/>
        </w:rPr>
        <w:t>Skyriaus vedėj</w:t>
      </w:r>
      <w:r w:rsidR="00C10443">
        <w:rPr>
          <w:rFonts w:cs="Arial"/>
          <w:sz w:val="24"/>
          <w:szCs w:val="24"/>
          <w:lang w:eastAsia="ar-SA"/>
        </w:rPr>
        <w:t xml:space="preserve">o pavaduotoja, </w:t>
      </w:r>
    </w:p>
    <w:p w14:paraId="0394172B" w14:textId="33CFE590" w:rsidR="003D14FE" w:rsidRDefault="00C10443" w:rsidP="00F5640C">
      <w:pPr>
        <w:suppressAutoHyphens/>
        <w:spacing w:line="240" w:lineRule="auto"/>
        <w:ind w:firstLine="0"/>
        <w:jc w:val="both"/>
        <w:rPr>
          <w:sz w:val="24"/>
          <w:szCs w:val="24"/>
        </w:rPr>
      </w:pPr>
      <w:r>
        <w:rPr>
          <w:rFonts w:cs="Arial"/>
          <w:sz w:val="24"/>
          <w:szCs w:val="24"/>
          <w:lang w:eastAsia="ar-SA"/>
        </w:rPr>
        <w:t>pavaduojantis Skyriaus vedėją</w:t>
      </w:r>
      <w:r w:rsidR="00F5640C">
        <w:rPr>
          <w:rFonts w:cs="Arial"/>
          <w:sz w:val="24"/>
          <w:szCs w:val="24"/>
          <w:lang w:eastAsia="ar-SA"/>
        </w:rPr>
        <w:tab/>
      </w:r>
      <w:r w:rsidR="00F5640C">
        <w:rPr>
          <w:rFonts w:cs="Arial"/>
          <w:sz w:val="24"/>
          <w:szCs w:val="24"/>
          <w:lang w:eastAsia="ar-SA"/>
        </w:rPr>
        <w:tab/>
      </w:r>
      <w:r w:rsidR="00F5640C">
        <w:rPr>
          <w:rFonts w:cs="Arial"/>
          <w:sz w:val="24"/>
          <w:szCs w:val="24"/>
          <w:lang w:eastAsia="ar-SA"/>
        </w:rPr>
        <w:tab/>
        <w:t xml:space="preserve">                    </w:t>
      </w:r>
      <w:r w:rsidR="00F5640C">
        <w:rPr>
          <w:rFonts w:cs="Arial"/>
          <w:sz w:val="24"/>
          <w:szCs w:val="24"/>
          <w:lang w:eastAsia="ar-SA"/>
        </w:rPr>
        <w:tab/>
      </w:r>
      <w:r w:rsidR="005B3D39">
        <w:rPr>
          <w:rFonts w:cs="Arial"/>
          <w:sz w:val="24"/>
          <w:szCs w:val="24"/>
          <w:lang w:eastAsia="ar-SA"/>
        </w:rPr>
        <w:t xml:space="preserve">           </w:t>
      </w:r>
      <w:r>
        <w:rPr>
          <w:rFonts w:cs="Arial"/>
          <w:sz w:val="24"/>
          <w:szCs w:val="24"/>
          <w:lang w:eastAsia="ar-SA"/>
        </w:rPr>
        <w:t xml:space="preserve">Ieva </w:t>
      </w:r>
      <w:proofErr w:type="spellStart"/>
      <w:r>
        <w:rPr>
          <w:rFonts w:cs="Arial"/>
          <w:sz w:val="24"/>
          <w:szCs w:val="24"/>
          <w:lang w:eastAsia="ar-SA"/>
        </w:rPr>
        <w:t>Adomėnienė</w:t>
      </w:r>
      <w:proofErr w:type="spellEnd"/>
    </w:p>
    <w:p w14:paraId="027BE755" w14:textId="77777777" w:rsidR="00C10443" w:rsidRDefault="00C10443" w:rsidP="001C674E">
      <w:pPr>
        <w:spacing w:line="360" w:lineRule="auto"/>
        <w:ind w:firstLine="0"/>
        <w:jc w:val="both"/>
        <w:rPr>
          <w:b/>
          <w:bCs/>
          <w:sz w:val="24"/>
          <w:szCs w:val="24"/>
        </w:rPr>
      </w:pPr>
    </w:p>
    <w:p w14:paraId="6F4D937D" w14:textId="6533777D" w:rsidR="001C674E" w:rsidRDefault="001C674E" w:rsidP="001C674E">
      <w:pPr>
        <w:spacing w:line="360" w:lineRule="auto"/>
        <w:ind w:firstLine="0"/>
        <w:jc w:val="both"/>
        <w:rPr>
          <w:b/>
          <w:bCs/>
          <w:sz w:val="24"/>
          <w:szCs w:val="24"/>
        </w:rPr>
      </w:pPr>
      <w:r>
        <w:rPr>
          <w:b/>
          <w:bCs/>
          <w:sz w:val="24"/>
          <w:szCs w:val="24"/>
        </w:rPr>
        <w:t>Originalas nebus siunčiamas</w:t>
      </w:r>
    </w:p>
    <w:p w14:paraId="0D7E92B9" w14:textId="10CCAD95" w:rsidR="00C54544" w:rsidRPr="0046244D" w:rsidRDefault="003D14FE" w:rsidP="00EA435C">
      <w:pPr>
        <w:pStyle w:val="Default"/>
        <w:spacing w:line="276" w:lineRule="auto"/>
        <w:rPr>
          <w:rFonts w:ascii="Arial" w:hAnsi="Arial" w:cs="Arial"/>
          <w:color w:val="808080"/>
        </w:rPr>
      </w:pPr>
      <w:bookmarkStart w:id="1"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1"/>
      <w:r w:rsidRPr="00BD231C">
        <w:rPr>
          <w:rFonts w:ascii="Arial" w:hAnsi="Arial" w:cs="Arial"/>
          <w:color w:val="808080"/>
        </w:rPr>
        <w:t>jurgita.plesneviciene@panevezys.lt</w:t>
      </w:r>
    </w:p>
    <w:sectPr w:rsidR="00C54544" w:rsidRPr="0046244D" w:rsidSect="00103AE4">
      <w:headerReference w:type="even" r:id="rId12"/>
      <w:headerReference w:type="default" r:id="rId13"/>
      <w:footerReference w:type="first" r:id="rId14"/>
      <w:type w:val="continuous"/>
      <w:pgSz w:w="11906" w:h="16838" w:code="9"/>
      <w:pgMar w:top="993" w:right="707" w:bottom="709" w:left="1418"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08A3" w14:textId="77777777" w:rsidR="009479F3" w:rsidRDefault="009479F3">
      <w:r>
        <w:separator/>
      </w:r>
    </w:p>
  </w:endnote>
  <w:endnote w:type="continuationSeparator" w:id="0">
    <w:p w14:paraId="42F01ABA" w14:textId="77777777" w:rsidR="009479F3" w:rsidRDefault="0094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C641" w14:textId="77777777" w:rsidR="009479F3" w:rsidRDefault="009479F3">
      <w:r>
        <w:separator/>
      </w:r>
    </w:p>
  </w:footnote>
  <w:footnote w:type="continuationSeparator" w:id="0">
    <w:p w14:paraId="4460224C" w14:textId="77777777" w:rsidR="009479F3" w:rsidRDefault="009479F3">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3806"/>
    <w:rsid w:val="00024041"/>
    <w:rsid w:val="000313EA"/>
    <w:rsid w:val="00031C12"/>
    <w:rsid w:val="00032AAB"/>
    <w:rsid w:val="00036023"/>
    <w:rsid w:val="00040877"/>
    <w:rsid w:val="000410EF"/>
    <w:rsid w:val="000568FA"/>
    <w:rsid w:val="00062A9F"/>
    <w:rsid w:val="000718AC"/>
    <w:rsid w:val="00076017"/>
    <w:rsid w:val="00076B1B"/>
    <w:rsid w:val="00080502"/>
    <w:rsid w:val="0008289A"/>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3AE4"/>
    <w:rsid w:val="001041E6"/>
    <w:rsid w:val="00114425"/>
    <w:rsid w:val="00114B9F"/>
    <w:rsid w:val="00125F2E"/>
    <w:rsid w:val="00127050"/>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23C45"/>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52CC4"/>
    <w:rsid w:val="0055352E"/>
    <w:rsid w:val="00554E44"/>
    <w:rsid w:val="005559BC"/>
    <w:rsid w:val="00561CE8"/>
    <w:rsid w:val="00562076"/>
    <w:rsid w:val="005626F0"/>
    <w:rsid w:val="00563AE5"/>
    <w:rsid w:val="00575D50"/>
    <w:rsid w:val="005767DA"/>
    <w:rsid w:val="00584940"/>
    <w:rsid w:val="005925C7"/>
    <w:rsid w:val="005928AC"/>
    <w:rsid w:val="005928B8"/>
    <w:rsid w:val="00596C37"/>
    <w:rsid w:val="005A0FCC"/>
    <w:rsid w:val="005A59E4"/>
    <w:rsid w:val="005A669B"/>
    <w:rsid w:val="005B2D47"/>
    <w:rsid w:val="005B3D39"/>
    <w:rsid w:val="005B4557"/>
    <w:rsid w:val="005C2E16"/>
    <w:rsid w:val="005C3E8C"/>
    <w:rsid w:val="005C598D"/>
    <w:rsid w:val="005D1BAF"/>
    <w:rsid w:val="005D1C2C"/>
    <w:rsid w:val="005D44B4"/>
    <w:rsid w:val="005D6C95"/>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6D4F"/>
    <w:rsid w:val="00834DAD"/>
    <w:rsid w:val="0084079F"/>
    <w:rsid w:val="00842A0E"/>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4C6C"/>
    <w:rsid w:val="009021AE"/>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479F3"/>
    <w:rsid w:val="00961023"/>
    <w:rsid w:val="00972C24"/>
    <w:rsid w:val="00984A54"/>
    <w:rsid w:val="009879B9"/>
    <w:rsid w:val="00991914"/>
    <w:rsid w:val="00993989"/>
    <w:rsid w:val="009A0DCD"/>
    <w:rsid w:val="009A2C1A"/>
    <w:rsid w:val="009A4F81"/>
    <w:rsid w:val="009A772C"/>
    <w:rsid w:val="009B4FFE"/>
    <w:rsid w:val="009B729A"/>
    <w:rsid w:val="009C2255"/>
    <w:rsid w:val="009C4616"/>
    <w:rsid w:val="009D251B"/>
    <w:rsid w:val="009D7508"/>
    <w:rsid w:val="009E19BB"/>
    <w:rsid w:val="009F332E"/>
    <w:rsid w:val="009F62CA"/>
    <w:rsid w:val="009F6D15"/>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99"/>
    <w:rsid w:val="00AA3038"/>
    <w:rsid w:val="00AA42D1"/>
    <w:rsid w:val="00AA68E2"/>
    <w:rsid w:val="00AB01E3"/>
    <w:rsid w:val="00AB042B"/>
    <w:rsid w:val="00AB32B0"/>
    <w:rsid w:val="00AB383E"/>
    <w:rsid w:val="00AB4EE2"/>
    <w:rsid w:val="00AB6E60"/>
    <w:rsid w:val="00AD0633"/>
    <w:rsid w:val="00AD17EB"/>
    <w:rsid w:val="00AE3951"/>
    <w:rsid w:val="00B02E5B"/>
    <w:rsid w:val="00B03AA8"/>
    <w:rsid w:val="00B215D1"/>
    <w:rsid w:val="00B22E62"/>
    <w:rsid w:val="00B24800"/>
    <w:rsid w:val="00B322E1"/>
    <w:rsid w:val="00B33B4F"/>
    <w:rsid w:val="00B35575"/>
    <w:rsid w:val="00B359B8"/>
    <w:rsid w:val="00B4294A"/>
    <w:rsid w:val="00B457B4"/>
    <w:rsid w:val="00B50942"/>
    <w:rsid w:val="00B56206"/>
    <w:rsid w:val="00B616EC"/>
    <w:rsid w:val="00B703B5"/>
    <w:rsid w:val="00B70E02"/>
    <w:rsid w:val="00B745DA"/>
    <w:rsid w:val="00B76CC2"/>
    <w:rsid w:val="00B8615F"/>
    <w:rsid w:val="00B9656F"/>
    <w:rsid w:val="00BA48D5"/>
    <w:rsid w:val="00BB6197"/>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10443"/>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2481</Words>
  <Characters>1415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3889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5</cp:revision>
  <cp:lastPrinted>2026-05-26T05:14:00Z</cp:lastPrinted>
  <dcterms:created xsi:type="dcterms:W3CDTF">2026-05-26T04:15:00Z</dcterms:created>
  <dcterms:modified xsi:type="dcterms:W3CDTF">2026-05-26T05:14:00Z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