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2C4E" w14:textId="77777777" w:rsidR="00BA558D" w:rsidRPr="001640B9" w:rsidRDefault="00BA558D" w:rsidP="00BA558D">
      <w:pPr>
        <w:pStyle w:val="Default"/>
        <w:jc w:val="right"/>
        <w:rPr>
          <w:b/>
        </w:rPr>
      </w:pPr>
      <w:r w:rsidRPr="001640B9">
        <w:rPr>
          <w:rFonts w:eastAsia="Calibri"/>
          <w:b/>
          <w:color w:val="auto"/>
        </w:rPr>
        <w:t xml:space="preserve">Specialiųjų pirkimo sąlygų </w:t>
      </w:r>
      <w:r w:rsidRPr="001640B9">
        <w:rPr>
          <w:b/>
        </w:rPr>
        <w:t xml:space="preserve">2 priedas </w:t>
      </w:r>
    </w:p>
    <w:p w14:paraId="53056967" w14:textId="77777777" w:rsidR="00BA558D" w:rsidRPr="001640B9" w:rsidRDefault="00BA558D" w:rsidP="00BA558D">
      <w:pPr>
        <w:pStyle w:val="Default"/>
        <w:jc w:val="right"/>
        <w:rPr>
          <w:b/>
        </w:rPr>
      </w:pPr>
      <w:r w:rsidRPr="001640B9">
        <w:rPr>
          <w:b/>
        </w:rPr>
        <w:t>„Techninė specifikacija“</w:t>
      </w:r>
    </w:p>
    <w:p w14:paraId="7E9AE53C" w14:textId="77777777" w:rsidR="00BA558D" w:rsidRPr="001640B9" w:rsidRDefault="00BA558D" w:rsidP="00DE3879">
      <w:pPr>
        <w:jc w:val="center"/>
        <w:rPr>
          <w:rFonts w:ascii="Times New Roman" w:hAnsi="Times New Roman" w:cs="Times New Roman"/>
          <w:b/>
          <w:lang w:val="lt-LT" w:eastAsia="lt-LT"/>
        </w:rPr>
      </w:pPr>
    </w:p>
    <w:p w14:paraId="78F2044C" w14:textId="3976E4BE" w:rsidR="00D620F4" w:rsidRPr="001640B9" w:rsidRDefault="00D620F4" w:rsidP="00D620F4">
      <w:pPr>
        <w:spacing w:after="0" w:line="240" w:lineRule="auto"/>
        <w:jc w:val="center"/>
        <w:rPr>
          <w:rFonts w:ascii="Times New Roman" w:hAnsi="Times New Roman" w:cs="Times New Roman"/>
          <w:b/>
          <w:highlight w:val="yellow"/>
          <w:lang w:val="lt-LT" w:eastAsia="lt-LT"/>
        </w:rPr>
      </w:pPr>
      <w:r w:rsidRPr="001640B9">
        <w:rPr>
          <w:rFonts w:ascii="Times New Roman" w:hAnsi="Times New Roman" w:cs="Times New Roman"/>
          <w:b/>
          <w:lang w:val="lt-LT" w:eastAsia="lt-LT"/>
        </w:rPr>
        <w:t xml:space="preserve">MEDŽIAGŲ ŠILUMOS LAIDUMO </w:t>
      </w:r>
      <w:r w:rsidR="00671A1C" w:rsidRPr="001640B9">
        <w:rPr>
          <w:rFonts w:ascii="Times New Roman" w:hAnsi="Times New Roman" w:cs="Times New Roman"/>
          <w:b/>
          <w:lang w:val="lt-LT" w:eastAsia="lt-LT"/>
        </w:rPr>
        <w:t xml:space="preserve">KOEFICIENTO </w:t>
      </w:r>
      <w:r w:rsidRPr="001640B9">
        <w:rPr>
          <w:rFonts w:ascii="Times New Roman" w:hAnsi="Times New Roman" w:cs="Times New Roman"/>
          <w:b/>
          <w:lang w:val="lt-LT" w:eastAsia="lt-LT"/>
        </w:rPr>
        <w:t>MATAVIMO ĮRANGOS KOMPLEKTAS</w:t>
      </w:r>
    </w:p>
    <w:p w14:paraId="6CDD92B6" w14:textId="27845292" w:rsidR="00852765" w:rsidRPr="001640B9" w:rsidRDefault="00852765" w:rsidP="00DE3879">
      <w:pPr>
        <w:jc w:val="center"/>
        <w:rPr>
          <w:rFonts w:ascii="Times New Roman" w:hAnsi="Times New Roman" w:cs="Times New Roman"/>
          <w:b/>
          <w:color w:val="000000" w:themeColor="text1"/>
          <w:lang w:val="lt-LT"/>
        </w:rPr>
      </w:pPr>
    </w:p>
    <w:p w14:paraId="0B524CA7" w14:textId="77777777" w:rsidR="00852765" w:rsidRPr="001640B9" w:rsidRDefault="00852765" w:rsidP="00852765">
      <w:pPr>
        <w:jc w:val="center"/>
        <w:rPr>
          <w:rFonts w:ascii="Times New Roman" w:hAnsi="Times New Roman" w:cs="Times New Roman"/>
          <w:b/>
          <w:color w:val="000000" w:themeColor="text1"/>
          <w:lang w:val="lt-LT"/>
        </w:rPr>
      </w:pPr>
      <w:r w:rsidRPr="001640B9">
        <w:rPr>
          <w:rFonts w:ascii="Times New Roman" w:hAnsi="Times New Roman" w:cs="Times New Roman"/>
          <w:b/>
          <w:color w:val="000000" w:themeColor="text1"/>
          <w:lang w:val="lt-LT"/>
        </w:rPr>
        <w:t>BENDRIEJI REIKALAVIMAI</w:t>
      </w:r>
    </w:p>
    <w:p w14:paraId="6A7BA25A" w14:textId="17F1EAF1" w:rsidR="00852765" w:rsidRPr="001640B9" w:rsidRDefault="00D620F4"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lang w:val="lt-LT"/>
        </w:rPr>
        <w:t xml:space="preserve">Kauno technologijos universitetas įgyvendina </w:t>
      </w:r>
      <w:r w:rsidRPr="001640B9">
        <w:rPr>
          <w:rFonts w:ascii="Times New Roman" w:hAnsi="Times New Roman" w:cs="Times New Roman"/>
          <w:color w:val="000000" w:themeColor="text1"/>
          <w:lang w:val="lt-LT"/>
        </w:rPr>
        <w:t xml:space="preserve">projektą </w:t>
      </w:r>
      <w:r w:rsidR="00B209D2" w:rsidRPr="001640B9">
        <w:rPr>
          <w:rFonts w:ascii="Times New Roman" w:hAnsi="Times New Roman" w:cs="Times New Roman"/>
          <w:color w:val="000000" w:themeColor="text1"/>
          <w:lang w:val="lt-LT"/>
        </w:rPr>
        <w:t>„</w:t>
      </w:r>
      <w:r w:rsidR="00B209D2" w:rsidRPr="001640B9">
        <w:rPr>
          <w:rFonts w:ascii="Times New Roman" w:hAnsi="Times New Roman" w:cs="Times New Roman"/>
          <w:b/>
          <w:bCs/>
          <w:color w:val="000000" w:themeColor="text1"/>
          <w:lang w:val="lt-LT"/>
        </w:rPr>
        <w:t xml:space="preserve">Išmaniosios statybos aplinkos ekosistema, grindžiama pažangiais medžiagų tyrimais” </w:t>
      </w:r>
      <w:r w:rsidR="00B209D2" w:rsidRPr="001640B9">
        <w:rPr>
          <w:rFonts w:ascii="Times New Roman" w:hAnsi="Times New Roman" w:cs="Times New Roman"/>
          <w:color w:val="000000" w:themeColor="text1"/>
          <w:lang w:val="lt-LT"/>
        </w:rPr>
        <w:t xml:space="preserve">Projekto Nr. </w:t>
      </w:r>
      <w:r w:rsidR="00B209D2" w:rsidRPr="001640B9">
        <w:rPr>
          <w:rFonts w:ascii="Times New Roman" w:hAnsi="Times New Roman" w:cs="Times New Roman"/>
          <w:b/>
          <w:bCs/>
          <w:color w:val="000000" w:themeColor="text1"/>
          <w:lang w:val="lt-LT"/>
        </w:rPr>
        <w:t>10-093-K-0130</w:t>
      </w:r>
      <w:r w:rsidRPr="001640B9">
        <w:rPr>
          <w:rFonts w:ascii="Times New Roman" w:hAnsi="Times New Roman" w:cs="Times New Roman"/>
          <w:color w:val="000000" w:themeColor="text1"/>
          <w:lang w:val="lt-LT"/>
        </w:rPr>
        <w:t>, kuris finansuojamas 2021–2027 metų Europos sąjungos fondų, Ekonomikos gaivinimo ir atsparumo didinimo "Naujos kartos Lietuva" priemonės ir Lietuvos Respublikos valstybės biudžeto lėšomis.</w:t>
      </w:r>
    </w:p>
    <w:p w14:paraId="24105733" w14:textId="16914B3D" w:rsidR="00852765" w:rsidRPr="001640B9" w:rsidRDefault="00852765" w:rsidP="00D620F4">
      <w:pPr>
        <w:spacing w:after="0" w:line="240" w:lineRule="auto"/>
        <w:ind w:firstLine="567"/>
        <w:rPr>
          <w:rFonts w:ascii="Times New Roman" w:hAnsi="Times New Roman" w:cs="Times New Roman"/>
          <w:lang w:val="lt-LT"/>
        </w:rPr>
      </w:pPr>
      <w:r w:rsidRPr="001640B9">
        <w:rPr>
          <w:rFonts w:ascii="Times New Roman" w:hAnsi="Times New Roman" w:cs="Times New Roman"/>
          <w:lang w:val="lt-LT"/>
        </w:rPr>
        <w:t xml:space="preserve">Pirkimo objektas – </w:t>
      </w:r>
      <w:r w:rsidR="00D620F4" w:rsidRPr="001640B9">
        <w:rPr>
          <w:rFonts w:ascii="Times New Roman" w:hAnsi="Times New Roman" w:cs="Times New Roman"/>
          <w:bCs/>
          <w:lang w:val="lt-LT"/>
        </w:rPr>
        <w:t>Medžiagų šilumos laidumo</w:t>
      </w:r>
      <w:r w:rsidR="00957686" w:rsidRPr="001640B9">
        <w:rPr>
          <w:rFonts w:ascii="Times New Roman" w:hAnsi="Times New Roman" w:cs="Times New Roman"/>
          <w:bCs/>
          <w:lang w:val="lt-LT"/>
        </w:rPr>
        <w:t xml:space="preserve"> koeficiento</w:t>
      </w:r>
      <w:r w:rsidR="00D620F4" w:rsidRPr="001640B9">
        <w:rPr>
          <w:rFonts w:ascii="Times New Roman" w:hAnsi="Times New Roman" w:cs="Times New Roman"/>
          <w:bCs/>
          <w:lang w:val="lt-LT"/>
        </w:rPr>
        <w:t xml:space="preserve"> matavimo įrangos komplektas</w:t>
      </w:r>
      <w:r w:rsidR="00B9698D" w:rsidRPr="001640B9">
        <w:rPr>
          <w:rFonts w:ascii="Times New Roman" w:hAnsi="Times New Roman" w:cs="Times New Roman"/>
          <w:b/>
          <w:lang w:val="lt-LT"/>
        </w:rPr>
        <w:t xml:space="preserve"> </w:t>
      </w:r>
      <w:r w:rsidRPr="001640B9">
        <w:rPr>
          <w:rFonts w:ascii="Times New Roman" w:hAnsi="Times New Roman" w:cs="Times New Roman"/>
          <w:b/>
          <w:lang w:val="lt-LT"/>
        </w:rPr>
        <w:t>(toliau prekė)</w:t>
      </w:r>
      <w:r w:rsidRPr="001640B9">
        <w:rPr>
          <w:rFonts w:ascii="Times New Roman" w:hAnsi="Times New Roman" w:cs="Times New Roman"/>
          <w:lang w:val="lt-LT"/>
        </w:rPr>
        <w:t>.</w:t>
      </w:r>
    </w:p>
    <w:p w14:paraId="43843D06" w14:textId="2732023A" w:rsidR="00852765" w:rsidRPr="001640B9" w:rsidRDefault="00852765" w:rsidP="00852765">
      <w:pPr>
        <w:tabs>
          <w:tab w:val="left" w:pos="426"/>
        </w:tabs>
        <w:ind w:firstLine="567"/>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 xml:space="preserve">Maksimali pirkimui skirtų lėšų suma – </w:t>
      </w:r>
      <w:r w:rsidR="00D620F4" w:rsidRPr="001640B9">
        <w:rPr>
          <w:rFonts w:ascii="Times New Roman" w:hAnsi="Times New Roman" w:cs="Times New Roman"/>
          <w:b/>
          <w:bCs/>
          <w:color w:val="000000" w:themeColor="text1"/>
          <w:lang w:val="lt-LT"/>
        </w:rPr>
        <w:t xml:space="preserve">174 552,18 </w:t>
      </w:r>
      <w:r w:rsidRPr="001640B9">
        <w:rPr>
          <w:rFonts w:ascii="Times New Roman" w:hAnsi="Times New Roman" w:cs="Times New Roman"/>
          <w:color w:val="000000" w:themeColor="text1"/>
          <w:lang w:val="lt-LT"/>
        </w:rPr>
        <w:t>EUR (</w:t>
      </w:r>
      <w:r w:rsidR="00D620F4" w:rsidRPr="001640B9">
        <w:rPr>
          <w:rFonts w:ascii="Times New Roman" w:hAnsi="Times New Roman" w:cs="Times New Roman"/>
          <w:color w:val="000000" w:themeColor="text1"/>
          <w:lang w:val="lt-LT"/>
        </w:rPr>
        <w:t xml:space="preserve">vienas </w:t>
      </w:r>
      <w:r w:rsidRPr="001640B9">
        <w:rPr>
          <w:rFonts w:ascii="Times New Roman" w:hAnsi="Times New Roman" w:cs="Times New Roman"/>
          <w:color w:val="000000" w:themeColor="text1"/>
          <w:lang w:val="lt-LT"/>
        </w:rPr>
        <w:t>šimta</w:t>
      </w:r>
      <w:r w:rsidR="00B807BC" w:rsidRPr="001640B9">
        <w:rPr>
          <w:rFonts w:ascii="Times New Roman" w:hAnsi="Times New Roman" w:cs="Times New Roman"/>
          <w:color w:val="000000" w:themeColor="text1"/>
          <w:lang w:val="lt-LT"/>
        </w:rPr>
        <w:t>s</w:t>
      </w:r>
      <w:r w:rsidRPr="001640B9">
        <w:rPr>
          <w:rFonts w:ascii="Times New Roman" w:hAnsi="Times New Roman" w:cs="Times New Roman"/>
          <w:color w:val="000000" w:themeColor="text1"/>
          <w:lang w:val="lt-LT"/>
        </w:rPr>
        <w:t xml:space="preserve"> </w:t>
      </w:r>
      <w:r w:rsidR="00D620F4" w:rsidRPr="001640B9">
        <w:rPr>
          <w:rFonts w:ascii="Times New Roman" w:hAnsi="Times New Roman" w:cs="Times New Roman"/>
          <w:color w:val="000000" w:themeColor="text1"/>
          <w:lang w:val="lt-LT"/>
        </w:rPr>
        <w:t>septyniasdešimt</w:t>
      </w:r>
      <w:r w:rsidRPr="001640B9">
        <w:rPr>
          <w:rFonts w:ascii="Times New Roman" w:hAnsi="Times New Roman" w:cs="Times New Roman"/>
          <w:color w:val="000000" w:themeColor="text1"/>
          <w:lang w:val="lt-LT"/>
        </w:rPr>
        <w:t xml:space="preserve"> </w:t>
      </w:r>
      <w:r w:rsidR="00D620F4" w:rsidRPr="001640B9">
        <w:rPr>
          <w:rFonts w:ascii="Times New Roman" w:hAnsi="Times New Roman" w:cs="Times New Roman"/>
          <w:color w:val="000000" w:themeColor="text1"/>
          <w:lang w:val="lt-LT"/>
        </w:rPr>
        <w:t xml:space="preserve">keturi </w:t>
      </w:r>
      <w:r w:rsidRPr="001640B9">
        <w:rPr>
          <w:rFonts w:ascii="Times New Roman" w:hAnsi="Times New Roman" w:cs="Times New Roman"/>
          <w:color w:val="000000" w:themeColor="text1"/>
          <w:lang w:val="lt-LT"/>
        </w:rPr>
        <w:t xml:space="preserve">tūkstančiai </w:t>
      </w:r>
      <w:r w:rsidR="00D620F4" w:rsidRPr="001640B9">
        <w:rPr>
          <w:rFonts w:ascii="Times New Roman" w:hAnsi="Times New Roman" w:cs="Times New Roman"/>
          <w:color w:val="000000" w:themeColor="text1"/>
          <w:lang w:val="lt-LT"/>
        </w:rPr>
        <w:t xml:space="preserve">penki </w:t>
      </w:r>
      <w:r w:rsidR="00B807BC" w:rsidRPr="001640B9">
        <w:rPr>
          <w:rFonts w:ascii="Times New Roman" w:hAnsi="Times New Roman" w:cs="Times New Roman"/>
          <w:color w:val="000000" w:themeColor="text1"/>
          <w:lang w:val="lt-LT"/>
        </w:rPr>
        <w:t>šimtai</w:t>
      </w:r>
      <w:r w:rsidRPr="001640B9">
        <w:rPr>
          <w:rFonts w:ascii="Times New Roman" w:hAnsi="Times New Roman" w:cs="Times New Roman"/>
          <w:color w:val="000000" w:themeColor="text1"/>
          <w:lang w:val="lt-LT"/>
        </w:rPr>
        <w:t xml:space="preserve"> </w:t>
      </w:r>
      <w:r w:rsidR="00D620F4" w:rsidRPr="001640B9">
        <w:rPr>
          <w:rFonts w:ascii="Times New Roman" w:hAnsi="Times New Roman" w:cs="Times New Roman"/>
          <w:color w:val="000000" w:themeColor="text1"/>
          <w:lang w:val="lt-LT"/>
        </w:rPr>
        <w:t>penkiasdešimt du</w:t>
      </w:r>
      <w:r w:rsidRPr="001640B9">
        <w:rPr>
          <w:rFonts w:ascii="Times New Roman" w:hAnsi="Times New Roman" w:cs="Times New Roman"/>
          <w:color w:val="000000" w:themeColor="text1"/>
          <w:lang w:val="lt-LT"/>
        </w:rPr>
        <w:t xml:space="preserve"> eur</w:t>
      </w:r>
      <w:r w:rsidR="00F9361B" w:rsidRPr="001640B9">
        <w:rPr>
          <w:rFonts w:ascii="Times New Roman" w:hAnsi="Times New Roman" w:cs="Times New Roman"/>
          <w:color w:val="000000" w:themeColor="text1"/>
          <w:lang w:val="lt-LT"/>
        </w:rPr>
        <w:t>a</w:t>
      </w:r>
      <w:r w:rsidR="00D620F4" w:rsidRPr="001640B9">
        <w:rPr>
          <w:rFonts w:ascii="Times New Roman" w:hAnsi="Times New Roman" w:cs="Times New Roman"/>
          <w:color w:val="000000" w:themeColor="text1"/>
          <w:lang w:val="lt-LT"/>
        </w:rPr>
        <w:t>i</w:t>
      </w:r>
      <w:r w:rsidRPr="001640B9">
        <w:rPr>
          <w:rFonts w:ascii="Times New Roman" w:hAnsi="Times New Roman" w:cs="Times New Roman"/>
          <w:color w:val="000000" w:themeColor="text1"/>
          <w:lang w:val="lt-LT"/>
        </w:rPr>
        <w:t xml:space="preserve">, </w:t>
      </w:r>
      <w:r w:rsidR="00D620F4" w:rsidRPr="001640B9">
        <w:rPr>
          <w:rFonts w:ascii="Times New Roman" w:hAnsi="Times New Roman" w:cs="Times New Roman"/>
          <w:color w:val="000000" w:themeColor="text1"/>
          <w:lang w:val="lt-LT"/>
        </w:rPr>
        <w:t>18</w:t>
      </w:r>
      <w:r w:rsidRPr="001640B9">
        <w:rPr>
          <w:rFonts w:ascii="Times New Roman" w:hAnsi="Times New Roman" w:cs="Times New Roman"/>
          <w:color w:val="000000" w:themeColor="text1"/>
          <w:lang w:val="lt-LT"/>
        </w:rPr>
        <w:t xml:space="preserve"> ct.) su PVM.</w:t>
      </w:r>
    </w:p>
    <w:p w14:paraId="4325DEE7" w14:textId="77777777" w:rsidR="00852765" w:rsidRPr="001640B9" w:rsidRDefault="00852765" w:rsidP="00852765">
      <w:pPr>
        <w:tabs>
          <w:tab w:val="left" w:pos="426"/>
        </w:tabs>
        <w:ind w:firstLine="567"/>
        <w:jc w:val="both"/>
        <w:rPr>
          <w:rFonts w:ascii="Times New Roman" w:hAnsi="Times New Roman" w:cs="Times New Roman"/>
          <w:b/>
          <w:color w:val="000000" w:themeColor="text1"/>
          <w:lang w:val="lt-LT"/>
        </w:rPr>
      </w:pPr>
      <w:r w:rsidRPr="001640B9">
        <w:rPr>
          <w:rFonts w:ascii="Times New Roman" w:hAnsi="Times New Roman" w:cs="Times New Roman"/>
          <w:b/>
          <w:color w:val="000000" w:themeColor="text1"/>
          <w:lang w:val="lt-LT"/>
        </w:rPr>
        <w:t>Šis prekių pirkimas apima:</w:t>
      </w:r>
    </w:p>
    <w:p w14:paraId="1EE527F3" w14:textId="77777777" w:rsidR="00852765" w:rsidRPr="001640B9" w:rsidRDefault="00852765" w:rsidP="00852765">
      <w:pPr>
        <w:pStyle w:val="ListParagraph"/>
        <w:numPr>
          <w:ilvl w:val="0"/>
          <w:numId w:val="12"/>
        </w:numPr>
        <w:spacing w:line="256" w:lineRule="auto"/>
        <w:ind w:left="1134" w:hanging="425"/>
        <w:jc w:val="both"/>
        <w:rPr>
          <w:rFonts w:ascii="Times New Roman" w:hAnsi="Times New Roman" w:cs="Times New Roman"/>
          <w:b/>
          <w:lang w:val="lt-LT"/>
        </w:rPr>
      </w:pPr>
      <w:r w:rsidRPr="001640B9">
        <w:rPr>
          <w:rFonts w:ascii="Times New Roman" w:hAnsi="Times New Roman" w:cs="Times New Roman"/>
          <w:b/>
          <w:lang w:val="lt-LT"/>
        </w:rPr>
        <w:t>įrangos pristatymą, sumontavimą, įdiegimą;</w:t>
      </w:r>
    </w:p>
    <w:p w14:paraId="583A5B8F" w14:textId="77777777" w:rsidR="00852765" w:rsidRPr="001640B9" w:rsidRDefault="00852765" w:rsidP="00852765">
      <w:pPr>
        <w:pStyle w:val="ListParagraph"/>
        <w:numPr>
          <w:ilvl w:val="0"/>
          <w:numId w:val="12"/>
        </w:numPr>
        <w:spacing w:line="256" w:lineRule="auto"/>
        <w:ind w:left="1134" w:hanging="425"/>
        <w:jc w:val="both"/>
        <w:rPr>
          <w:rFonts w:ascii="Times New Roman" w:hAnsi="Times New Roman" w:cs="Times New Roman"/>
          <w:b/>
          <w:lang w:val="lt-LT"/>
        </w:rPr>
      </w:pPr>
      <w:r w:rsidRPr="001640B9">
        <w:rPr>
          <w:rFonts w:ascii="Times New Roman" w:hAnsi="Times New Roman" w:cs="Times New Roman"/>
          <w:b/>
          <w:lang w:val="lt-LT"/>
        </w:rPr>
        <w:t>įrangos išbandymą, jos veikimo ir valdymo funkcijų pademonstravimą.</w:t>
      </w:r>
    </w:p>
    <w:p w14:paraId="51D76553" w14:textId="77777777" w:rsidR="00852765" w:rsidRPr="001640B9" w:rsidRDefault="00852765" w:rsidP="00852765">
      <w:pPr>
        <w:tabs>
          <w:tab w:val="left" w:pos="426"/>
        </w:tabs>
        <w:ind w:firstLine="567"/>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F56FBF7" w14:textId="1B19795A" w:rsidR="00852765" w:rsidRPr="001640B9" w:rsidRDefault="00852765" w:rsidP="00852765">
      <w:pPr>
        <w:ind w:firstLine="720"/>
        <w:jc w:val="both"/>
        <w:rPr>
          <w:rFonts w:ascii="Times New Roman" w:hAnsi="Times New Roman" w:cs="Times New Roman"/>
          <w:bCs/>
          <w:color w:val="000000" w:themeColor="text1"/>
          <w:lang w:val="lt-LT"/>
        </w:rPr>
      </w:pPr>
      <w:r w:rsidRPr="001640B9">
        <w:rPr>
          <w:rFonts w:ascii="Times New Roman" w:hAnsi="Times New Roman" w:cs="Times New Roman"/>
          <w:color w:val="000000" w:themeColor="text1"/>
          <w:lang w:val="lt-LT"/>
        </w:rPr>
        <w:t xml:space="preserve">Prekės turi būti pristatytos tiekėjo transportu, sumontuotos bei instaliuotos Kauno technologijos universiteto patalpose, </w:t>
      </w:r>
      <w:r w:rsidR="00D620F4" w:rsidRPr="001640B9">
        <w:rPr>
          <w:rFonts w:ascii="Times New Roman" w:hAnsi="Times New Roman" w:cs="Times New Roman"/>
          <w:color w:val="000000" w:themeColor="text1"/>
          <w:lang w:val="lt-LT"/>
        </w:rPr>
        <w:t xml:space="preserve">Studentų g. 48, </w:t>
      </w:r>
      <w:r w:rsidRPr="001640B9">
        <w:rPr>
          <w:rFonts w:ascii="Times New Roman" w:hAnsi="Times New Roman" w:cs="Times New Roman"/>
          <w:color w:val="000000" w:themeColor="text1"/>
          <w:lang w:val="lt-LT"/>
        </w:rPr>
        <w:t>Kaune arba kitame atsakingo už sutarties vykdymą KTU darbuotojų nurodytame KTU padalinyje Kaune.</w:t>
      </w:r>
    </w:p>
    <w:p w14:paraId="570D1243" w14:textId="77777777" w:rsidR="00852765" w:rsidRPr="001640B9" w:rsidRDefault="00852765"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2B8284E2" w14:textId="77777777" w:rsidR="00852765" w:rsidRPr="001640B9" w:rsidRDefault="00852765"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4930A532" w14:textId="409FF70A" w:rsidR="00852765" w:rsidRPr="001640B9" w:rsidRDefault="00852765"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bCs/>
          <w:color w:val="000000" w:themeColor="text1"/>
          <w:lang w:val="lt-LT"/>
        </w:rPr>
        <w:t xml:space="preserve">Sutartyje Tiekėjo numatytų įsipareigojimų atlikimo terminas – </w:t>
      </w:r>
      <w:r w:rsidRPr="001640B9">
        <w:rPr>
          <w:rFonts w:ascii="Times New Roman" w:hAnsi="Times New Roman" w:cs="Times New Roman"/>
          <w:b/>
          <w:color w:val="000000" w:themeColor="text1"/>
          <w:lang w:val="lt-LT"/>
        </w:rPr>
        <w:t xml:space="preserve">ne vėliau kaip </w:t>
      </w:r>
      <w:r w:rsidR="00D620F4" w:rsidRPr="001640B9">
        <w:rPr>
          <w:rFonts w:ascii="Times New Roman" w:hAnsi="Times New Roman" w:cs="Times New Roman"/>
          <w:b/>
          <w:color w:val="000000" w:themeColor="text1"/>
          <w:lang w:val="lt-LT"/>
        </w:rPr>
        <w:t>iki 2026 m. lapkričio 30 dienos</w:t>
      </w:r>
      <w:r w:rsidRPr="001640B9">
        <w:rPr>
          <w:rFonts w:ascii="Times New Roman" w:hAnsi="Times New Roman" w:cs="Times New Roman"/>
          <w:color w:val="000000" w:themeColor="text1"/>
          <w:lang w:val="lt-LT"/>
        </w:rPr>
        <w:t>.</w:t>
      </w:r>
    </w:p>
    <w:p w14:paraId="6A3E59DC" w14:textId="77777777" w:rsidR="00852765" w:rsidRPr="001640B9" w:rsidRDefault="00852765" w:rsidP="00852765">
      <w:pPr>
        <w:ind w:firstLine="720"/>
        <w:jc w:val="both"/>
        <w:rPr>
          <w:rFonts w:ascii="Times New Roman" w:hAnsi="Times New Roman" w:cs="Times New Roman"/>
          <w:lang w:val="lt-LT"/>
        </w:rPr>
      </w:pPr>
      <w:r w:rsidRPr="001640B9">
        <w:rPr>
          <w:rFonts w:ascii="Times New Roman" w:hAnsi="Times New Roman" w:cs="Times New Roman"/>
          <w:color w:val="000000" w:themeColor="text1"/>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w:t>
      </w:r>
      <w:r w:rsidRPr="001640B9">
        <w:rPr>
          <w:rFonts w:ascii="Times New Roman" w:hAnsi="Times New Roman" w:cs="Times New Roman"/>
          <w:color w:val="000000" w:themeColor="text1"/>
          <w:lang w:val="lt-LT"/>
        </w:rPr>
        <w:lastRenderedPageBreak/>
        <w:t>objektas nurodytajam. Pateikti minimal</w:t>
      </w:r>
      <w:r w:rsidRPr="001640B9">
        <w:rPr>
          <w:rFonts w:ascii="Times New Roman" w:hAnsi="Times New Roman" w:cs="Times New Roman"/>
          <w:lang w:val="lt-LT"/>
        </w:rPr>
        <w:t>ūs reikalavimai. Tiekėjai gali siūlyti geresnių charakteristikų pirkimo objektą.</w:t>
      </w:r>
    </w:p>
    <w:p w14:paraId="750A3FEF" w14:textId="77777777" w:rsidR="00852765" w:rsidRPr="001640B9" w:rsidRDefault="00852765"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1640B9">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p>
    <w:p w14:paraId="2543AD0F" w14:textId="77777777" w:rsidR="00852765" w:rsidRPr="001640B9" w:rsidRDefault="00852765" w:rsidP="00852765">
      <w:pPr>
        <w:ind w:firstLine="720"/>
        <w:jc w:val="both"/>
        <w:rPr>
          <w:rFonts w:ascii="Times New Roman" w:hAnsi="Times New Roman" w:cs="Times New Roman"/>
          <w:b/>
          <w:bCs/>
          <w:color w:val="000000" w:themeColor="text1"/>
          <w:lang w:val="lt-LT"/>
        </w:rPr>
      </w:pPr>
      <w:r w:rsidRPr="001640B9">
        <w:rPr>
          <w:rFonts w:ascii="Times New Roman" w:hAnsi="Times New Roman" w:cs="Times New Roman"/>
          <w:color w:val="000000" w:themeColor="text1"/>
          <w:lang w:val="lt-LT"/>
        </w:rPr>
        <w:t xml:space="preserve">Visai įrangai ir ją sudarančioms atskiroms prekėms turi būti suteikiama ne trumpesnė nei </w:t>
      </w:r>
      <w:r w:rsidRPr="001640B9">
        <w:rPr>
          <w:rFonts w:ascii="Times New Roman" w:hAnsi="Times New Roman" w:cs="Times New Roman"/>
          <w:b/>
          <w:color w:val="000000" w:themeColor="text1"/>
          <w:lang w:val="lt-LT"/>
        </w:rPr>
        <w:t>12 mėnesių</w:t>
      </w:r>
      <w:r w:rsidRPr="001640B9">
        <w:rPr>
          <w:rFonts w:ascii="Times New Roman" w:hAnsi="Times New Roman" w:cs="Times New Roman"/>
          <w:color w:val="000000" w:themeColor="text1"/>
          <w:lang w:val="lt-LT"/>
        </w:rPr>
        <w:t xml:space="preserve"> garantija. Tiekėjas privalo su parduodamomis prekėmis perduoti Prekių garantiją </w:t>
      </w:r>
      <w:r w:rsidRPr="001640B9">
        <w:rPr>
          <w:rFonts w:ascii="Times New Roman" w:hAnsi="Times New Roman" w:cs="Times New Roman"/>
          <w:lang w:val="lt-LT"/>
        </w:rPr>
        <w:t xml:space="preserve">patvirtinančius dokumentus. </w:t>
      </w:r>
      <w:r w:rsidRPr="001640B9">
        <w:rPr>
          <w:rFonts w:ascii="Times New Roman" w:hAnsi="Times New Roman" w:cs="Times New Roman"/>
          <w:color w:val="000000" w:themeColor="text1"/>
          <w:lang w:val="lt-LT"/>
        </w:rPr>
        <w:t>Tiekėjas įrangos naudojimo vietoje turės užtikrinti parduotos įrangos garantinę priežiūrą ir garantinį remontą.</w:t>
      </w:r>
    </w:p>
    <w:p w14:paraId="3052EE65" w14:textId="67311FE6" w:rsidR="00852765" w:rsidRPr="001640B9" w:rsidRDefault="00852765" w:rsidP="00852765">
      <w:pPr>
        <w:ind w:firstLine="720"/>
        <w:jc w:val="both"/>
        <w:rPr>
          <w:rFonts w:ascii="Times New Roman" w:hAnsi="Times New Roman" w:cs="Times New Roman"/>
          <w:lang w:val="lt-LT"/>
        </w:rPr>
      </w:pPr>
      <w:r w:rsidRPr="001640B9">
        <w:rPr>
          <w:rFonts w:ascii="Times New Roman" w:hAnsi="Times New Roman" w:cs="Times New Roman"/>
          <w:lang w:val="lt-LT"/>
        </w:rPr>
        <w:t>Garantiniu laikotarpiu tiekėjas privalo ne ilgiau kaip per 1</w:t>
      </w:r>
      <w:r w:rsidR="0038048E" w:rsidRPr="001640B9">
        <w:rPr>
          <w:rFonts w:ascii="Times New Roman" w:hAnsi="Times New Roman" w:cs="Times New Roman"/>
          <w:lang w:val="lt-LT"/>
        </w:rPr>
        <w:t>0</w:t>
      </w:r>
      <w:r w:rsidRPr="001640B9">
        <w:rPr>
          <w:rFonts w:ascii="Times New Roman" w:hAnsi="Times New Roman" w:cs="Times New Roman"/>
          <w:lang w:val="lt-LT"/>
        </w:rPr>
        <w:t xml:space="preserve"> darbo dienų nuo pranešimo apie gedimą dienos pašalinti gedimą, o jei to neįmanoma atlikti vietoje, išsiųsti remontuoti tiekėjui ir pateikti Perkančiosios organizacijos atsakingam už sutarties vykdymą asmeniui išsiuntimo dokumentų kopiją.</w:t>
      </w:r>
    </w:p>
    <w:p w14:paraId="78905947" w14:textId="77777777" w:rsidR="00852765" w:rsidRPr="001640B9" w:rsidRDefault="00852765" w:rsidP="00852765">
      <w:pPr>
        <w:ind w:firstLine="709"/>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BDE8A9" w14:textId="77777777" w:rsidR="00852765" w:rsidRPr="001640B9" w:rsidRDefault="00852765" w:rsidP="00852765">
      <w:pPr>
        <w:ind w:firstLine="709"/>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4937C94" w14:textId="77777777" w:rsidR="00852765" w:rsidRPr="001640B9" w:rsidRDefault="00852765" w:rsidP="00852765">
      <w:pPr>
        <w:ind w:firstLine="630"/>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791F03CB" w14:textId="77777777" w:rsidR="00852765" w:rsidRPr="001640B9" w:rsidRDefault="00852765" w:rsidP="00852765">
      <w:pPr>
        <w:pStyle w:val="ListParagraph"/>
        <w:numPr>
          <w:ilvl w:val="0"/>
          <w:numId w:val="13"/>
        </w:numPr>
        <w:spacing w:line="256" w:lineRule="auto"/>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5E16E45" w14:textId="77777777" w:rsidR="00852765" w:rsidRPr="001640B9" w:rsidRDefault="00852765" w:rsidP="00852765">
      <w:pPr>
        <w:pStyle w:val="ListParagraph"/>
        <w:numPr>
          <w:ilvl w:val="0"/>
          <w:numId w:val="13"/>
        </w:numPr>
        <w:spacing w:line="256" w:lineRule="auto"/>
        <w:jc w:val="both"/>
        <w:rPr>
          <w:rFonts w:ascii="Times New Roman" w:hAnsi="Times New Roman" w:cs="Times New Roman"/>
          <w:b/>
          <w:color w:val="000000" w:themeColor="text1"/>
          <w:lang w:val="lt-LT"/>
        </w:rPr>
      </w:pPr>
      <w:r w:rsidRPr="001640B9">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836D1FF" w14:textId="77777777" w:rsidR="00A76C8A" w:rsidRPr="001640B9" w:rsidRDefault="00A76C8A" w:rsidP="00A76C8A">
      <w:pPr>
        <w:spacing w:line="256" w:lineRule="auto"/>
        <w:jc w:val="both"/>
        <w:rPr>
          <w:rFonts w:ascii="Times New Roman" w:hAnsi="Times New Roman" w:cs="Times New Roman"/>
          <w:b/>
          <w:color w:val="000000" w:themeColor="text1"/>
          <w:lang w:val="lt-LT"/>
        </w:rPr>
      </w:pPr>
    </w:p>
    <w:p w14:paraId="269FF60B" w14:textId="77777777" w:rsidR="000530B9" w:rsidRPr="001640B9" w:rsidRDefault="000530B9" w:rsidP="00A76C8A">
      <w:pPr>
        <w:ind w:left="709"/>
        <w:jc w:val="center"/>
        <w:rPr>
          <w:rFonts w:ascii="Times New Roman" w:hAnsi="Times New Roman" w:cs="Times New Roman"/>
          <w:b/>
          <w:bCs/>
          <w:color w:val="000000" w:themeColor="text1"/>
          <w:lang w:val="lt-LT"/>
        </w:rPr>
      </w:pPr>
      <w:r w:rsidRPr="001640B9">
        <w:rPr>
          <w:rFonts w:ascii="Times New Roman" w:hAnsi="Times New Roman" w:cs="Times New Roman"/>
          <w:b/>
          <w:bCs/>
          <w:color w:val="000000" w:themeColor="text1"/>
          <w:lang w:val="lt-LT"/>
        </w:rPr>
        <w:t>DETALIOS TECHNINĖS SPECIFIKACIJOS</w:t>
      </w:r>
    </w:p>
    <w:tbl>
      <w:tblPr>
        <w:tblStyle w:val="TableGrid"/>
        <w:tblW w:w="10184" w:type="dxa"/>
        <w:tblLook w:val="04A0" w:firstRow="1" w:lastRow="0" w:firstColumn="1" w:lastColumn="0" w:noHBand="0" w:noVBand="1"/>
      </w:tblPr>
      <w:tblGrid>
        <w:gridCol w:w="570"/>
        <w:gridCol w:w="1975"/>
        <w:gridCol w:w="4254"/>
        <w:gridCol w:w="3385"/>
      </w:tblGrid>
      <w:tr w:rsidR="00A564A0" w:rsidRPr="00FE577A" w14:paraId="0F3E8AAB" w14:textId="338A2E4B" w:rsidTr="00F47805">
        <w:tc>
          <w:tcPr>
            <w:tcW w:w="570" w:type="dxa"/>
          </w:tcPr>
          <w:p w14:paraId="67AC29C3" w14:textId="77777777" w:rsidR="00A564A0" w:rsidRPr="001640B9" w:rsidRDefault="00A564A0" w:rsidP="00573FB8">
            <w:pPr>
              <w:rPr>
                <w:rFonts w:ascii="Times New Roman" w:hAnsi="Times New Roman" w:cs="Times New Roman"/>
                <w:b/>
                <w:bCs/>
                <w:lang w:val="lt-LT"/>
              </w:rPr>
            </w:pPr>
            <w:r w:rsidRPr="001640B9">
              <w:rPr>
                <w:rFonts w:ascii="Times New Roman" w:hAnsi="Times New Roman" w:cs="Times New Roman"/>
                <w:b/>
                <w:bCs/>
                <w:lang w:val="lt-LT"/>
              </w:rPr>
              <w:t>Eil. Nr.</w:t>
            </w:r>
          </w:p>
        </w:tc>
        <w:tc>
          <w:tcPr>
            <w:tcW w:w="1975" w:type="dxa"/>
          </w:tcPr>
          <w:p w14:paraId="52CB1B32" w14:textId="77777777" w:rsidR="00A564A0" w:rsidRPr="001640B9" w:rsidRDefault="00A564A0" w:rsidP="00573FB8">
            <w:pPr>
              <w:rPr>
                <w:rFonts w:ascii="Times New Roman" w:hAnsi="Times New Roman" w:cs="Times New Roman"/>
                <w:b/>
                <w:bCs/>
                <w:lang w:val="lt-LT"/>
              </w:rPr>
            </w:pPr>
            <w:r w:rsidRPr="001640B9">
              <w:rPr>
                <w:rFonts w:ascii="Times New Roman" w:hAnsi="Times New Roman" w:cs="Times New Roman"/>
                <w:b/>
                <w:bCs/>
                <w:lang w:val="lt-LT"/>
              </w:rPr>
              <w:t>Techninis parametras</w:t>
            </w:r>
          </w:p>
        </w:tc>
        <w:tc>
          <w:tcPr>
            <w:tcW w:w="4254" w:type="dxa"/>
          </w:tcPr>
          <w:p w14:paraId="54DF2295" w14:textId="47AB050F" w:rsidR="00A564A0" w:rsidRPr="001640B9" w:rsidRDefault="00A564A0" w:rsidP="00573FB8">
            <w:pPr>
              <w:rPr>
                <w:rFonts w:ascii="Times New Roman" w:hAnsi="Times New Roman" w:cs="Times New Roman"/>
                <w:b/>
                <w:bCs/>
                <w:sz w:val="22"/>
                <w:szCs w:val="22"/>
                <w:lang w:val="lt-LT"/>
              </w:rPr>
            </w:pPr>
            <w:r w:rsidRPr="001640B9">
              <w:rPr>
                <w:rFonts w:ascii="Times New Roman" w:hAnsi="Times New Roman" w:cs="Times New Roman"/>
                <w:b/>
                <w:bCs/>
                <w:sz w:val="22"/>
                <w:szCs w:val="22"/>
                <w:lang w:val="lt-LT"/>
              </w:rPr>
              <w:t>Reikalaujami techniniai rodikliai</w:t>
            </w:r>
            <w:r w:rsidR="001355D4" w:rsidRPr="001640B9">
              <w:rPr>
                <w:rFonts w:ascii="Times New Roman" w:hAnsi="Times New Roman" w:cs="Times New Roman"/>
                <w:b/>
                <w:bCs/>
                <w:sz w:val="22"/>
                <w:szCs w:val="22"/>
                <w:lang w:val="lt-LT"/>
              </w:rPr>
              <w:t xml:space="preserve"> </w:t>
            </w:r>
            <w:r w:rsidR="001355D4" w:rsidRPr="001640B9">
              <w:rPr>
                <w:rFonts w:ascii="Times New Roman" w:eastAsia="Calibri" w:hAnsi="Times New Roman" w:cs="Times New Roman"/>
                <w:b/>
                <w:bCs/>
                <w:kern w:val="0"/>
                <w:sz w:val="22"/>
                <w:szCs w:val="22"/>
                <w:lang w:val="lt-LT"/>
                <w14:ligatures w14:val="none"/>
              </w:rPr>
              <w:t xml:space="preserve">ne blogiau kaip arba lygiavertė (pateiktos nuorodos į standartus/ technologijas/ prekės ženklus yra tik rekomendacinio pobūdžio, todėl standartai/ technologijos/ </w:t>
            </w:r>
            <w:r w:rsidR="001355D4" w:rsidRPr="001640B9">
              <w:rPr>
                <w:rFonts w:ascii="Times New Roman" w:eastAsia="Calibri" w:hAnsi="Times New Roman" w:cs="Times New Roman"/>
                <w:b/>
                <w:bCs/>
                <w:kern w:val="0"/>
                <w:sz w:val="22"/>
                <w:szCs w:val="22"/>
                <w:lang w:val="lt-LT"/>
                <w14:ligatures w14:val="none"/>
              </w:rPr>
              <w:lastRenderedPageBreak/>
              <w:t>prekės ženklai gali būti pakeisti lygiaverčiais)</w:t>
            </w:r>
          </w:p>
        </w:tc>
        <w:tc>
          <w:tcPr>
            <w:tcW w:w="3385" w:type="dxa"/>
          </w:tcPr>
          <w:p w14:paraId="2E20DED0" w14:textId="77777777" w:rsidR="00A564A0" w:rsidRPr="001640B9" w:rsidRDefault="00A564A0" w:rsidP="00A564A0">
            <w:pPr>
              <w:rPr>
                <w:rFonts w:ascii="Times New Roman" w:hAnsi="Times New Roman" w:cs="Times New Roman"/>
                <w:b/>
                <w:bCs/>
                <w:sz w:val="22"/>
                <w:szCs w:val="22"/>
                <w:lang w:val="lt-LT"/>
              </w:rPr>
            </w:pPr>
            <w:r w:rsidRPr="001640B9">
              <w:rPr>
                <w:rFonts w:ascii="Times New Roman" w:hAnsi="Times New Roman" w:cs="Times New Roman"/>
                <w:b/>
                <w:bCs/>
                <w:sz w:val="22"/>
                <w:szCs w:val="22"/>
                <w:lang w:val="lt-LT"/>
              </w:rPr>
              <w:lastRenderedPageBreak/>
              <w:t>Siūlomų prekių konkretūs techniniai parametrai, tiksli nuoroda kuriame prisegtame dokumente ir jo puslapyje yra pateikta informacija apie prekę;</w:t>
            </w:r>
          </w:p>
          <w:p w14:paraId="571ECBA9" w14:textId="315A55AD" w:rsidR="00A564A0" w:rsidRPr="001640B9" w:rsidRDefault="00A564A0" w:rsidP="00A564A0">
            <w:pPr>
              <w:rPr>
                <w:rFonts w:ascii="Times New Roman" w:hAnsi="Times New Roman" w:cs="Times New Roman"/>
                <w:b/>
                <w:bCs/>
                <w:sz w:val="22"/>
                <w:szCs w:val="22"/>
                <w:lang w:val="lt-LT"/>
              </w:rPr>
            </w:pPr>
          </w:p>
        </w:tc>
      </w:tr>
      <w:tr w:rsidR="00A564A0" w:rsidRPr="001640B9" w14:paraId="64B74152" w14:textId="27620C1B" w:rsidTr="00F47805">
        <w:tc>
          <w:tcPr>
            <w:tcW w:w="570" w:type="dxa"/>
          </w:tcPr>
          <w:p w14:paraId="6D5A821B"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lastRenderedPageBreak/>
              <w:t>1.</w:t>
            </w:r>
          </w:p>
        </w:tc>
        <w:tc>
          <w:tcPr>
            <w:tcW w:w="1975" w:type="dxa"/>
          </w:tcPr>
          <w:p w14:paraId="443E4AA8"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Įrangos taikymas</w:t>
            </w:r>
          </w:p>
        </w:tc>
        <w:tc>
          <w:tcPr>
            <w:tcW w:w="4254" w:type="dxa"/>
          </w:tcPr>
          <w:p w14:paraId="24C2EAD2" w14:textId="6E8D8843" w:rsidR="00A564A0" w:rsidRPr="001640B9" w:rsidRDefault="00D37AD7" w:rsidP="00D37AD7">
            <w:pPr>
              <w:rPr>
                <w:rFonts w:ascii="Times New Roman" w:hAnsi="Times New Roman" w:cs="Times New Roman"/>
                <w:lang w:val="lt-LT"/>
              </w:rPr>
            </w:pPr>
            <w:r w:rsidRPr="001640B9">
              <w:rPr>
                <w:rFonts w:ascii="Times New Roman" w:hAnsi="Times New Roman" w:cs="Times New Roman"/>
                <w:lang w:val="lt-LT"/>
              </w:rPr>
              <w:t>Šilumos laidumo koeficiento matavimo įranga, taikanti GHP ir HFM matavimo metodus, skirta skirtingo tankio įvairių statybinių medžiagų šiluminių savybių tyrimams.</w:t>
            </w:r>
          </w:p>
        </w:tc>
        <w:tc>
          <w:tcPr>
            <w:tcW w:w="3385" w:type="dxa"/>
          </w:tcPr>
          <w:p w14:paraId="77771C7B" w14:textId="71959600" w:rsidR="00A564A0" w:rsidRPr="001640B9" w:rsidRDefault="00A564A0" w:rsidP="00A564A0">
            <w:pPr>
              <w:ind w:left="360"/>
              <w:rPr>
                <w:rFonts w:ascii="Times New Roman" w:hAnsi="Times New Roman" w:cs="Times New Roman"/>
                <w:lang w:val="lt-LT"/>
              </w:rPr>
            </w:pPr>
            <w:r w:rsidRPr="001640B9">
              <w:rPr>
                <w:rFonts w:ascii="Times New Roman" w:hAnsi="Times New Roman" w:cs="Times New Roman"/>
                <w:lang w:val="lt-LT"/>
              </w:rPr>
              <w:t>Gamintojas ir modelis</w:t>
            </w:r>
          </w:p>
        </w:tc>
      </w:tr>
      <w:tr w:rsidR="00A564A0" w:rsidRPr="001640B9" w14:paraId="1C3F8577" w14:textId="56C78F03" w:rsidTr="00F47805">
        <w:tc>
          <w:tcPr>
            <w:tcW w:w="570" w:type="dxa"/>
          </w:tcPr>
          <w:p w14:paraId="6551C81E"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2.</w:t>
            </w:r>
          </w:p>
        </w:tc>
        <w:tc>
          <w:tcPr>
            <w:tcW w:w="1975" w:type="dxa"/>
          </w:tcPr>
          <w:p w14:paraId="0D77253B"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Įrangos komplektavimas</w:t>
            </w:r>
          </w:p>
        </w:tc>
        <w:tc>
          <w:tcPr>
            <w:tcW w:w="4254" w:type="dxa"/>
          </w:tcPr>
          <w:p w14:paraId="3EA7B053" w14:textId="77777777" w:rsidR="005E2126" w:rsidRPr="001640B9" w:rsidRDefault="005E2126" w:rsidP="005E2126">
            <w:pPr>
              <w:pStyle w:val="ListParagraph"/>
              <w:numPr>
                <w:ilvl w:val="0"/>
                <w:numId w:val="14"/>
              </w:numPr>
              <w:rPr>
                <w:rFonts w:ascii="Times New Roman" w:hAnsi="Times New Roman" w:cs="Times New Roman"/>
                <w:lang w:val="lt-LT"/>
              </w:rPr>
            </w:pPr>
            <w:r w:rsidRPr="001640B9">
              <w:rPr>
                <w:rFonts w:ascii="Times New Roman" w:hAnsi="Times New Roman" w:cs="Times New Roman"/>
                <w:b/>
                <w:bCs/>
                <w:lang w:val="lt-LT"/>
              </w:rPr>
              <w:t>Sistema 1:</w:t>
            </w:r>
            <w:r w:rsidRPr="001640B9">
              <w:rPr>
                <w:lang w:val="lt-LT"/>
              </w:rPr>
              <w:t xml:space="preserve"> </w:t>
            </w:r>
            <w:r w:rsidRPr="001640B9">
              <w:rPr>
                <w:rFonts w:ascii="Times New Roman" w:hAnsi="Times New Roman" w:cs="Times New Roman"/>
                <w:b/>
                <w:bCs/>
                <w:lang w:val="lt-LT"/>
              </w:rPr>
              <w:t xml:space="preserve">Apsaugotos kaitinimo plokštės sistema GHP </w:t>
            </w:r>
            <w:r w:rsidRPr="001640B9">
              <w:rPr>
                <w:rFonts w:ascii="Times New Roman" w:hAnsi="Times New Roman" w:cs="Times New Roman"/>
                <w:lang w:val="lt-LT"/>
              </w:rPr>
              <w:t xml:space="preserve">(angl. </w:t>
            </w:r>
            <w:proofErr w:type="spellStart"/>
            <w:r w:rsidRPr="001640B9">
              <w:rPr>
                <w:rFonts w:ascii="Times New Roman" w:hAnsi="Times New Roman" w:cs="Times New Roman"/>
                <w:lang w:val="lt-LT"/>
              </w:rPr>
              <w:t>Guarded</w:t>
            </w:r>
            <w:proofErr w:type="spellEnd"/>
            <w:r w:rsidRPr="001640B9">
              <w:rPr>
                <w:rFonts w:ascii="Times New Roman" w:hAnsi="Times New Roman" w:cs="Times New Roman"/>
                <w:lang w:val="lt-LT"/>
              </w:rPr>
              <w:t xml:space="preserve"> </w:t>
            </w:r>
            <w:proofErr w:type="spellStart"/>
            <w:r w:rsidRPr="001640B9">
              <w:rPr>
                <w:rFonts w:ascii="Times New Roman" w:hAnsi="Times New Roman" w:cs="Times New Roman"/>
                <w:lang w:val="lt-LT"/>
              </w:rPr>
              <w:t>hot</w:t>
            </w:r>
            <w:proofErr w:type="spellEnd"/>
            <w:r w:rsidRPr="001640B9">
              <w:rPr>
                <w:rFonts w:ascii="Times New Roman" w:hAnsi="Times New Roman" w:cs="Times New Roman"/>
                <w:lang w:val="lt-LT"/>
              </w:rPr>
              <w:t xml:space="preserve"> </w:t>
            </w:r>
            <w:proofErr w:type="spellStart"/>
            <w:r w:rsidRPr="001640B9">
              <w:rPr>
                <w:rFonts w:ascii="Times New Roman" w:hAnsi="Times New Roman" w:cs="Times New Roman"/>
                <w:lang w:val="lt-LT"/>
              </w:rPr>
              <w:t>plate</w:t>
            </w:r>
            <w:proofErr w:type="spellEnd"/>
            <w:r w:rsidRPr="001640B9">
              <w:rPr>
                <w:rFonts w:ascii="Times New Roman" w:hAnsi="Times New Roman" w:cs="Times New Roman"/>
                <w:lang w:val="lt-LT"/>
              </w:rPr>
              <w:t xml:space="preserve"> </w:t>
            </w:r>
            <w:proofErr w:type="spellStart"/>
            <w:r w:rsidRPr="001640B9">
              <w:rPr>
                <w:rFonts w:ascii="Times New Roman" w:hAnsi="Times New Roman" w:cs="Times New Roman"/>
                <w:lang w:val="lt-LT"/>
              </w:rPr>
              <w:t>system</w:t>
            </w:r>
            <w:proofErr w:type="spellEnd"/>
            <w:r w:rsidRPr="001640B9">
              <w:rPr>
                <w:rFonts w:ascii="Times New Roman" w:hAnsi="Times New Roman" w:cs="Times New Roman"/>
                <w:lang w:val="lt-LT"/>
              </w:rPr>
              <w:t>) etaloniniams matavimams.</w:t>
            </w:r>
          </w:p>
          <w:p w14:paraId="4FB635EC" w14:textId="5138A823" w:rsidR="00A564A0" w:rsidRPr="001640B9" w:rsidRDefault="005E2126" w:rsidP="005E2126">
            <w:pPr>
              <w:pStyle w:val="ListParagraph"/>
              <w:numPr>
                <w:ilvl w:val="0"/>
                <w:numId w:val="14"/>
              </w:numPr>
              <w:rPr>
                <w:rFonts w:ascii="Times New Roman" w:hAnsi="Times New Roman" w:cs="Times New Roman"/>
                <w:lang w:val="lt-LT"/>
              </w:rPr>
            </w:pPr>
            <w:r w:rsidRPr="001640B9">
              <w:rPr>
                <w:rFonts w:ascii="Times New Roman" w:hAnsi="Times New Roman" w:cs="Times New Roman"/>
                <w:b/>
                <w:bCs/>
                <w:lang w:val="lt-LT"/>
              </w:rPr>
              <w:t>Sistema 2: Šilumos laidumo matavimo sistema (HFM tipo).</w:t>
            </w:r>
            <w:r w:rsidR="00A564A0" w:rsidRPr="001640B9">
              <w:rPr>
                <w:rFonts w:ascii="Times New Roman" w:hAnsi="Times New Roman" w:cs="Times New Roman"/>
                <w:lang w:val="lt-LT"/>
              </w:rPr>
              <w:t xml:space="preserve"> </w:t>
            </w:r>
          </w:p>
        </w:tc>
        <w:tc>
          <w:tcPr>
            <w:tcW w:w="3385" w:type="dxa"/>
          </w:tcPr>
          <w:p w14:paraId="5866B792"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40C63DFB" w14:textId="779D454F"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r w:rsidR="00A564A0" w:rsidRPr="001640B9" w14:paraId="0C84C1D8" w14:textId="7F6845F9" w:rsidTr="00F47805">
        <w:tc>
          <w:tcPr>
            <w:tcW w:w="570" w:type="dxa"/>
          </w:tcPr>
          <w:p w14:paraId="4BEFDAD4"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3.</w:t>
            </w:r>
          </w:p>
        </w:tc>
        <w:tc>
          <w:tcPr>
            <w:tcW w:w="1975" w:type="dxa"/>
          </w:tcPr>
          <w:p w14:paraId="4BAAE47C" w14:textId="18C536F3"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 xml:space="preserve">Techniniai reikalavimai </w:t>
            </w:r>
            <w:r w:rsidR="005E2126" w:rsidRPr="001640B9">
              <w:rPr>
                <w:rFonts w:ascii="Times New Roman" w:hAnsi="Times New Roman" w:cs="Times New Roman"/>
                <w:b/>
                <w:bCs/>
                <w:lang w:val="lt-LT"/>
              </w:rPr>
              <w:t>Sistema 1:</w:t>
            </w:r>
            <w:r w:rsidR="005E2126" w:rsidRPr="001640B9">
              <w:rPr>
                <w:lang w:val="lt-LT"/>
              </w:rPr>
              <w:t xml:space="preserve"> </w:t>
            </w:r>
            <w:r w:rsidR="005E2126" w:rsidRPr="001640B9">
              <w:rPr>
                <w:rFonts w:ascii="Times New Roman" w:hAnsi="Times New Roman" w:cs="Times New Roman"/>
                <w:b/>
                <w:bCs/>
                <w:lang w:val="lt-LT"/>
              </w:rPr>
              <w:t>Apsaugotos kaitinimo plokštės sistema GHP</w:t>
            </w:r>
          </w:p>
        </w:tc>
        <w:tc>
          <w:tcPr>
            <w:tcW w:w="4254" w:type="dxa"/>
          </w:tcPr>
          <w:p w14:paraId="3B9E78D7" w14:textId="77777777" w:rsidR="005E2126" w:rsidRPr="001640B9" w:rsidRDefault="005E2126" w:rsidP="000530B9">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 xml:space="preserve">Matavimo metodas: absoliutus metodas. </w:t>
            </w:r>
          </w:p>
          <w:p w14:paraId="70078BAB" w14:textId="77777777" w:rsidR="005E2126" w:rsidRPr="001640B9" w:rsidRDefault="005E2126" w:rsidP="00012FFB">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Matavimo diapazonas: ne mažesnis kaip nuo 0,005 iki 2,0 W/(</w:t>
            </w:r>
            <w:proofErr w:type="spellStart"/>
            <w:r w:rsidRPr="001640B9">
              <w:rPr>
                <w:rFonts w:ascii="Times New Roman" w:hAnsi="Times New Roman" w:cs="Times New Roman"/>
                <w:lang w:val="lt-LT"/>
              </w:rPr>
              <w:t>m·K</w:t>
            </w:r>
            <w:proofErr w:type="spellEnd"/>
            <w:r w:rsidRPr="001640B9">
              <w:rPr>
                <w:rFonts w:ascii="Times New Roman" w:hAnsi="Times New Roman" w:cs="Times New Roman"/>
                <w:lang w:val="lt-LT"/>
              </w:rPr>
              <w:t xml:space="preserve">). </w:t>
            </w:r>
          </w:p>
          <w:p w14:paraId="4B813F9E" w14:textId="77C23210" w:rsidR="005E2126" w:rsidRPr="001640B9" w:rsidRDefault="005E2126" w:rsidP="00012FFB">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Atitiktis standartams: ISO</w:t>
            </w:r>
          </w:p>
          <w:p w14:paraId="542BDA8B" w14:textId="00E33BFF" w:rsidR="005E2126" w:rsidRPr="001640B9" w:rsidRDefault="005E2126" w:rsidP="005E2126">
            <w:pPr>
              <w:pStyle w:val="ListParagraph"/>
              <w:rPr>
                <w:rFonts w:ascii="Times New Roman" w:hAnsi="Times New Roman" w:cs="Times New Roman"/>
                <w:lang w:val="lt-LT"/>
              </w:rPr>
            </w:pPr>
            <w:r w:rsidRPr="001640B9">
              <w:rPr>
                <w:rFonts w:ascii="Times New Roman" w:hAnsi="Times New Roman" w:cs="Times New Roman"/>
                <w:lang w:val="lt-LT"/>
              </w:rPr>
              <w:t xml:space="preserve">8302, ASTM C177, EN 1946-2, EN 12664, EN 12667 ir EN 12939. </w:t>
            </w:r>
          </w:p>
          <w:p w14:paraId="0505420F" w14:textId="621E91D1" w:rsidR="005E2126" w:rsidRPr="001640B9" w:rsidRDefault="00F006F1" w:rsidP="005E2126">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Matavimo tikslumas: ne blogesnis kaip ± 1.0%.</w:t>
            </w:r>
          </w:p>
          <w:p w14:paraId="57507313" w14:textId="18E04B77" w:rsidR="00F006F1" w:rsidRPr="001640B9" w:rsidRDefault="00F006F1" w:rsidP="005E2126">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Matavimo atkuriamumas: ne blogesnis kaip ± 1.0%.</w:t>
            </w:r>
          </w:p>
          <w:p w14:paraId="138CE98C" w14:textId="552A7D4A" w:rsidR="00F006F1" w:rsidRPr="001640B9" w:rsidRDefault="00F006F1" w:rsidP="005E2126">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 xml:space="preserve">Maksimalus bandinio dydis: ne mažesnis kaip </w:t>
            </w:r>
            <w:r w:rsidR="007622C2" w:rsidRPr="001640B9">
              <w:rPr>
                <w:rFonts w:ascii="Times New Roman" w:hAnsi="Times New Roman" w:cs="Times New Roman"/>
                <w:lang w:val="lt-LT"/>
              </w:rPr>
              <w:t>6</w:t>
            </w:r>
            <w:r w:rsidRPr="001640B9">
              <w:rPr>
                <w:rFonts w:ascii="Times New Roman" w:hAnsi="Times New Roman" w:cs="Times New Roman"/>
                <w:lang w:val="lt-LT"/>
              </w:rPr>
              <w:t xml:space="preserve">00 mm x </w:t>
            </w:r>
            <w:r w:rsidR="007622C2" w:rsidRPr="001640B9">
              <w:rPr>
                <w:rFonts w:ascii="Times New Roman" w:hAnsi="Times New Roman" w:cs="Times New Roman"/>
                <w:lang w:val="lt-LT"/>
              </w:rPr>
              <w:t>6</w:t>
            </w:r>
            <w:r w:rsidRPr="001640B9">
              <w:rPr>
                <w:rFonts w:ascii="Times New Roman" w:hAnsi="Times New Roman" w:cs="Times New Roman"/>
                <w:lang w:val="lt-LT"/>
              </w:rPr>
              <w:t>00 mm (ilgis x plotis). Konstrukcija turi būti pritaikyta kietiems bandiniams, kurių tankis iki 2</w:t>
            </w:r>
            <w:r w:rsidR="00FB2EE7" w:rsidRPr="001640B9">
              <w:rPr>
                <w:rFonts w:ascii="Times New Roman" w:hAnsi="Times New Roman" w:cs="Times New Roman"/>
                <w:lang w:val="lt-LT"/>
              </w:rPr>
              <w:t>2</w:t>
            </w:r>
            <w:r w:rsidRPr="001640B9">
              <w:rPr>
                <w:rFonts w:ascii="Times New Roman" w:hAnsi="Times New Roman" w:cs="Times New Roman"/>
                <w:lang w:val="lt-LT"/>
              </w:rPr>
              <w:t>00 kg/m</w:t>
            </w:r>
            <w:r w:rsidRPr="001640B9">
              <w:rPr>
                <w:rFonts w:ascii="Times New Roman" w:hAnsi="Times New Roman" w:cs="Times New Roman"/>
                <w:vertAlign w:val="superscript"/>
                <w:lang w:val="lt-LT"/>
              </w:rPr>
              <w:t>3</w:t>
            </w:r>
            <w:r w:rsidRPr="001640B9">
              <w:rPr>
                <w:rFonts w:ascii="Times New Roman" w:hAnsi="Times New Roman" w:cs="Times New Roman"/>
                <w:lang w:val="lt-LT"/>
              </w:rPr>
              <w:t>.</w:t>
            </w:r>
          </w:p>
          <w:p w14:paraId="6E96CE01" w14:textId="77777777" w:rsidR="00F006F1" w:rsidRPr="001640B9" w:rsidRDefault="00F006F1" w:rsidP="00821BC8">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Matavimo zona: ne mažesnė kaip: 300 mm x 300 mm (ilgis x plotis).</w:t>
            </w:r>
          </w:p>
          <w:p w14:paraId="6F57CB5E" w14:textId="718C23D3" w:rsidR="00F006F1" w:rsidRPr="001640B9" w:rsidRDefault="001C1787" w:rsidP="00BE4E25">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Aušinimo sistema</w:t>
            </w:r>
            <w:r w:rsidR="00F006F1" w:rsidRPr="001640B9">
              <w:rPr>
                <w:rFonts w:ascii="Times New Roman" w:hAnsi="Times New Roman" w:cs="Times New Roman"/>
                <w:lang w:val="lt-LT"/>
              </w:rPr>
              <w:t xml:space="preserve">: sistemoje privalo būti išorinis aušintuvas. Sistema turi užtikrinti temperatūros valdymą. </w:t>
            </w:r>
            <w:r w:rsidR="00FA502F" w:rsidRPr="001640B9">
              <w:rPr>
                <w:rFonts w:ascii="Times New Roman" w:hAnsi="Times New Roman" w:cs="Times New Roman"/>
                <w:lang w:val="lt-LT"/>
              </w:rPr>
              <w:t xml:space="preserve">Įrenginys privalo užtikrinti galimybę atlikti </w:t>
            </w:r>
            <w:r w:rsidR="00FA502F" w:rsidRPr="00AE164D">
              <w:rPr>
                <w:rFonts w:ascii="Times New Roman" w:hAnsi="Times New Roman" w:cs="Times New Roman"/>
                <w:lang w:val="lt-LT"/>
              </w:rPr>
              <w:t xml:space="preserve">matavimus </w:t>
            </w:r>
            <w:r w:rsidR="00FE577A" w:rsidRPr="00AE164D">
              <w:rPr>
                <w:rFonts w:ascii="Times New Roman" w:hAnsi="Times New Roman" w:cs="Times New Roman"/>
                <w:lang w:val="lt-LT"/>
              </w:rPr>
              <w:t xml:space="preserve">vieno bandinio režimu (angl. </w:t>
            </w:r>
            <w:proofErr w:type="spellStart"/>
            <w:r w:rsidR="00FE577A" w:rsidRPr="00AE164D">
              <w:rPr>
                <w:rFonts w:ascii="Times New Roman" w:hAnsi="Times New Roman" w:cs="Times New Roman"/>
                <w:lang w:val="lt-LT"/>
              </w:rPr>
              <w:t>single-specimen</w:t>
            </w:r>
            <w:proofErr w:type="spellEnd"/>
            <w:r w:rsidR="00FE577A" w:rsidRPr="00AE164D">
              <w:rPr>
                <w:rFonts w:ascii="Times New Roman" w:hAnsi="Times New Roman" w:cs="Times New Roman"/>
                <w:lang w:val="lt-LT"/>
              </w:rPr>
              <w:t xml:space="preserve"> </w:t>
            </w:r>
            <w:proofErr w:type="spellStart"/>
            <w:r w:rsidR="00FE577A" w:rsidRPr="00AE164D">
              <w:rPr>
                <w:rFonts w:ascii="Times New Roman" w:hAnsi="Times New Roman" w:cs="Times New Roman"/>
                <w:lang w:val="lt-LT"/>
              </w:rPr>
              <w:t>mode</w:t>
            </w:r>
            <w:proofErr w:type="spellEnd"/>
            <w:r w:rsidR="00FE577A" w:rsidRPr="00AE164D">
              <w:rPr>
                <w:rFonts w:ascii="Times New Roman" w:hAnsi="Times New Roman" w:cs="Times New Roman"/>
                <w:lang w:val="lt-LT"/>
              </w:rPr>
              <w:t>) naudojant šilumos srauto kompensavimo technologiją. Komplekte privalo būti pateikta programinė įranga ir techniniai priedai (kompensacinės/etaloninės</w:t>
            </w:r>
            <w:r w:rsidR="00FE577A" w:rsidRPr="009213E6">
              <w:rPr>
                <w:rFonts w:ascii="Times New Roman" w:hAnsi="Times New Roman" w:cs="Times New Roman"/>
              </w:rPr>
              <w:t xml:space="preserve"> </w:t>
            </w:r>
            <w:r w:rsidR="00FE577A" w:rsidRPr="00AE164D">
              <w:rPr>
                <w:rFonts w:ascii="Times New Roman" w:hAnsi="Times New Roman" w:cs="Times New Roman"/>
                <w:lang w:val="lt-LT"/>
              </w:rPr>
              <w:lastRenderedPageBreak/>
              <w:t>plokštės), reikalingi vieno bandinio režimo funkcionavimui</w:t>
            </w:r>
            <w:r w:rsidR="00FE577A" w:rsidRPr="009213E6">
              <w:rPr>
                <w:rFonts w:ascii="Times New Roman" w:hAnsi="Times New Roman" w:cs="Times New Roman"/>
              </w:rPr>
              <w:t>.</w:t>
            </w:r>
          </w:p>
          <w:p w14:paraId="4AA6A97B" w14:textId="1BA2A3C0" w:rsidR="001C1787" w:rsidRPr="001640B9" w:rsidRDefault="00F006F1" w:rsidP="00AD7B8E">
            <w:pPr>
              <w:pStyle w:val="ListParagraph"/>
              <w:rPr>
                <w:rFonts w:ascii="Times New Roman" w:hAnsi="Times New Roman" w:cs="Times New Roman"/>
                <w:lang w:val="lt-LT"/>
              </w:rPr>
            </w:pPr>
            <w:r w:rsidRPr="001640B9">
              <w:rPr>
                <w:rFonts w:ascii="Times New Roman" w:hAnsi="Times New Roman" w:cs="Times New Roman"/>
                <w:lang w:val="lt-LT"/>
              </w:rPr>
              <w:t>GHP turi būtų pilnai įrengta ateities atnaujinimui (</w:t>
            </w:r>
            <w:proofErr w:type="spellStart"/>
            <w:r w:rsidRPr="001640B9">
              <w:rPr>
                <w:rFonts w:ascii="Times New Roman" w:hAnsi="Times New Roman" w:cs="Times New Roman"/>
                <w:lang w:val="lt-LT"/>
              </w:rPr>
              <w:t>Full</w:t>
            </w:r>
            <w:proofErr w:type="spellEnd"/>
            <w:r w:rsidRPr="001640B9">
              <w:rPr>
                <w:rFonts w:ascii="Times New Roman" w:hAnsi="Times New Roman" w:cs="Times New Roman"/>
                <w:lang w:val="lt-LT"/>
              </w:rPr>
              <w:t xml:space="preserve"> </w:t>
            </w:r>
            <w:proofErr w:type="spellStart"/>
            <w:r w:rsidRPr="001640B9">
              <w:rPr>
                <w:rFonts w:ascii="Times New Roman" w:hAnsi="Times New Roman" w:cs="Times New Roman"/>
                <w:lang w:val="lt-LT"/>
              </w:rPr>
              <w:t>Option</w:t>
            </w:r>
            <w:proofErr w:type="spellEnd"/>
            <w:r w:rsidRPr="001640B9">
              <w:rPr>
                <w:rFonts w:ascii="Times New Roman" w:hAnsi="Times New Roman" w:cs="Times New Roman"/>
                <w:lang w:val="lt-LT"/>
              </w:rPr>
              <w:t>), paruošta prijungti antrą aušintuvą (</w:t>
            </w:r>
            <w:proofErr w:type="spellStart"/>
            <w:r w:rsidRPr="001640B9">
              <w:rPr>
                <w:rFonts w:ascii="Times New Roman" w:hAnsi="Times New Roman" w:cs="Times New Roman"/>
                <w:lang w:val="lt-LT"/>
              </w:rPr>
              <w:t>Plug</w:t>
            </w:r>
            <w:proofErr w:type="spellEnd"/>
            <w:r w:rsidRPr="001640B9">
              <w:rPr>
                <w:rFonts w:ascii="Times New Roman" w:hAnsi="Times New Roman" w:cs="Times New Roman"/>
                <w:lang w:val="lt-LT"/>
              </w:rPr>
              <w:t xml:space="preserve"> &amp; </w:t>
            </w:r>
            <w:proofErr w:type="spellStart"/>
            <w:r w:rsidRPr="001640B9">
              <w:rPr>
                <w:rFonts w:ascii="Times New Roman" w:hAnsi="Times New Roman" w:cs="Times New Roman"/>
                <w:lang w:val="lt-LT"/>
              </w:rPr>
              <w:t>Play</w:t>
            </w:r>
            <w:proofErr w:type="spellEnd"/>
            <w:r w:rsidRPr="001640B9">
              <w:rPr>
                <w:rFonts w:ascii="Times New Roman" w:hAnsi="Times New Roman" w:cs="Times New Roman"/>
                <w:lang w:val="lt-LT"/>
              </w:rPr>
              <w:t xml:space="preserve"> principas – paruošta atnaujinimui), nekeičiant vidinės architektūros.</w:t>
            </w:r>
          </w:p>
          <w:p w14:paraId="4353A296" w14:textId="6832D97B" w:rsidR="00F006F1" w:rsidRPr="001640B9" w:rsidRDefault="001C1787"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Bandinio storis: nuo 10 mm iki 200 mm.</w:t>
            </w:r>
          </w:p>
          <w:p w14:paraId="15E3086B" w14:textId="38CAA64B" w:rsidR="001C1787" w:rsidRPr="001640B9" w:rsidRDefault="001C1787"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Temperatūros diapazonas: aušinimo plokštei – ne siauresniame diapazone kaip nuo -10 °C iki +60 °C, kaitinimo plokštei – ne siauresniame diapazone kaip nuo 0°C iki 70°C.</w:t>
            </w:r>
          </w:p>
          <w:p w14:paraId="55383A48" w14:textId="62219434" w:rsidR="000E2DEF" w:rsidRPr="001640B9" w:rsidRDefault="000E2DEF"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Termoporų skaičius temperatūros kontrolei: ne mažiau kaip 10 vnt.</w:t>
            </w:r>
          </w:p>
          <w:p w14:paraId="4692E93B" w14:textId="7FD1005A" w:rsidR="000E2DEF" w:rsidRPr="001640B9" w:rsidRDefault="000E2DEF"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Storio nustatymas: automatinis – diapazonas bent 0–200 mm, rezoliucija ne blogesnė kaip 0,1 mm (tikslumui su kietais bandiniais užtikrinti).</w:t>
            </w:r>
          </w:p>
          <w:p w14:paraId="0835CD6A" w14:textId="060D53F3" w:rsidR="000E2DEF" w:rsidRPr="001640B9" w:rsidRDefault="000E2DEF"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 xml:space="preserve">Kontaktinės jėgos nustatymas: ne mažiau kaip 0 – 500 N, rezoliucija bent 1 N. Privaloma programuojama jėgos ribojimo funkcija (Force </w:t>
            </w:r>
            <w:proofErr w:type="spellStart"/>
            <w:r w:rsidRPr="001640B9">
              <w:rPr>
                <w:rFonts w:ascii="Times New Roman" w:hAnsi="Times New Roman" w:cs="Times New Roman"/>
                <w:lang w:val="lt-LT"/>
              </w:rPr>
              <w:t>Limit</w:t>
            </w:r>
            <w:proofErr w:type="spellEnd"/>
            <w:r w:rsidRPr="001640B9">
              <w:rPr>
                <w:rFonts w:ascii="Times New Roman" w:hAnsi="Times New Roman" w:cs="Times New Roman"/>
                <w:lang w:val="lt-LT"/>
              </w:rPr>
              <w:t>), apsauganti prietaisą matuojant betoną, kuri automatiškai sustabdo plokštes pasiekus nustatytą ribą.</w:t>
            </w:r>
          </w:p>
          <w:p w14:paraId="4AC46982" w14:textId="5EB756A2" w:rsidR="000E2DEF" w:rsidRPr="001640B9" w:rsidRDefault="000E2DEF"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Kalibravimo standartas: turi būti pridėtas ERM-FC440 arba lygiavertis. Papildomai turi būti pridėtas kietas etalonas (pvz., optinis stiklas ar kt.), kurio laidumas (1.0....2.0 W/</w:t>
            </w:r>
            <w:proofErr w:type="spellStart"/>
            <w:r w:rsidRPr="001640B9">
              <w:rPr>
                <w:rFonts w:ascii="Times New Roman" w:hAnsi="Times New Roman" w:cs="Times New Roman"/>
                <w:lang w:val="lt-LT"/>
              </w:rPr>
              <w:t>mK</w:t>
            </w:r>
            <w:proofErr w:type="spellEnd"/>
            <w:r w:rsidRPr="001640B9">
              <w:rPr>
                <w:rFonts w:ascii="Times New Roman" w:hAnsi="Times New Roman" w:cs="Times New Roman"/>
                <w:lang w:val="lt-LT"/>
              </w:rPr>
              <w:t xml:space="preserve"> ribose).</w:t>
            </w:r>
          </w:p>
          <w:p w14:paraId="3C5B0C79" w14:textId="292196E7" w:rsidR="000E2DEF" w:rsidRPr="001640B9" w:rsidRDefault="000E2DEF"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Kameros konstrukcija: uždara konstrukcija su izoliuotomis varstomomis durimis šilumos nuostoliams minimizuoti.</w:t>
            </w:r>
          </w:p>
          <w:p w14:paraId="59AD84D6" w14:textId="37BDE6D6" w:rsidR="000E2DEF" w:rsidRPr="001640B9" w:rsidRDefault="000E2DEF"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 xml:space="preserve">Sistemos valdymas: kaip atskira sistema </w:t>
            </w:r>
            <w:r w:rsidR="004D7D7B" w:rsidRPr="001640B9">
              <w:rPr>
                <w:rFonts w:ascii="Times New Roman" w:hAnsi="Times New Roman" w:cs="Times New Roman"/>
                <w:lang w:val="lt-LT"/>
              </w:rPr>
              <w:t>pritaikyta ir suderinta valdyti išoriniu</w:t>
            </w:r>
            <w:r w:rsidRPr="001640B9">
              <w:rPr>
                <w:rFonts w:ascii="Times New Roman" w:hAnsi="Times New Roman" w:cs="Times New Roman"/>
                <w:lang w:val="lt-LT"/>
              </w:rPr>
              <w:t xml:space="preserve"> kompiuteriu</w:t>
            </w:r>
            <w:r w:rsidR="004D7D7B" w:rsidRPr="001640B9">
              <w:rPr>
                <w:rFonts w:ascii="Times New Roman" w:hAnsi="Times New Roman" w:cs="Times New Roman"/>
                <w:lang w:val="lt-LT"/>
              </w:rPr>
              <w:t xml:space="preserve"> (PC </w:t>
            </w:r>
            <w:r w:rsidR="004D7D7B" w:rsidRPr="001640B9">
              <w:rPr>
                <w:rFonts w:ascii="Times New Roman" w:hAnsi="Times New Roman" w:cs="Times New Roman"/>
                <w:lang w:val="lt-LT"/>
              </w:rPr>
              <w:lastRenderedPageBreak/>
              <w:t xml:space="preserve">bus užsakovo, kuriame veiks Windows 11 operacinė </w:t>
            </w:r>
            <w:r w:rsidR="001C7924" w:rsidRPr="001640B9">
              <w:rPr>
                <w:rFonts w:ascii="Times New Roman" w:hAnsi="Times New Roman" w:cs="Times New Roman"/>
                <w:lang w:val="lt-LT"/>
              </w:rPr>
              <w:t>s</w:t>
            </w:r>
            <w:r w:rsidR="004D7D7B" w:rsidRPr="001640B9">
              <w:rPr>
                <w:rFonts w:ascii="Times New Roman" w:hAnsi="Times New Roman" w:cs="Times New Roman"/>
                <w:lang w:val="lt-LT"/>
              </w:rPr>
              <w:t xml:space="preserve">istema). </w:t>
            </w:r>
          </w:p>
          <w:p w14:paraId="15C60EED" w14:textId="40EFADDD" w:rsidR="000E2DEF" w:rsidRPr="001640B9" w:rsidRDefault="000E2DEF"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 xml:space="preserve">Sąsajos: RS232, USB (2x), </w:t>
            </w:r>
            <w:proofErr w:type="spellStart"/>
            <w:r w:rsidRPr="001640B9">
              <w:rPr>
                <w:rFonts w:ascii="Times New Roman" w:hAnsi="Times New Roman" w:cs="Times New Roman"/>
                <w:lang w:val="lt-LT"/>
              </w:rPr>
              <w:t>Ethernet</w:t>
            </w:r>
            <w:proofErr w:type="spellEnd"/>
            <w:r w:rsidRPr="001640B9">
              <w:rPr>
                <w:rFonts w:ascii="Times New Roman" w:hAnsi="Times New Roman" w:cs="Times New Roman"/>
                <w:lang w:val="lt-LT"/>
              </w:rPr>
              <w:t xml:space="preserve"> (tinklo) jungtis.</w:t>
            </w:r>
          </w:p>
          <w:p w14:paraId="51A19198" w14:textId="57D4AE60" w:rsidR="000E2DEF" w:rsidRPr="001640B9" w:rsidRDefault="000E2DEF" w:rsidP="00F006F1">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 xml:space="preserve">Integruotas ekranas: spalvotas </w:t>
            </w:r>
            <w:proofErr w:type="spellStart"/>
            <w:r w:rsidRPr="001640B9">
              <w:rPr>
                <w:rFonts w:ascii="Times New Roman" w:hAnsi="Times New Roman" w:cs="Times New Roman"/>
                <w:lang w:val="lt-LT"/>
              </w:rPr>
              <w:t>jutiklinis</w:t>
            </w:r>
            <w:proofErr w:type="spellEnd"/>
            <w:r w:rsidRPr="001640B9">
              <w:rPr>
                <w:rFonts w:ascii="Times New Roman" w:hAnsi="Times New Roman" w:cs="Times New Roman"/>
                <w:lang w:val="lt-LT"/>
              </w:rPr>
              <w:t>, ne mažesnis kaip 8 colių.</w:t>
            </w:r>
          </w:p>
          <w:p w14:paraId="36AFFE76" w14:textId="0FBCA585" w:rsidR="000E2DEF" w:rsidRPr="001640B9" w:rsidRDefault="000E2DEF" w:rsidP="009B4163">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Programinė įranga: nustatymui: kaitinimo įtampa ir srovė, temperatūrų skirtumas, vidutinė bandinio temperatūra, vienetinių matavimų skaičius, vidutinis kontrolinis nuokrypis, šilumos laidumas, šiluminė varža, jėga, bandinio storis. Atskiros išmatuotos vertės gali būti rodomos lentelių ir grafiniu pavidalu. Duomenų išvesties formatai: bent Microsoft Word / Excel / PDF arba lygiavertis. Saugos lygis: administratorius ir vartotojas;</w:t>
            </w:r>
          </w:p>
          <w:p w14:paraId="29AACEE1" w14:textId="18C1C3EB" w:rsidR="000E2DEF" w:rsidRPr="001640B9" w:rsidRDefault="000E2DEF" w:rsidP="000E2DEF">
            <w:pPr>
              <w:pStyle w:val="ListParagraph"/>
              <w:rPr>
                <w:rFonts w:ascii="Times New Roman" w:hAnsi="Times New Roman" w:cs="Times New Roman"/>
                <w:lang w:val="lt-LT"/>
              </w:rPr>
            </w:pPr>
            <w:r w:rsidRPr="001640B9">
              <w:rPr>
                <w:rFonts w:ascii="Times New Roman" w:hAnsi="Times New Roman" w:cs="Times New Roman"/>
                <w:lang w:val="lt-LT"/>
              </w:rPr>
              <w:t>Rezultatų rodymas grafikų ir lentelių pavidalu.</w:t>
            </w:r>
          </w:p>
          <w:p w14:paraId="0CCC166B" w14:textId="1C58CD20" w:rsidR="00A564A0" w:rsidRPr="001640B9" w:rsidRDefault="000E2DEF" w:rsidP="000E2DEF">
            <w:pPr>
              <w:pStyle w:val="ListParagraph"/>
              <w:numPr>
                <w:ilvl w:val="0"/>
                <w:numId w:val="7"/>
              </w:numPr>
              <w:rPr>
                <w:rFonts w:ascii="Times New Roman" w:hAnsi="Times New Roman" w:cs="Times New Roman"/>
                <w:lang w:val="lt-LT"/>
              </w:rPr>
            </w:pPr>
            <w:r w:rsidRPr="001640B9">
              <w:rPr>
                <w:rFonts w:ascii="Times New Roman" w:hAnsi="Times New Roman" w:cs="Times New Roman"/>
                <w:lang w:val="lt-LT"/>
              </w:rPr>
              <w:t>Įtampa / Dažnis: 230V (± 10%) / 50 Hz.</w:t>
            </w:r>
          </w:p>
        </w:tc>
        <w:tc>
          <w:tcPr>
            <w:tcW w:w="3385" w:type="dxa"/>
          </w:tcPr>
          <w:p w14:paraId="62596947"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lastRenderedPageBreak/>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5E516268" w14:textId="1B28C57A"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r w:rsidR="00A564A0" w:rsidRPr="001640B9" w14:paraId="579B80F1" w14:textId="3B9CB7D2" w:rsidTr="00F47805">
        <w:tc>
          <w:tcPr>
            <w:tcW w:w="570" w:type="dxa"/>
          </w:tcPr>
          <w:p w14:paraId="5C0D2D12"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lastRenderedPageBreak/>
              <w:t xml:space="preserve">4. </w:t>
            </w:r>
          </w:p>
        </w:tc>
        <w:tc>
          <w:tcPr>
            <w:tcW w:w="1975" w:type="dxa"/>
          </w:tcPr>
          <w:p w14:paraId="412DABCF" w14:textId="77777777" w:rsidR="00A564A0" w:rsidRPr="001640B9" w:rsidRDefault="006D5CA0" w:rsidP="00573FB8">
            <w:pPr>
              <w:rPr>
                <w:rFonts w:ascii="Times New Roman" w:hAnsi="Times New Roman" w:cs="Times New Roman"/>
                <w:lang w:val="lt-LT"/>
              </w:rPr>
            </w:pPr>
            <w:r w:rsidRPr="001640B9">
              <w:rPr>
                <w:rFonts w:ascii="Times New Roman" w:hAnsi="Times New Roman" w:cs="Times New Roman"/>
                <w:lang w:val="lt-LT"/>
              </w:rPr>
              <w:t>Techniniai reikalavimai</w:t>
            </w:r>
          </w:p>
          <w:p w14:paraId="0086EED3" w14:textId="5AFADDC8" w:rsidR="006D5CA0" w:rsidRPr="001640B9" w:rsidRDefault="006D5CA0" w:rsidP="00573FB8">
            <w:pPr>
              <w:rPr>
                <w:rFonts w:ascii="Times New Roman" w:hAnsi="Times New Roman" w:cs="Times New Roman"/>
                <w:highlight w:val="yellow"/>
                <w:lang w:val="lt-LT"/>
              </w:rPr>
            </w:pPr>
            <w:r w:rsidRPr="001640B9">
              <w:rPr>
                <w:rFonts w:ascii="Times New Roman" w:hAnsi="Times New Roman" w:cs="Times New Roman"/>
                <w:b/>
                <w:bCs/>
                <w:lang w:val="lt-LT"/>
              </w:rPr>
              <w:t>Sistema 2: Šilumos laidumo matavimo sistema (HFM tipo)</w:t>
            </w:r>
          </w:p>
        </w:tc>
        <w:tc>
          <w:tcPr>
            <w:tcW w:w="4254" w:type="dxa"/>
          </w:tcPr>
          <w:p w14:paraId="49183127" w14:textId="77777777"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Pagal standartus: ISO 8301, DIN EN 12667, DIN EN 12664.</w:t>
            </w:r>
          </w:p>
          <w:p w14:paraId="20DF0BEE" w14:textId="0B4D7B29" w:rsidR="006D5CA0" w:rsidRPr="001640B9" w:rsidRDefault="006D5CA0" w:rsidP="007A7E44">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Sistemos veikimas: kaip atskira sistema ir su išoriniu kompiuteriu</w:t>
            </w:r>
            <w:r w:rsidR="001C7924" w:rsidRPr="001640B9">
              <w:rPr>
                <w:rFonts w:ascii="Times New Roman" w:hAnsi="Times New Roman" w:cs="Times New Roman"/>
                <w:lang w:val="lt-LT"/>
              </w:rPr>
              <w:t xml:space="preserve"> (PC bus užsakovo, kuriame veiks Windows 11 operacinė sistema). </w:t>
            </w:r>
          </w:p>
          <w:p w14:paraId="776DAC3F" w14:textId="4575D1BD"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Matavimo intervalas: 0.005 – 2.0 W/</w:t>
            </w:r>
            <w:proofErr w:type="spellStart"/>
            <w:r w:rsidRPr="001640B9">
              <w:rPr>
                <w:rFonts w:ascii="Times New Roman" w:hAnsi="Times New Roman" w:cs="Times New Roman"/>
                <w:lang w:val="lt-LT"/>
              </w:rPr>
              <w:t>mK</w:t>
            </w:r>
            <w:proofErr w:type="spellEnd"/>
            <w:r w:rsidRPr="001640B9">
              <w:rPr>
                <w:rFonts w:ascii="Times New Roman" w:hAnsi="Times New Roman" w:cs="Times New Roman"/>
                <w:lang w:val="lt-LT"/>
              </w:rPr>
              <w:t>.</w:t>
            </w:r>
          </w:p>
          <w:p w14:paraId="0C3F7496" w14:textId="15F0305E"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Mėginio matmenys: mažiausiai 300x300x100 mm (ilgis x plotis x storis).</w:t>
            </w:r>
          </w:p>
          <w:p w14:paraId="4EFCEFC8" w14:textId="360D0562"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Šilumos talpos nustatymas, tikslumas - 5–10 % (daugumai izoliacinių medžiagų).</w:t>
            </w:r>
          </w:p>
          <w:p w14:paraId="502E02F2" w14:textId="579BF1A8"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Matavimo tikslumas: ne blogesnis kaip 2,0%.</w:t>
            </w:r>
          </w:p>
          <w:p w14:paraId="5742580B" w14:textId="6C6BFAF1"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Matavimo pakartojamumas: ne blogiau nei 0,25%.</w:t>
            </w:r>
          </w:p>
          <w:p w14:paraId="1FB7C9C4" w14:textId="3C972E0A"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Matavimo atkuriamumas: ne blogiau nei 0,5%.</w:t>
            </w:r>
          </w:p>
          <w:p w14:paraId="0EBF0E77" w14:textId="63C9AA9D"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iCs/>
                <w:lang w:val="lt-LT"/>
              </w:rPr>
              <w:lastRenderedPageBreak/>
              <w:t>Prietaiso plokščių temperatūros intervalas ne siauresnis nei nuo -10°C iki 60°C.</w:t>
            </w:r>
          </w:p>
          <w:p w14:paraId="71130ACF" w14:textId="3C3BE446"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Termoporų skaičius kiekvienoje matavimo plokštėje: ne mažiau 3.</w:t>
            </w:r>
          </w:p>
          <w:p w14:paraId="082EE3BC" w14:textId="121A1F74"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iCs/>
                <w:lang w:val="lt-LT"/>
              </w:rPr>
              <w:t>Matavimo zona: ne mažesnė nei 100x100 mm.</w:t>
            </w:r>
          </w:p>
          <w:p w14:paraId="0DBAA9E2" w14:textId="5BD1F6BE"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iCs/>
                <w:lang w:val="lt-LT"/>
              </w:rPr>
              <w:t>Prietaiso komplekte turi būti išorinis aušintuvas.</w:t>
            </w:r>
          </w:p>
          <w:p w14:paraId="4327B9AD" w14:textId="578C87A4"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lang w:val="lt-LT"/>
              </w:rPr>
              <w:t>Įrenginys automatiškai taiko kintamą apkrovą nuo 0 iki 1500 N. Privaloma jėgos ribojimo funkcija dirbant su kietais bandiniais kaip pvz. betonas, kad apsaugotų įrangą nuo sugedimo.</w:t>
            </w:r>
          </w:p>
          <w:p w14:paraId="3C34EEEC" w14:textId="7F9D3962"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iCs/>
                <w:lang w:val="lt-LT"/>
              </w:rPr>
              <w:t>Kondensato mažinimo funkcija žemoje temperatūroje, išpūsti sausomis dujomis (azotu).</w:t>
            </w:r>
          </w:p>
          <w:p w14:paraId="681B671F" w14:textId="54D14792"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iCs/>
                <w:lang w:val="lt-LT"/>
              </w:rPr>
              <w:t>Pagalbinė įranga birių medžiagų matavimui. Komplekte turi būti papildomas „</w:t>
            </w:r>
            <w:proofErr w:type="spellStart"/>
            <w:r w:rsidRPr="001640B9">
              <w:rPr>
                <w:rFonts w:ascii="Times New Roman" w:hAnsi="Times New Roman" w:cs="Times New Roman"/>
                <w:iCs/>
                <w:lang w:val="lt-LT"/>
              </w:rPr>
              <w:t>Instrumentation</w:t>
            </w:r>
            <w:proofErr w:type="spellEnd"/>
            <w:r w:rsidRPr="001640B9">
              <w:rPr>
                <w:rFonts w:ascii="Times New Roman" w:hAnsi="Times New Roman" w:cs="Times New Roman"/>
                <w:iCs/>
                <w:lang w:val="lt-LT"/>
              </w:rPr>
              <w:t xml:space="preserve"> </w:t>
            </w:r>
            <w:proofErr w:type="spellStart"/>
            <w:r w:rsidRPr="001640B9">
              <w:rPr>
                <w:rFonts w:ascii="Times New Roman" w:hAnsi="Times New Roman" w:cs="Times New Roman"/>
                <w:iCs/>
                <w:lang w:val="lt-LT"/>
              </w:rPr>
              <w:t>Kit</w:t>
            </w:r>
            <w:proofErr w:type="spellEnd"/>
            <w:r w:rsidRPr="001640B9">
              <w:rPr>
                <w:rFonts w:ascii="Times New Roman" w:hAnsi="Times New Roman" w:cs="Times New Roman"/>
                <w:iCs/>
                <w:lang w:val="lt-LT"/>
              </w:rPr>
              <w:t>“ (išorinės termoporos ir elastinės tarpinės betono kontaktinei varžai šalinti).</w:t>
            </w:r>
          </w:p>
          <w:p w14:paraId="35320D4B" w14:textId="5B8F7C71" w:rsidR="006D5CA0" w:rsidRPr="001640B9" w:rsidRDefault="006D5CA0" w:rsidP="00573FB8">
            <w:pPr>
              <w:pStyle w:val="ListParagraph"/>
              <w:numPr>
                <w:ilvl w:val="0"/>
                <w:numId w:val="1"/>
              </w:numPr>
              <w:rPr>
                <w:rFonts w:ascii="Times New Roman" w:hAnsi="Times New Roman" w:cs="Times New Roman"/>
                <w:lang w:val="lt-LT"/>
              </w:rPr>
            </w:pPr>
            <w:r w:rsidRPr="001640B9">
              <w:rPr>
                <w:rFonts w:ascii="Times New Roman" w:hAnsi="Times New Roman" w:cs="Times New Roman"/>
                <w:iCs/>
                <w:lang w:val="lt-LT"/>
              </w:rPr>
              <w:t>Mėginio storio matavimo tikslumas: ne blogesnis nei 0,1 mm.</w:t>
            </w:r>
          </w:p>
          <w:p w14:paraId="14D99CC5" w14:textId="5FF83701" w:rsidR="006D5CA0" w:rsidRPr="001640B9" w:rsidRDefault="005316BA" w:rsidP="009213E6">
            <w:pPr>
              <w:pStyle w:val="ListParagraph"/>
              <w:numPr>
                <w:ilvl w:val="0"/>
                <w:numId w:val="1"/>
              </w:numPr>
              <w:rPr>
                <w:rFonts w:ascii="Times New Roman" w:hAnsi="Times New Roman" w:cs="Times New Roman"/>
                <w:lang w:val="lt-LT"/>
              </w:rPr>
            </w:pPr>
            <w:r w:rsidRPr="001640B9">
              <w:rPr>
                <w:rFonts w:ascii="Times New Roman" w:hAnsi="Times New Roman" w:cs="Times New Roman"/>
                <w:iCs/>
                <w:lang w:val="lt-LT"/>
              </w:rPr>
              <w:t>K</w:t>
            </w:r>
            <w:r w:rsidR="006D5CA0" w:rsidRPr="001640B9">
              <w:rPr>
                <w:rFonts w:ascii="Times New Roman" w:hAnsi="Times New Roman" w:cs="Times New Roman"/>
                <w:iCs/>
                <w:lang w:val="lt-LT"/>
              </w:rPr>
              <w:t>alibravimo standart</w:t>
            </w:r>
            <w:r w:rsidRPr="001640B9">
              <w:rPr>
                <w:rFonts w:ascii="Times New Roman" w:hAnsi="Times New Roman" w:cs="Times New Roman"/>
                <w:iCs/>
                <w:lang w:val="lt-LT"/>
              </w:rPr>
              <w:t>as</w:t>
            </w:r>
            <w:r w:rsidR="006D5CA0" w:rsidRPr="001640B9">
              <w:rPr>
                <w:rFonts w:ascii="Times New Roman" w:hAnsi="Times New Roman" w:cs="Times New Roman"/>
                <w:iCs/>
                <w:lang w:val="lt-LT"/>
              </w:rPr>
              <w:t>: ERM-FC440 arba lygiavert</w:t>
            </w:r>
            <w:r w:rsidRPr="001640B9">
              <w:rPr>
                <w:rFonts w:ascii="Times New Roman" w:hAnsi="Times New Roman" w:cs="Times New Roman"/>
                <w:iCs/>
                <w:lang w:val="lt-LT"/>
              </w:rPr>
              <w:t>is</w:t>
            </w:r>
            <w:r w:rsidR="006D5CA0" w:rsidRPr="001640B9">
              <w:rPr>
                <w:rFonts w:ascii="Times New Roman" w:hAnsi="Times New Roman" w:cs="Times New Roman"/>
                <w:iCs/>
                <w:lang w:val="lt-LT"/>
              </w:rPr>
              <w:t>.</w:t>
            </w:r>
          </w:p>
          <w:p w14:paraId="7882AD09" w14:textId="1ECF616F" w:rsidR="006D5CA0" w:rsidRPr="001640B9" w:rsidRDefault="006D5CA0" w:rsidP="000A6503">
            <w:pPr>
              <w:pStyle w:val="ListParagraph"/>
              <w:numPr>
                <w:ilvl w:val="0"/>
                <w:numId w:val="1"/>
              </w:numPr>
              <w:rPr>
                <w:rFonts w:ascii="Times New Roman" w:hAnsi="Times New Roman" w:cs="Times New Roman"/>
                <w:iCs/>
                <w:lang w:val="lt-LT"/>
              </w:rPr>
            </w:pPr>
            <w:r w:rsidRPr="001640B9">
              <w:rPr>
                <w:rFonts w:ascii="Times New Roman" w:hAnsi="Times New Roman" w:cs="Times New Roman"/>
                <w:iCs/>
                <w:lang w:val="lt-LT"/>
              </w:rPr>
              <w:t xml:space="preserve">Programinė įranga matavimo duomenų išsaugojimui, atkūrimui ir Prietaiso kalibravimui, bandymo protokolų generavimui, duomenų eksportavimui, vartotojo parametrų parinkimui, plokščių/vidutinės temperatūros ir šilumos laidumo verčių grafikas, šilumos srauto signalo stebėjimas. Įtrauktas specifinės šiluminės talpos </w:t>
            </w:r>
            <w:proofErr w:type="spellStart"/>
            <w:r w:rsidRPr="001640B9">
              <w:rPr>
                <w:rFonts w:ascii="Times New Roman" w:hAnsi="Times New Roman" w:cs="Times New Roman"/>
                <w:iCs/>
                <w:lang w:val="lt-LT"/>
              </w:rPr>
              <w:t>Cp</w:t>
            </w:r>
            <w:proofErr w:type="spellEnd"/>
            <w:r w:rsidRPr="001640B9">
              <w:rPr>
                <w:rFonts w:ascii="Times New Roman" w:hAnsi="Times New Roman" w:cs="Times New Roman"/>
                <w:iCs/>
                <w:lang w:val="lt-LT"/>
              </w:rPr>
              <w:t xml:space="preserve"> skaičiavimo modulis.</w:t>
            </w:r>
          </w:p>
          <w:p w14:paraId="178CD947" w14:textId="77777777" w:rsidR="00A564A0" w:rsidRPr="001640B9" w:rsidRDefault="006D5CA0" w:rsidP="006D5CA0">
            <w:pPr>
              <w:pStyle w:val="ListParagraph"/>
              <w:rPr>
                <w:rFonts w:ascii="Times New Roman" w:hAnsi="Times New Roman" w:cs="Times New Roman"/>
                <w:iCs/>
                <w:lang w:val="lt-LT"/>
              </w:rPr>
            </w:pPr>
            <w:r w:rsidRPr="001640B9">
              <w:rPr>
                <w:rFonts w:ascii="Times New Roman" w:hAnsi="Times New Roman" w:cs="Times New Roman"/>
                <w:iCs/>
                <w:lang w:val="lt-LT"/>
              </w:rPr>
              <w:t>Duomenų išvesties formatai: bent Microsoft Word / Excel arba lygiavertis.</w:t>
            </w:r>
          </w:p>
          <w:p w14:paraId="7E09C36F" w14:textId="005D3EE1" w:rsidR="00533AAF" w:rsidRPr="001640B9" w:rsidRDefault="00533AAF" w:rsidP="00533AAF">
            <w:pPr>
              <w:pStyle w:val="ListParagraph"/>
              <w:numPr>
                <w:ilvl w:val="0"/>
                <w:numId w:val="1"/>
              </w:numPr>
              <w:rPr>
                <w:rFonts w:ascii="Times New Roman" w:hAnsi="Times New Roman" w:cs="Times New Roman"/>
                <w:lang w:val="lt-LT"/>
              </w:rPr>
            </w:pPr>
            <w:r w:rsidRPr="001640B9">
              <w:rPr>
                <w:rFonts w:ascii="Times New Roman" w:hAnsi="Times New Roman" w:cs="Times New Roman"/>
                <w:iCs/>
                <w:lang w:val="lt-LT"/>
              </w:rPr>
              <w:t>Įtampa / dažnis: 230V (± 10%) / 50 Hz.</w:t>
            </w:r>
          </w:p>
        </w:tc>
        <w:tc>
          <w:tcPr>
            <w:tcW w:w="3385" w:type="dxa"/>
          </w:tcPr>
          <w:p w14:paraId="047AF772"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lastRenderedPageBreak/>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0644C2A4" w14:textId="7C737B0B"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r w:rsidR="00A564A0" w:rsidRPr="001640B9" w14:paraId="6753C0D9" w14:textId="063E28DC" w:rsidTr="00F47805">
        <w:tc>
          <w:tcPr>
            <w:tcW w:w="570" w:type="dxa"/>
          </w:tcPr>
          <w:p w14:paraId="03AE9511"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lastRenderedPageBreak/>
              <w:t xml:space="preserve">5. </w:t>
            </w:r>
          </w:p>
        </w:tc>
        <w:tc>
          <w:tcPr>
            <w:tcW w:w="1975" w:type="dxa"/>
          </w:tcPr>
          <w:p w14:paraId="5B9955C9" w14:textId="69D7C3B3" w:rsidR="00A564A0" w:rsidRPr="001640B9" w:rsidRDefault="00533AAF" w:rsidP="00573FB8">
            <w:pPr>
              <w:rPr>
                <w:rFonts w:ascii="Times New Roman" w:hAnsi="Times New Roman" w:cs="Times New Roman"/>
                <w:highlight w:val="yellow"/>
                <w:lang w:val="lt-LT"/>
              </w:rPr>
            </w:pPr>
            <w:r w:rsidRPr="001640B9">
              <w:rPr>
                <w:rFonts w:ascii="Times New Roman" w:hAnsi="Times New Roman" w:cs="Times New Roman"/>
                <w:lang w:val="lt-LT"/>
              </w:rPr>
              <w:t>Bendrieji reikalavimai</w:t>
            </w:r>
          </w:p>
        </w:tc>
        <w:tc>
          <w:tcPr>
            <w:tcW w:w="4254" w:type="dxa"/>
          </w:tcPr>
          <w:p w14:paraId="247CEB18" w14:textId="09CFFA71" w:rsidR="00A564A0" w:rsidRPr="001640B9" w:rsidRDefault="00533AAF" w:rsidP="00533AAF">
            <w:pPr>
              <w:rPr>
                <w:rFonts w:ascii="Times New Roman" w:hAnsi="Times New Roman" w:cs="Times New Roman"/>
                <w:highlight w:val="yellow"/>
                <w:lang w:val="lt-LT"/>
              </w:rPr>
            </w:pPr>
            <w:r w:rsidRPr="001640B9">
              <w:rPr>
                <w:rFonts w:ascii="Times New Roman" w:hAnsi="Times New Roman" w:cs="Times New Roman"/>
                <w:iCs/>
                <w:lang w:val="lt-LT"/>
              </w:rPr>
              <w:t xml:space="preserve">Įrenginio pristatymas, montavimas, prijungimas ir funkcionalumo testavimas, bei ne mažiau kaip 2 </w:t>
            </w:r>
            <w:r w:rsidR="008618E9" w:rsidRPr="001640B9">
              <w:rPr>
                <w:rFonts w:ascii="Times New Roman" w:hAnsi="Times New Roman" w:cs="Times New Roman"/>
                <w:iCs/>
                <w:lang w:val="lt-LT"/>
              </w:rPr>
              <w:t>pirkėjo</w:t>
            </w:r>
            <w:r w:rsidRPr="001640B9">
              <w:rPr>
                <w:rFonts w:ascii="Times New Roman" w:hAnsi="Times New Roman" w:cs="Times New Roman"/>
                <w:iCs/>
                <w:lang w:val="lt-LT"/>
              </w:rPr>
              <w:t xml:space="preserve"> darbuotojų mokymas dirbti su įrenginiu jo veikimo vietoje. Mokymai turi apimti specifinį betono bandinių matavimą.</w:t>
            </w:r>
          </w:p>
        </w:tc>
        <w:tc>
          <w:tcPr>
            <w:tcW w:w="3385" w:type="dxa"/>
          </w:tcPr>
          <w:p w14:paraId="1C17E2F9"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19B245FC" w14:textId="5B6B2769"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r w:rsidR="00A564A0" w:rsidRPr="001640B9" w14:paraId="40FA9220" w14:textId="65CF9EE0" w:rsidTr="00F47805">
        <w:tc>
          <w:tcPr>
            <w:tcW w:w="570" w:type="dxa"/>
          </w:tcPr>
          <w:p w14:paraId="131A2977"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 xml:space="preserve">6. </w:t>
            </w:r>
          </w:p>
        </w:tc>
        <w:tc>
          <w:tcPr>
            <w:tcW w:w="1975" w:type="dxa"/>
          </w:tcPr>
          <w:p w14:paraId="4727E1D6" w14:textId="5D88AF96" w:rsidR="00533AAF" w:rsidRPr="001640B9" w:rsidRDefault="00533AAF" w:rsidP="00533AAF">
            <w:pPr>
              <w:rPr>
                <w:rFonts w:ascii="Times New Roman" w:hAnsi="Times New Roman" w:cs="Times New Roman"/>
                <w:iCs/>
                <w:lang w:val="lt-LT"/>
              </w:rPr>
            </w:pPr>
            <w:r w:rsidRPr="001640B9">
              <w:rPr>
                <w:rFonts w:ascii="Times New Roman" w:hAnsi="Times New Roman" w:cs="Times New Roman"/>
                <w:iCs/>
                <w:lang w:val="lt-LT"/>
              </w:rPr>
              <w:t>Įrenginio garantija ir garantinė priežiūra</w:t>
            </w:r>
          </w:p>
          <w:p w14:paraId="6DB56B88" w14:textId="113F5EE3" w:rsidR="00A564A0" w:rsidRPr="001640B9" w:rsidRDefault="00A564A0" w:rsidP="00573FB8">
            <w:pPr>
              <w:rPr>
                <w:rFonts w:ascii="Times New Roman" w:hAnsi="Times New Roman" w:cs="Times New Roman"/>
                <w:highlight w:val="yellow"/>
                <w:lang w:val="lt-LT"/>
              </w:rPr>
            </w:pPr>
          </w:p>
        </w:tc>
        <w:tc>
          <w:tcPr>
            <w:tcW w:w="4254" w:type="dxa"/>
          </w:tcPr>
          <w:p w14:paraId="11DB559E" w14:textId="00432BF4" w:rsidR="00533AAF" w:rsidRPr="001640B9" w:rsidRDefault="00533AAF" w:rsidP="00533AAF">
            <w:pPr>
              <w:rPr>
                <w:rFonts w:ascii="Times New Roman" w:hAnsi="Times New Roman" w:cs="Times New Roman"/>
                <w:iCs/>
                <w:lang w:val="lt-LT"/>
              </w:rPr>
            </w:pPr>
            <w:r w:rsidRPr="001640B9">
              <w:rPr>
                <w:rFonts w:ascii="Times New Roman" w:hAnsi="Times New Roman" w:cs="Times New Roman"/>
                <w:iCs/>
                <w:lang w:val="lt-LT"/>
              </w:rPr>
              <w:t>Įrangai (įskaitant jos sudėtines/komplektuojamas dalis) turi būti suteikiama ne trumpesnė kaip 1</w:t>
            </w:r>
            <w:r w:rsidR="009213E6" w:rsidRPr="001640B9">
              <w:rPr>
                <w:rFonts w:ascii="Times New Roman" w:hAnsi="Times New Roman" w:cs="Times New Roman"/>
                <w:iCs/>
                <w:lang w:val="lt-LT"/>
              </w:rPr>
              <w:t>2</w:t>
            </w:r>
            <w:r w:rsidRPr="001640B9">
              <w:rPr>
                <w:rFonts w:ascii="Times New Roman" w:hAnsi="Times New Roman" w:cs="Times New Roman"/>
                <w:iCs/>
                <w:lang w:val="lt-LT"/>
              </w:rPr>
              <w:t xml:space="preserve"> mėnesių garantija.</w:t>
            </w:r>
          </w:p>
          <w:p w14:paraId="26704FE3" w14:textId="77777777" w:rsidR="00533AAF" w:rsidRPr="001640B9" w:rsidRDefault="00533AAF" w:rsidP="00533AAF">
            <w:pPr>
              <w:rPr>
                <w:rFonts w:ascii="Times New Roman" w:hAnsi="Times New Roman" w:cs="Times New Roman"/>
                <w:iCs/>
                <w:lang w:val="lt-LT"/>
              </w:rPr>
            </w:pPr>
            <w:r w:rsidRPr="001640B9">
              <w:rPr>
                <w:rFonts w:ascii="Times New Roman" w:hAnsi="Times New Roman" w:cs="Times New Roman"/>
                <w:iCs/>
                <w:lang w:val="lt-LT"/>
              </w:rPr>
              <w:t xml:space="preserve">Garantiniu laikotarpiu visas išlaidas, susijusias su sugedusiais Įrangos komponentais, turi padengti Tiekėjas (išskyrus, jeigu gedimai atsirado dėl vartotojo kaltės). </w:t>
            </w:r>
          </w:p>
          <w:p w14:paraId="3DB587DD" w14:textId="77777777" w:rsidR="00533AAF" w:rsidRPr="001640B9" w:rsidRDefault="00533AAF" w:rsidP="00533AAF">
            <w:pPr>
              <w:rPr>
                <w:rFonts w:ascii="Times New Roman" w:hAnsi="Times New Roman" w:cs="Times New Roman"/>
                <w:iCs/>
                <w:lang w:val="lt-LT"/>
              </w:rPr>
            </w:pPr>
            <w:r w:rsidRPr="001640B9">
              <w:rPr>
                <w:rFonts w:ascii="Times New Roman" w:hAnsi="Times New Roman" w:cs="Times New Roman"/>
                <w:iCs/>
                <w:lang w:val="lt-LT"/>
              </w:rPr>
              <w:t>Garantinio termino laikotarpiu Tiekėjas, gavęs pranešimą apie Prekės trūkumus, turi atvykti ar kitaip sureaguoti į perkančiosios organizacijos pranešimą el. paštu ne vėliau kaip per 48 (keturiasdešimt aštuonias) valandas nuo pranešimo apie trūkumus Tiekėjui gavimo.</w:t>
            </w:r>
          </w:p>
          <w:p w14:paraId="5057523B" w14:textId="37572779" w:rsidR="00A564A0" w:rsidRPr="001640B9" w:rsidRDefault="00533AAF" w:rsidP="00533AAF">
            <w:pPr>
              <w:rPr>
                <w:rFonts w:ascii="Times New Roman" w:hAnsi="Times New Roman" w:cs="Times New Roman"/>
                <w:highlight w:val="yellow"/>
                <w:lang w:val="lt-LT"/>
              </w:rPr>
            </w:pPr>
            <w:r w:rsidRPr="001640B9">
              <w:rPr>
                <w:rFonts w:ascii="Times New Roman" w:hAnsi="Times New Roman" w:cs="Times New Roman"/>
                <w:iCs/>
                <w:lang w:val="lt-LT"/>
              </w:rPr>
              <w:t>Tiekėjas privalo pašalinti trūkumus ne vėliau kaip per 10 (dešimt) darbo dienas. Jeigu dėl objektyvių priežasčių per nurodytą terminą trūkumas negali būti pašalintas, tarp šalių pasirašomas dvišalis aktas, kuriame nurodomas kitas pagrįstas terminas gedimui pašalinti. Prietaiso remonto darbai turi būti šalinami Prietaiso buvimo patalpose. Jeigu atlikti remonto darbus perkančiosios organizacijos  patalpose nėra galimybės, Prietaisą garantiniam remontui išsiveža ir atgal grąžina Tiekėjas savo lėšomis.</w:t>
            </w:r>
          </w:p>
        </w:tc>
        <w:tc>
          <w:tcPr>
            <w:tcW w:w="3385" w:type="dxa"/>
          </w:tcPr>
          <w:p w14:paraId="22FC5E9E"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690EF27B" w14:textId="46C6A6CB"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bl>
    <w:p w14:paraId="6E31B2C5" w14:textId="77777777" w:rsidR="00386E82" w:rsidRPr="001640B9" w:rsidRDefault="00386E82">
      <w:pPr>
        <w:rPr>
          <w:rFonts w:ascii="Times New Roman" w:hAnsi="Times New Roman" w:cs="Times New Roman"/>
          <w:lang w:val="lt-LT"/>
        </w:rPr>
      </w:pPr>
    </w:p>
    <w:sectPr w:rsidR="00386E82" w:rsidRPr="001640B9"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B65B" w14:textId="77777777" w:rsidR="00904398" w:rsidRDefault="00904398" w:rsidP="00D53BAD">
      <w:pPr>
        <w:spacing w:after="0" w:line="240" w:lineRule="auto"/>
      </w:pPr>
      <w:r>
        <w:separator/>
      </w:r>
    </w:p>
  </w:endnote>
  <w:endnote w:type="continuationSeparator" w:id="0">
    <w:p w14:paraId="2004A63A" w14:textId="77777777" w:rsidR="00904398" w:rsidRDefault="00904398" w:rsidP="00D53BAD">
      <w:pPr>
        <w:spacing w:after="0" w:line="240" w:lineRule="auto"/>
      </w:pPr>
      <w:r>
        <w:continuationSeparator/>
      </w:r>
    </w:p>
  </w:endnote>
  <w:endnote w:type="continuationNotice" w:id="1">
    <w:p w14:paraId="0C1B8937" w14:textId="77777777" w:rsidR="00904398" w:rsidRDefault="00904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E97F" w14:textId="77777777" w:rsidR="00904398" w:rsidRDefault="00904398" w:rsidP="00D53BAD">
      <w:pPr>
        <w:spacing w:after="0" w:line="240" w:lineRule="auto"/>
      </w:pPr>
      <w:r>
        <w:separator/>
      </w:r>
    </w:p>
  </w:footnote>
  <w:footnote w:type="continuationSeparator" w:id="0">
    <w:p w14:paraId="39D5DBAB" w14:textId="77777777" w:rsidR="00904398" w:rsidRDefault="00904398" w:rsidP="00D53BAD">
      <w:pPr>
        <w:spacing w:after="0" w:line="240" w:lineRule="auto"/>
      </w:pPr>
      <w:r>
        <w:continuationSeparator/>
      </w:r>
    </w:p>
  </w:footnote>
  <w:footnote w:type="continuationNotice" w:id="1">
    <w:p w14:paraId="5DB9C28C" w14:textId="77777777" w:rsidR="00904398" w:rsidRDefault="009043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9B1"/>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1D62C6"/>
    <w:multiLevelType w:val="hybridMultilevel"/>
    <w:tmpl w:val="424834BA"/>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B760A"/>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FD1939"/>
    <w:multiLevelType w:val="hybridMultilevel"/>
    <w:tmpl w:val="CC0C6AC6"/>
    <w:lvl w:ilvl="0" w:tplc="B35418B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467E4D"/>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3175A5"/>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7"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541304">
    <w:abstractNumId w:val="4"/>
  </w:num>
  <w:num w:numId="2" w16cid:durableId="1288853534">
    <w:abstractNumId w:val="14"/>
  </w:num>
  <w:num w:numId="3" w16cid:durableId="1133524540">
    <w:abstractNumId w:val="10"/>
  </w:num>
  <w:num w:numId="4" w16cid:durableId="41440009">
    <w:abstractNumId w:val="18"/>
  </w:num>
  <w:num w:numId="5" w16cid:durableId="1145898211">
    <w:abstractNumId w:val="13"/>
  </w:num>
  <w:num w:numId="6" w16cid:durableId="1954438177">
    <w:abstractNumId w:val="6"/>
  </w:num>
  <w:num w:numId="7" w16cid:durableId="1331787917">
    <w:abstractNumId w:val="11"/>
  </w:num>
  <w:num w:numId="8" w16cid:durableId="1894341090">
    <w:abstractNumId w:val="5"/>
  </w:num>
  <w:num w:numId="9" w16cid:durableId="56979582">
    <w:abstractNumId w:val="3"/>
  </w:num>
  <w:num w:numId="10" w16cid:durableId="489910538">
    <w:abstractNumId w:val="17"/>
  </w:num>
  <w:num w:numId="11" w16cid:durableId="1139691608">
    <w:abstractNumId w:val="15"/>
  </w:num>
  <w:num w:numId="12" w16cid:durableId="2094471089">
    <w:abstractNumId w:val="16"/>
  </w:num>
  <w:num w:numId="13" w16cid:durableId="657153545">
    <w:abstractNumId w:val="1"/>
  </w:num>
  <w:num w:numId="14" w16cid:durableId="600144145">
    <w:abstractNumId w:val="8"/>
  </w:num>
  <w:num w:numId="15" w16cid:durableId="205408539">
    <w:abstractNumId w:val="12"/>
  </w:num>
  <w:num w:numId="16" w16cid:durableId="737288180">
    <w:abstractNumId w:val="7"/>
  </w:num>
  <w:num w:numId="17" w16cid:durableId="768504960">
    <w:abstractNumId w:val="9"/>
  </w:num>
  <w:num w:numId="18" w16cid:durableId="148252134">
    <w:abstractNumId w:val="0"/>
  </w:num>
  <w:num w:numId="19" w16cid:durableId="264077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4597A"/>
    <w:rsid w:val="000530B9"/>
    <w:rsid w:val="00061999"/>
    <w:rsid w:val="00064DF8"/>
    <w:rsid w:val="00081B36"/>
    <w:rsid w:val="000823E1"/>
    <w:rsid w:val="000909CA"/>
    <w:rsid w:val="000911A4"/>
    <w:rsid w:val="000B3EEE"/>
    <w:rsid w:val="000C0550"/>
    <w:rsid w:val="000D5A67"/>
    <w:rsid w:val="000E2DEF"/>
    <w:rsid w:val="00103102"/>
    <w:rsid w:val="0012337A"/>
    <w:rsid w:val="00125319"/>
    <w:rsid w:val="001355D4"/>
    <w:rsid w:val="001640B9"/>
    <w:rsid w:val="001750E8"/>
    <w:rsid w:val="001A283B"/>
    <w:rsid w:val="001B31CF"/>
    <w:rsid w:val="001B4E0E"/>
    <w:rsid w:val="001C1787"/>
    <w:rsid w:val="001C7924"/>
    <w:rsid w:val="001D5B69"/>
    <w:rsid w:val="001E78B6"/>
    <w:rsid w:val="002001D2"/>
    <w:rsid w:val="00204404"/>
    <w:rsid w:val="0022280E"/>
    <w:rsid w:val="00223E41"/>
    <w:rsid w:val="002405EB"/>
    <w:rsid w:val="002471BF"/>
    <w:rsid w:val="00247EEB"/>
    <w:rsid w:val="0025546A"/>
    <w:rsid w:val="002625F0"/>
    <w:rsid w:val="00266076"/>
    <w:rsid w:val="0027274B"/>
    <w:rsid w:val="00292B0D"/>
    <w:rsid w:val="00293B78"/>
    <w:rsid w:val="002C4F53"/>
    <w:rsid w:val="002E4F55"/>
    <w:rsid w:val="002F3228"/>
    <w:rsid w:val="0032720A"/>
    <w:rsid w:val="00334C3E"/>
    <w:rsid w:val="00375793"/>
    <w:rsid w:val="0037771B"/>
    <w:rsid w:val="0038048E"/>
    <w:rsid w:val="00386E82"/>
    <w:rsid w:val="003951A5"/>
    <w:rsid w:val="00395CE0"/>
    <w:rsid w:val="003B01EF"/>
    <w:rsid w:val="003B60E5"/>
    <w:rsid w:val="003C02D7"/>
    <w:rsid w:val="00402EAE"/>
    <w:rsid w:val="0040558A"/>
    <w:rsid w:val="004106AE"/>
    <w:rsid w:val="00421E7C"/>
    <w:rsid w:val="00437DF1"/>
    <w:rsid w:val="004567D0"/>
    <w:rsid w:val="00462B36"/>
    <w:rsid w:val="004A484D"/>
    <w:rsid w:val="004B3E92"/>
    <w:rsid w:val="004C7006"/>
    <w:rsid w:val="004D7D7B"/>
    <w:rsid w:val="004E14C6"/>
    <w:rsid w:val="004E441D"/>
    <w:rsid w:val="005164FE"/>
    <w:rsid w:val="00520B1C"/>
    <w:rsid w:val="00522296"/>
    <w:rsid w:val="00522D4F"/>
    <w:rsid w:val="005316BA"/>
    <w:rsid w:val="00533AAF"/>
    <w:rsid w:val="00541C2D"/>
    <w:rsid w:val="005438FE"/>
    <w:rsid w:val="005659C8"/>
    <w:rsid w:val="00573FB8"/>
    <w:rsid w:val="00586A25"/>
    <w:rsid w:val="005C21BD"/>
    <w:rsid w:val="005D3F34"/>
    <w:rsid w:val="005D53AF"/>
    <w:rsid w:val="005D56B9"/>
    <w:rsid w:val="005E2126"/>
    <w:rsid w:val="005E3D90"/>
    <w:rsid w:val="005F5B28"/>
    <w:rsid w:val="00602A8F"/>
    <w:rsid w:val="00636508"/>
    <w:rsid w:val="006478F7"/>
    <w:rsid w:val="00656A9B"/>
    <w:rsid w:val="00660398"/>
    <w:rsid w:val="00671A1C"/>
    <w:rsid w:val="00675612"/>
    <w:rsid w:val="006839E9"/>
    <w:rsid w:val="006A4BC3"/>
    <w:rsid w:val="006B21ED"/>
    <w:rsid w:val="006D4F13"/>
    <w:rsid w:val="006D5CA0"/>
    <w:rsid w:val="006E1DA9"/>
    <w:rsid w:val="006E4D23"/>
    <w:rsid w:val="0070245E"/>
    <w:rsid w:val="007200FB"/>
    <w:rsid w:val="007320BD"/>
    <w:rsid w:val="0073351D"/>
    <w:rsid w:val="00734DD5"/>
    <w:rsid w:val="00745D70"/>
    <w:rsid w:val="00746911"/>
    <w:rsid w:val="007506D3"/>
    <w:rsid w:val="007622C2"/>
    <w:rsid w:val="00781FBA"/>
    <w:rsid w:val="007848D7"/>
    <w:rsid w:val="007A0D68"/>
    <w:rsid w:val="007C0D46"/>
    <w:rsid w:val="007C3CE9"/>
    <w:rsid w:val="007D0D2B"/>
    <w:rsid w:val="007D24C4"/>
    <w:rsid w:val="007E0DD9"/>
    <w:rsid w:val="007F7CC3"/>
    <w:rsid w:val="00823635"/>
    <w:rsid w:val="0085205D"/>
    <w:rsid w:val="00852765"/>
    <w:rsid w:val="008618E9"/>
    <w:rsid w:val="00870932"/>
    <w:rsid w:val="008B57AC"/>
    <w:rsid w:val="008D6439"/>
    <w:rsid w:val="008E2C12"/>
    <w:rsid w:val="008F3E3C"/>
    <w:rsid w:val="00904398"/>
    <w:rsid w:val="009213E6"/>
    <w:rsid w:val="00953BFB"/>
    <w:rsid w:val="00957686"/>
    <w:rsid w:val="009960B3"/>
    <w:rsid w:val="009962CA"/>
    <w:rsid w:val="0099788E"/>
    <w:rsid w:val="009B5FA8"/>
    <w:rsid w:val="009F2609"/>
    <w:rsid w:val="00A20193"/>
    <w:rsid w:val="00A2371D"/>
    <w:rsid w:val="00A30E0D"/>
    <w:rsid w:val="00A44961"/>
    <w:rsid w:val="00A4780A"/>
    <w:rsid w:val="00A55E9F"/>
    <w:rsid w:val="00A564A0"/>
    <w:rsid w:val="00A74214"/>
    <w:rsid w:val="00A76C8A"/>
    <w:rsid w:val="00A81563"/>
    <w:rsid w:val="00AD7B8E"/>
    <w:rsid w:val="00AE164D"/>
    <w:rsid w:val="00AE3467"/>
    <w:rsid w:val="00B201EA"/>
    <w:rsid w:val="00B209D2"/>
    <w:rsid w:val="00B40DA9"/>
    <w:rsid w:val="00B50837"/>
    <w:rsid w:val="00B807BC"/>
    <w:rsid w:val="00B85B7F"/>
    <w:rsid w:val="00B9698D"/>
    <w:rsid w:val="00B9782D"/>
    <w:rsid w:val="00BA558D"/>
    <w:rsid w:val="00BC1B86"/>
    <w:rsid w:val="00C00297"/>
    <w:rsid w:val="00C0238A"/>
    <w:rsid w:val="00C03E47"/>
    <w:rsid w:val="00C217B9"/>
    <w:rsid w:val="00C273EA"/>
    <w:rsid w:val="00C53223"/>
    <w:rsid w:val="00C647C5"/>
    <w:rsid w:val="00C8085D"/>
    <w:rsid w:val="00C83BBF"/>
    <w:rsid w:val="00C906C2"/>
    <w:rsid w:val="00C9524C"/>
    <w:rsid w:val="00CA6964"/>
    <w:rsid w:val="00CD7EC4"/>
    <w:rsid w:val="00CE1594"/>
    <w:rsid w:val="00CF3BED"/>
    <w:rsid w:val="00D00930"/>
    <w:rsid w:val="00D0559B"/>
    <w:rsid w:val="00D37AD7"/>
    <w:rsid w:val="00D53BAD"/>
    <w:rsid w:val="00D620F4"/>
    <w:rsid w:val="00D75398"/>
    <w:rsid w:val="00D765CC"/>
    <w:rsid w:val="00D86293"/>
    <w:rsid w:val="00D917FE"/>
    <w:rsid w:val="00DE3879"/>
    <w:rsid w:val="00DF1A55"/>
    <w:rsid w:val="00E054F0"/>
    <w:rsid w:val="00E66293"/>
    <w:rsid w:val="00E7208B"/>
    <w:rsid w:val="00E95839"/>
    <w:rsid w:val="00EC7AB0"/>
    <w:rsid w:val="00F006F1"/>
    <w:rsid w:val="00F225AE"/>
    <w:rsid w:val="00F26FE1"/>
    <w:rsid w:val="00F332E4"/>
    <w:rsid w:val="00F36405"/>
    <w:rsid w:val="00F47805"/>
    <w:rsid w:val="00F5007B"/>
    <w:rsid w:val="00F561F4"/>
    <w:rsid w:val="00F863D1"/>
    <w:rsid w:val="00F9361B"/>
    <w:rsid w:val="00FA1278"/>
    <w:rsid w:val="00FA502F"/>
    <w:rsid w:val="00FB2EE7"/>
    <w:rsid w:val="00FD4ACC"/>
    <w:rsid w:val="00FE174D"/>
    <w:rsid w:val="00FE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06604998">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25654677">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01181561">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 w:id="17434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E3E1-3EDF-46F5-8658-BD96381C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7</Pages>
  <Words>7995</Words>
  <Characters>4558</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Algirdas Augonis</cp:lastModifiedBy>
  <cp:revision>37</cp:revision>
  <dcterms:created xsi:type="dcterms:W3CDTF">2026-03-31T12:29:00Z</dcterms:created>
  <dcterms:modified xsi:type="dcterms:W3CDTF">2026-05-26T10:07:00Z</dcterms:modified>
</cp:coreProperties>
</file>