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1C44" w14:textId="77777777" w:rsidR="00C16A26" w:rsidRDefault="00D72624" w:rsidP="00D72624">
      <w:pPr>
        <w:jc w:val="center"/>
        <w:rPr>
          <w:rFonts w:ascii="Times New Roman" w:hAnsi="Times New Roman" w:cs="Times New Roman"/>
          <w:b/>
          <w:bCs/>
        </w:rPr>
      </w:pPr>
      <w:r w:rsidRPr="008E4B3A">
        <w:rPr>
          <w:rFonts w:ascii="Times New Roman" w:hAnsi="Times New Roman" w:cs="Times New Roman"/>
          <w:b/>
          <w:bCs/>
        </w:rPr>
        <w:t>„RM COMPARE“ LICENCIJŲ IR KONSULTACIJŲ PIRKIMAS FORMUOJAMOJO VERTINIMO INSTRUMENTAMS IŠBANDYTI</w:t>
      </w:r>
    </w:p>
    <w:p w14:paraId="41EB8F6B" w14:textId="4A704937" w:rsidR="00D72624" w:rsidRPr="00C16A26" w:rsidRDefault="00D72624" w:rsidP="00C16A26">
      <w:pPr>
        <w:jc w:val="center"/>
        <w:rPr>
          <w:rFonts w:ascii="Times New Roman" w:hAnsi="Times New Roman" w:cs="Times New Roman"/>
          <w:b/>
          <w:bCs/>
        </w:rPr>
      </w:pPr>
      <w:r>
        <w:rPr>
          <w:rFonts w:ascii="Times New Roman" w:hAnsi="Times New Roman" w:cs="Times New Roman"/>
          <w:b/>
          <w:bCs/>
          <w:i/>
          <w:iCs/>
        </w:rPr>
        <w:t xml:space="preserve"> </w:t>
      </w:r>
      <w:r w:rsidRPr="008E4B3A">
        <w:rPr>
          <w:rFonts w:ascii="Times New Roman" w:hAnsi="Times New Roman" w:cs="Times New Roman"/>
          <w:b/>
          <w:bCs/>
        </w:rPr>
        <w:t xml:space="preserve">PASLAUGŲ PIRKIMO </w:t>
      </w:r>
      <w:r w:rsidRPr="00C16A26">
        <w:rPr>
          <w:rFonts w:ascii="Times New Roman" w:hAnsi="Times New Roman" w:cs="Times New Roman"/>
          <w:b/>
          <w:bCs/>
        </w:rPr>
        <w:t>TECHNINĖ SPECIFIKACIJA</w:t>
      </w:r>
    </w:p>
    <w:p w14:paraId="037FEB8C" w14:textId="77777777" w:rsidR="00D72624" w:rsidRDefault="00D72624" w:rsidP="00D72624">
      <w:pPr>
        <w:pStyle w:val="Sraopastraipa"/>
        <w:ind w:left="605"/>
        <w:jc w:val="center"/>
        <w:rPr>
          <w:rFonts w:ascii="Times New Roman" w:hAnsi="Times New Roman" w:cs="Times New Roman"/>
        </w:rPr>
      </w:pPr>
    </w:p>
    <w:p w14:paraId="2AF41EA7" w14:textId="744DE421" w:rsidR="00D72624" w:rsidRPr="00F25539" w:rsidRDefault="00D72624" w:rsidP="00D72624">
      <w:pPr>
        <w:pStyle w:val="Sraopastraipa"/>
        <w:numPr>
          <w:ilvl w:val="0"/>
          <w:numId w:val="11"/>
        </w:numPr>
        <w:tabs>
          <w:tab w:val="left" w:pos="142"/>
        </w:tabs>
        <w:ind w:left="0" w:firstLine="0"/>
        <w:jc w:val="center"/>
        <w:rPr>
          <w:rFonts w:ascii="Times New Roman" w:hAnsi="Times New Roman" w:cs="Times New Roman"/>
        </w:rPr>
      </w:pPr>
      <w:r w:rsidRPr="00F25539">
        <w:rPr>
          <w:rFonts w:ascii="Times New Roman" w:hAnsi="Times New Roman" w:cs="Times New Roman"/>
        </w:rPr>
        <w:t>BENDROJI DALIS</w:t>
      </w:r>
    </w:p>
    <w:p w14:paraId="3EA5794A" w14:textId="6A5AC57D" w:rsidR="00D72624" w:rsidRPr="00D72624" w:rsidRDefault="00D72624" w:rsidP="00D72624">
      <w:pPr>
        <w:spacing w:after="0" w:line="240" w:lineRule="auto"/>
        <w:ind w:left="360" w:firstLine="907"/>
        <w:rPr>
          <w:rFonts w:ascii="Times New Roman" w:hAnsi="Times New Roman" w:cs="Times New Roman"/>
        </w:rPr>
      </w:pPr>
      <w:r w:rsidRPr="00D72624">
        <w:rPr>
          <w:rFonts w:ascii="Times New Roman" w:hAnsi="Times New Roman" w:cs="Times New Roman"/>
        </w:rPr>
        <w:t>1.1. Perkančioji organizacija (toliau – PO) yra Nacionalinė švietimo agentūra (toliau – NŠA).</w:t>
      </w:r>
    </w:p>
    <w:p w14:paraId="6D2AEA37" w14:textId="77777777" w:rsidR="00D72624" w:rsidRPr="00D72624" w:rsidRDefault="00D72624" w:rsidP="00D72624">
      <w:pPr>
        <w:spacing w:after="0" w:line="240" w:lineRule="auto"/>
        <w:ind w:left="360" w:firstLine="907"/>
        <w:rPr>
          <w:rFonts w:ascii="Times New Roman" w:hAnsi="Times New Roman" w:cs="Times New Roman"/>
        </w:rPr>
      </w:pPr>
      <w:r w:rsidRPr="00D72624">
        <w:rPr>
          <w:rFonts w:ascii="Times New Roman" w:hAnsi="Times New Roman" w:cs="Times New Roman"/>
        </w:rPr>
        <w:t>1.2. Projekto pagrindimas ir tikslai:</w:t>
      </w:r>
    </w:p>
    <w:p w14:paraId="44DFCC1F" w14:textId="1119FD8B" w:rsidR="00D72624" w:rsidRPr="00D72624" w:rsidRDefault="00D72624" w:rsidP="00D72624">
      <w:pPr>
        <w:spacing w:after="0" w:line="240" w:lineRule="auto"/>
        <w:ind w:left="360" w:firstLine="907"/>
        <w:rPr>
          <w:rFonts w:ascii="Times New Roman" w:hAnsi="Times New Roman" w:cs="Times New Roman"/>
        </w:rPr>
      </w:pPr>
      <w:r w:rsidRPr="00D72624">
        <w:rPr>
          <w:rFonts w:ascii="Times New Roman" w:hAnsi="Times New Roman" w:cs="Times New Roman"/>
        </w:rPr>
        <w:t>Projektas „Mokinių pasiekimų ir pažangos vertinimo ugdymo procese stiprinimas“, projekto Nr. 10-062-P-0001 (toliau – Projektas), įgyvendinamas pagal 2024 m. liepos 31 d. tarp Centrinės projektų valdymo agentūros ir Nacionalinės švietimo agentūros sudarytą sutartį Nr. PPS 240. Pagrindiniai Projekto tikslai apima:</w:t>
      </w:r>
      <w:r>
        <w:rPr>
          <w:rFonts w:ascii="Times New Roman" w:hAnsi="Times New Roman" w:cs="Times New Roman"/>
        </w:rPr>
        <w:t xml:space="preserve"> </w:t>
      </w:r>
      <w:r w:rsidRPr="00D72624">
        <w:rPr>
          <w:rFonts w:ascii="Times New Roman" w:hAnsi="Times New Roman" w:cs="Times New Roman"/>
        </w:rPr>
        <w:t>inovatyvių formuojamojo vertinimo priemonių praktinis išbandymas ugdymo procese</w:t>
      </w:r>
      <w:r>
        <w:rPr>
          <w:rFonts w:ascii="Times New Roman" w:hAnsi="Times New Roman" w:cs="Times New Roman"/>
        </w:rPr>
        <w:t>,</w:t>
      </w:r>
      <w:r w:rsidRPr="00D72624">
        <w:rPr>
          <w:rFonts w:ascii="Times New Roman" w:hAnsi="Times New Roman" w:cs="Times New Roman"/>
        </w:rPr>
        <w:t xml:space="preserve"> kokybės parametrų integravimas į apibendrinamojo vertinimo procedūras</w:t>
      </w:r>
      <w:r>
        <w:rPr>
          <w:rFonts w:ascii="Times New Roman" w:hAnsi="Times New Roman" w:cs="Times New Roman"/>
        </w:rPr>
        <w:t xml:space="preserve">, </w:t>
      </w:r>
      <w:r w:rsidRPr="00D72624">
        <w:rPr>
          <w:rFonts w:ascii="Times New Roman" w:hAnsi="Times New Roman" w:cs="Times New Roman"/>
        </w:rPr>
        <w:t>tarptautinis bendradarbiavimas kuriant vertinimo užduotis, grindžiamas testų teorijos metodologija.</w:t>
      </w:r>
      <w:r>
        <w:rPr>
          <w:rFonts w:ascii="Times New Roman" w:hAnsi="Times New Roman" w:cs="Times New Roman"/>
        </w:rPr>
        <w:t xml:space="preserve"> </w:t>
      </w:r>
      <w:r w:rsidRPr="00D72624">
        <w:rPr>
          <w:rFonts w:ascii="Times New Roman" w:hAnsi="Times New Roman" w:cs="Times New Roman"/>
        </w:rPr>
        <w:t>Ypatingas dėmesys skiriamas:</w:t>
      </w:r>
      <w:r>
        <w:rPr>
          <w:rFonts w:ascii="Times New Roman" w:hAnsi="Times New Roman" w:cs="Times New Roman"/>
        </w:rPr>
        <w:t xml:space="preserve"> </w:t>
      </w:r>
      <w:r w:rsidRPr="00D72624">
        <w:rPr>
          <w:rFonts w:ascii="Times New Roman" w:hAnsi="Times New Roman" w:cs="Times New Roman"/>
        </w:rPr>
        <w:t>formuojamojo ir apibendrinamojo vertinimo suderinamumo užtikrinimui</w:t>
      </w:r>
      <w:r>
        <w:rPr>
          <w:rFonts w:ascii="Times New Roman" w:hAnsi="Times New Roman" w:cs="Times New Roman"/>
        </w:rPr>
        <w:t xml:space="preserve">, </w:t>
      </w:r>
      <w:r w:rsidRPr="00D72624">
        <w:rPr>
          <w:rFonts w:ascii="Times New Roman" w:hAnsi="Times New Roman" w:cs="Times New Roman"/>
        </w:rPr>
        <w:t>apibendrinamojo vertinimo duomenų panaudojimo formuojamojo vertinimo tikslams stiprinimui</w:t>
      </w:r>
      <w:r>
        <w:rPr>
          <w:rFonts w:ascii="Times New Roman" w:hAnsi="Times New Roman" w:cs="Times New Roman"/>
        </w:rPr>
        <w:t xml:space="preserve">, </w:t>
      </w:r>
      <w:r w:rsidRPr="00D72624">
        <w:rPr>
          <w:rFonts w:ascii="Times New Roman" w:hAnsi="Times New Roman" w:cs="Times New Roman"/>
        </w:rPr>
        <w:t>formuojamojo vertinimo stiprinimui kaip pagrindinei priemonei, gerinančiai mokinių pasiekimus ir mokymosi pažangą.</w:t>
      </w:r>
    </w:p>
    <w:p w14:paraId="58A697A7" w14:textId="77777777" w:rsidR="00D72624" w:rsidRPr="00D72624" w:rsidRDefault="00D72624" w:rsidP="00D72624">
      <w:pPr>
        <w:spacing w:after="0" w:line="240" w:lineRule="auto"/>
        <w:ind w:left="360" w:firstLine="907"/>
        <w:rPr>
          <w:rFonts w:ascii="Times New Roman" w:hAnsi="Times New Roman" w:cs="Times New Roman"/>
        </w:rPr>
      </w:pPr>
      <w:r w:rsidRPr="00D72624">
        <w:rPr>
          <w:rFonts w:ascii="Times New Roman" w:hAnsi="Times New Roman" w:cs="Times New Roman"/>
        </w:rPr>
        <w:t>Pagal Projekto veiklą Nr. 1.1 bus parengtas formuojamojo vertinimo metodinės medžiagos rinkinys (toliau – Rinkinys) ir išbandytas PO atrinktose mokyklose.</w:t>
      </w:r>
    </w:p>
    <w:p w14:paraId="7EDD8670" w14:textId="77777777" w:rsidR="00D72624" w:rsidRDefault="00D72624" w:rsidP="00D72624">
      <w:pPr>
        <w:spacing w:after="0"/>
        <w:ind w:left="360" w:firstLine="907"/>
        <w:rPr>
          <w:rFonts w:ascii="Times New Roman" w:hAnsi="Times New Roman" w:cs="Times New Roman"/>
        </w:rPr>
      </w:pPr>
      <w:r w:rsidRPr="00D72624">
        <w:rPr>
          <w:rFonts w:ascii="Times New Roman" w:hAnsi="Times New Roman" w:cs="Times New Roman"/>
        </w:rPr>
        <w:t>1.3. Projekto veiklos tikslinę grupę sudaro mokytojai ir mokyklų administracijos atstovai, dirbantys valstybinėse ir savivaldybių mokyklose, įgyvendinančiose bendrojo ugdymo programas.</w:t>
      </w:r>
    </w:p>
    <w:p w14:paraId="48048041" w14:textId="77777777" w:rsidR="00D72624" w:rsidRDefault="00D72624" w:rsidP="00D72624">
      <w:pPr>
        <w:spacing w:after="0"/>
        <w:ind w:left="360" w:firstLine="907"/>
        <w:rPr>
          <w:rFonts w:ascii="Times New Roman" w:hAnsi="Times New Roman" w:cs="Times New Roman"/>
        </w:rPr>
      </w:pPr>
      <w:r w:rsidRPr="00F25539">
        <w:rPr>
          <w:rFonts w:ascii="Times New Roman" w:hAnsi="Times New Roman" w:cs="Times New Roman"/>
        </w:rPr>
        <w:t>1.4. Pirkimas neskaidomas į dalis.</w:t>
      </w:r>
    </w:p>
    <w:p w14:paraId="51F6F784" w14:textId="44A6A493" w:rsidR="00D72624" w:rsidRPr="00F25539" w:rsidRDefault="00D72624" w:rsidP="00D72624">
      <w:pPr>
        <w:spacing w:after="0" w:line="240" w:lineRule="auto"/>
        <w:ind w:left="360" w:firstLine="907"/>
        <w:rPr>
          <w:rFonts w:ascii="Times New Roman" w:hAnsi="Times New Roman" w:cs="Times New Roman"/>
        </w:rPr>
      </w:pPr>
      <w:r w:rsidRPr="00F25539">
        <w:rPr>
          <w:rFonts w:ascii="Times New Roman" w:hAnsi="Times New Roman" w:cs="Times New Roman"/>
        </w:rPr>
        <w:t xml:space="preserve">1.5. </w:t>
      </w:r>
      <w:r w:rsidRPr="00F25539">
        <w:rPr>
          <w:rFonts w:ascii="Times New Roman" w:eastAsia="Times New Roman" w:hAnsi="Times New Roman" w:cs="Times New Roman"/>
        </w:rPr>
        <w:t>Paslaugos turi būti suteiktos per 20 (dvidešimt) mėnesių nuo sutarties pasirašymo dienos.</w:t>
      </w:r>
    </w:p>
    <w:p w14:paraId="0A826796" w14:textId="77777777" w:rsidR="00D72624" w:rsidRPr="00F25539" w:rsidRDefault="00D72624" w:rsidP="00D72624">
      <w:pPr>
        <w:tabs>
          <w:tab w:val="left" w:pos="-40"/>
          <w:tab w:val="left" w:pos="385"/>
        </w:tabs>
        <w:spacing w:after="0" w:line="240" w:lineRule="auto"/>
        <w:rPr>
          <w:rFonts w:ascii="Times New Roman" w:hAnsi="Times New Roman" w:cs="Times New Roman"/>
        </w:rPr>
      </w:pPr>
    </w:p>
    <w:p w14:paraId="47CC96CB" w14:textId="4C8E3E7C" w:rsidR="00D72624" w:rsidRDefault="00D72624" w:rsidP="00D72624">
      <w:pPr>
        <w:pStyle w:val="Sraopastraipa"/>
        <w:numPr>
          <w:ilvl w:val="0"/>
          <w:numId w:val="11"/>
        </w:numPr>
        <w:tabs>
          <w:tab w:val="left" w:pos="-40"/>
          <w:tab w:val="left" w:pos="385"/>
          <w:tab w:val="left" w:pos="3119"/>
          <w:tab w:val="left" w:pos="3402"/>
          <w:tab w:val="left" w:pos="3544"/>
        </w:tabs>
        <w:ind w:left="709" w:hanging="709"/>
        <w:jc w:val="center"/>
        <w:rPr>
          <w:rFonts w:ascii="Times New Roman" w:hAnsi="Times New Roman" w:cs="Times New Roman"/>
        </w:rPr>
      </w:pPr>
      <w:r w:rsidRPr="00D72624">
        <w:rPr>
          <w:rFonts w:ascii="Times New Roman" w:hAnsi="Times New Roman" w:cs="Times New Roman"/>
        </w:rPr>
        <w:t>BENDRIEJI REIKALAVIMAI</w:t>
      </w:r>
    </w:p>
    <w:p w14:paraId="52707F01" w14:textId="77777777" w:rsidR="00D72624" w:rsidRPr="00D72624" w:rsidRDefault="00D72624" w:rsidP="00D72624">
      <w:pPr>
        <w:pStyle w:val="Sraopastraipa"/>
        <w:tabs>
          <w:tab w:val="left" w:pos="-40"/>
          <w:tab w:val="left" w:pos="385"/>
          <w:tab w:val="left" w:pos="3119"/>
          <w:tab w:val="left" w:pos="3402"/>
          <w:tab w:val="left" w:pos="3544"/>
        </w:tabs>
        <w:spacing w:after="0" w:line="240" w:lineRule="auto"/>
        <w:ind w:left="709"/>
        <w:rPr>
          <w:rFonts w:ascii="Times New Roman" w:hAnsi="Times New Roman" w:cs="Times New Roman"/>
        </w:rPr>
      </w:pPr>
    </w:p>
    <w:p w14:paraId="1BDE529B" w14:textId="379429C0" w:rsidR="00D72624" w:rsidRPr="00F25539" w:rsidRDefault="00D72624" w:rsidP="00D72624">
      <w:pPr>
        <w:spacing w:after="0" w:line="240" w:lineRule="auto"/>
        <w:ind w:firstLine="907"/>
        <w:rPr>
          <w:rFonts w:ascii="Times New Roman" w:hAnsi="Times New Roman" w:cs="Times New Roman"/>
        </w:rPr>
      </w:pPr>
      <w:r w:rsidRPr="00F25539">
        <w:rPr>
          <w:rFonts w:ascii="Times New Roman" w:hAnsi="Times New Roman" w:cs="Times New Roman"/>
        </w:rPr>
        <w:t>2.1. Pirkimo tikslas – NŠA įsigys formuojamojo vertinimo platformą, skirtą šešių mėnesių</w:t>
      </w:r>
      <w:r w:rsidRPr="00D72624">
        <w:rPr>
          <w:rFonts w:ascii="Times New Roman" w:hAnsi="Times New Roman" w:cs="Times New Roman"/>
        </w:rPr>
        <w:t xml:space="preserve"> </w:t>
      </w:r>
      <w:r w:rsidRPr="00F25539">
        <w:rPr>
          <w:rFonts w:ascii="Times New Roman" w:hAnsi="Times New Roman" w:cs="Times New Roman"/>
        </w:rPr>
        <w:t>prototipo išbandymui (toliau – Išbandymas) vykdyti.</w:t>
      </w:r>
    </w:p>
    <w:p w14:paraId="0BD1AC0B" w14:textId="4F5600BE" w:rsidR="00D72624" w:rsidRPr="00F25539" w:rsidRDefault="00D72624" w:rsidP="00D72624">
      <w:pPr>
        <w:spacing w:after="0" w:line="240" w:lineRule="auto"/>
        <w:ind w:firstLine="907"/>
        <w:rPr>
          <w:rFonts w:ascii="Times New Roman" w:hAnsi="Times New Roman" w:cs="Times New Roman"/>
        </w:rPr>
      </w:pPr>
      <w:r w:rsidRPr="00F25539">
        <w:rPr>
          <w:rFonts w:ascii="Times New Roman" w:hAnsi="Times New Roman" w:cs="Times New Roman"/>
        </w:rPr>
        <w:t>Pagal šį pirkimą teikiamos paslaugos turi užtikrinti pagerintą vertinimo ir įvertinimo kokybės kontrolę, atitikti informacijos saugumo ir konfidencialumo reikalavimus, sumažinti laiką, reikalingą vertinimo rezultatams pateikti, pasitelkiant struktūruotus profesinio konsensuso procesus.</w:t>
      </w:r>
      <w:r>
        <w:rPr>
          <w:rFonts w:ascii="Times New Roman" w:hAnsi="Times New Roman" w:cs="Times New Roman"/>
        </w:rPr>
        <w:t xml:space="preserve"> </w:t>
      </w:r>
      <w:r w:rsidRPr="00F25539">
        <w:rPr>
          <w:rFonts w:ascii="Times New Roman" w:hAnsi="Times New Roman" w:cs="Times New Roman"/>
        </w:rPr>
        <w:t>Išbandymo tikslas – sudaryti sąlygas pereiti nuo pradinio patvirtintų vertinimo etalonų kūrimo prie (pagal poreikį) formuojamojo vertinimo modelio, leidžiančio mokytojams lyginti mokinių darbus su nustatytais nacionaliniais standartais.</w:t>
      </w:r>
    </w:p>
    <w:p w14:paraId="05C1D5C7" w14:textId="3DA951D1" w:rsidR="00D72624" w:rsidRPr="00F25539" w:rsidRDefault="00D72624" w:rsidP="00D72624">
      <w:pPr>
        <w:spacing w:after="0" w:line="240" w:lineRule="auto"/>
        <w:ind w:firstLine="907"/>
        <w:rPr>
          <w:rFonts w:ascii="Times New Roman" w:hAnsi="Times New Roman" w:cs="Times New Roman"/>
        </w:rPr>
      </w:pPr>
      <w:r w:rsidRPr="00F25539">
        <w:rPr>
          <w:rFonts w:ascii="Times New Roman" w:hAnsi="Times New Roman" w:cs="Times New Roman"/>
        </w:rPr>
        <w:t xml:space="preserve">2.2. Išbandymas turi būti vykdomas </w:t>
      </w:r>
      <w:r>
        <w:rPr>
          <w:rFonts w:ascii="Times New Roman" w:hAnsi="Times New Roman" w:cs="Times New Roman"/>
        </w:rPr>
        <w:t>6 (</w:t>
      </w:r>
      <w:r w:rsidRPr="00F25539">
        <w:rPr>
          <w:rFonts w:ascii="Times New Roman" w:hAnsi="Times New Roman" w:cs="Times New Roman"/>
        </w:rPr>
        <w:t>šeši</w:t>
      </w:r>
      <w:r>
        <w:rPr>
          <w:rFonts w:ascii="Times New Roman" w:hAnsi="Times New Roman" w:cs="Times New Roman"/>
        </w:rPr>
        <w:t>s</w:t>
      </w:r>
      <w:r w:rsidRPr="00F25539">
        <w:rPr>
          <w:rFonts w:ascii="Times New Roman" w:hAnsi="Times New Roman" w:cs="Times New Roman"/>
        </w:rPr>
        <w:t>) mėnesi</w:t>
      </w:r>
      <w:r>
        <w:rPr>
          <w:rFonts w:ascii="Times New Roman" w:hAnsi="Times New Roman" w:cs="Times New Roman"/>
        </w:rPr>
        <w:t>us.</w:t>
      </w:r>
    </w:p>
    <w:p w14:paraId="7832D41C" w14:textId="74AD4616" w:rsidR="00D72624" w:rsidRPr="00F25539" w:rsidRDefault="00D72624" w:rsidP="00D72624">
      <w:pPr>
        <w:spacing w:after="0" w:line="240" w:lineRule="auto"/>
        <w:ind w:firstLine="907"/>
        <w:rPr>
          <w:rFonts w:ascii="Times New Roman" w:hAnsi="Times New Roman" w:cs="Times New Roman"/>
        </w:rPr>
      </w:pPr>
      <w:r w:rsidRPr="00F25539">
        <w:rPr>
          <w:rFonts w:ascii="Times New Roman" w:hAnsi="Times New Roman" w:cs="Times New Roman"/>
        </w:rPr>
        <w:t xml:space="preserve">2.3. Išbandymas turi būti įgyvendinamas 40 (keturiasdešimtyje) bendrojo ugdymo mokyklų, įtraukiant </w:t>
      </w:r>
      <w:r>
        <w:rPr>
          <w:rFonts w:ascii="Times New Roman" w:hAnsi="Times New Roman" w:cs="Times New Roman"/>
        </w:rPr>
        <w:t>ne daugiau kaip</w:t>
      </w:r>
      <w:r w:rsidRPr="00F25539">
        <w:rPr>
          <w:rFonts w:ascii="Times New Roman" w:hAnsi="Times New Roman" w:cs="Times New Roman"/>
        </w:rPr>
        <w:t xml:space="preserve"> 500 mokytojų, veikiančių kaip platformos naudotojai.</w:t>
      </w:r>
    </w:p>
    <w:p w14:paraId="51002571" w14:textId="09449BCA" w:rsidR="00D72624" w:rsidRPr="00F25539" w:rsidRDefault="00D72624" w:rsidP="00D72624">
      <w:pPr>
        <w:spacing w:after="0" w:line="240" w:lineRule="auto"/>
        <w:ind w:firstLine="907"/>
        <w:jc w:val="both"/>
        <w:rPr>
          <w:rFonts w:ascii="Times New Roman" w:hAnsi="Times New Roman" w:cs="Times New Roman"/>
        </w:rPr>
      </w:pPr>
      <w:r w:rsidRPr="00F25539">
        <w:rPr>
          <w:rFonts w:ascii="Times New Roman" w:hAnsi="Times New Roman" w:cs="Times New Roman"/>
        </w:rPr>
        <w:t xml:space="preserve">2.4.  </w:t>
      </w:r>
      <w:r w:rsidR="001716C3">
        <w:rPr>
          <w:rFonts w:ascii="Times New Roman" w:hAnsi="Times New Roman" w:cs="Times New Roman"/>
        </w:rPr>
        <w:t>Pirkimas turi apimti l</w:t>
      </w:r>
      <w:r w:rsidRPr="00F25539">
        <w:rPr>
          <w:rFonts w:ascii="Times New Roman" w:hAnsi="Times New Roman" w:cs="Times New Roman"/>
        </w:rPr>
        <w:t>icencijos pratęsim</w:t>
      </w:r>
      <w:r w:rsidR="001716C3">
        <w:rPr>
          <w:rFonts w:ascii="Times New Roman" w:hAnsi="Times New Roman" w:cs="Times New Roman"/>
        </w:rPr>
        <w:t>ą</w:t>
      </w:r>
      <w:r w:rsidRPr="00F25539">
        <w:rPr>
          <w:rFonts w:ascii="Times New Roman" w:hAnsi="Times New Roman" w:cs="Times New Roman"/>
        </w:rPr>
        <w:t xml:space="preserve"> po Išbandymo.</w:t>
      </w:r>
    </w:p>
    <w:p w14:paraId="0DA92FDA" w14:textId="79354159" w:rsidR="00D72624" w:rsidRPr="00F25539" w:rsidRDefault="00D72624" w:rsidP="00D72624">
      <w:pPr>
        <w:spacing w:after="0" w:line="240" w:lineRule="auto"/>
        <w:ind w:firstLine="907"/>
        <w:rPr>
          <w:rFonts w:ascii="Times New Roman" w:hAnsi="Times New Roman" w:cs="Times New Roman"/>
        </w:rPr>
      </w:pPr>
      <w:r w:rsidRPr="00F25539">
        <w:rPr>
          <w:rFonts w:ascii="Times New Roman" w:hAnsi="Times New Roman" w:cs="Times New Roman"/>
        </w:rPr>
        <w:t>Užbaigus Išbandymo laikotarpį, privalom</w:t>
      </w:r>
      <w:r w:rsidR="001716C3">
        <w:rPr>
          <w:rFonts w:ascii="Times New Roman" w:hAnsi="Times New Roman" w:cs="Times New Roman"/>
        </w:rPr>
        <w:t>a pratęsti 6 (</w:t>
      </w:r>
      <w:r w:rsidRPr="00F25539">
        <w:rPr>
          <w:rFonts w:ascii="Times New Roman" w:hAnsi="Times New Roman" w:cs="Times New Roman"/>
        </w:rPr>
        <w:t>šeš</w:t>
      </w:r>
      <w:r w:rsidR="001716C3">
        <w:rPr>
          <w:rFonts w:ascii="Times New Roman" w:hAnsi="Times New Roman" w:cs="Times New Roman"/>
        </w:rPr>
        <w:t>is)</w:t>
      </w:r>
      <w:r w:rsidRPr="00F25539">
        <w:rPr>
          <w:rFonts w:ascii="Times New Roman" w:hAnsi="Times New Roman" w:cs="Times New Roman"/>
        </w:rPr>
        <w:t xml:space="preserve"> mėnesi</w:t>
      </w:r>
      <w:r w:rsidR="001716C3">
        <w:rPr>
          <w:rFonts w:ascii="Times New Roman" w:hAnsi="Times New Roman" w:cs="Times New Roman"/>
        </w:rPr>
        <w:t>us</w:t>
      </w:r>
      <w:r w:rsidRPr="00F25539">
        <w:rPr>
          <w:rFonts w:ascii="Times New Roman" w:hAnsi="Times New Roman" w:cs="Times New Roman"/>
        </w:rPr>
        <w:t xml:space="preserve"> licencijos</w:t>
      </w:r>
      <w:r w:rsidR="001716C3">
        <w:rPr>
          <w:rFonts w:ascii="Times New Roman" w:hAnsi="Times New Roman" w:cs="Times New Roman"/>
        </w:rPr>
        <w:t xml:space="preserve"> </w:t>
      </w:r>
      <w:r w:rsidRPr="00F25539">
        <w:rPr>
          <w:rFonts w:ascii="Times New Roman" w:hAnsi="Times New Roman" w:cs="Times New Roman"/>
        </w:rPr>
        <w:t xml:space="preserve">laikotarpį, leidžiantį dalyvaujančioms </w:t>
      </w:r>
      <w:r w:rsidR="001716C3">
        <w:rPr>
          <w:rFonts w:ascii="Times New Roman" w:hAnsi="Times New Roman" w:cs="Times New Roman"/>
        </w:rPr>
        <w:t xml:space="preserve">Išbandyme </w:t>
      </w:r>
      <w:r w:rsidRPr="00F25539">
        <w:rPr>
          <w:rFonts w:ascii="Times New Roman" w:hAnsi="Times New Roman" w:cs="Times New Roman"/>
        </w:rPr>
        <w:t>mokykloms toliau savarankiškai naudotis platforma vykdomo nuolatinio formuojamojo vertinimo tikslais.</w:t>
      </w:r>
    </w:p>
    <w:p w14:paraId="2E9D82D5" w14:textId="77777777" w:rsidR="00D72624" w:rsidRPr="00F25539" w:rsidRDefault="00D72624" w:rsidP="00D72624">
      <w:pPr>
        <w:spacing w:after="0" w:line="240" w:lineRule="auto"/>
        <w:ind w:firstLine="907"/>
        <w:rPr>
          <w:rFonts w:ascii="Times New Roman" w:hAnsi="Times New Roman" w:cs="Times New Roman"/>
        </w:rPr>
      </w:pPr>
      <w:r w:rsidRPr="00F25539">
        <w:rPr>
          <w:rFonts w:ascii="Times New Roman" w:hAnsi="Times New Roman" w:cs="Times New Roman"/>
        </w:rPr>
        <w:t>Licencijų apimtis ir funkcionalumas pratęsimo laikotarpiu turi būti lygiaverčiai tiems, kurie buvo suteikti Išbandymo laikotarpiu, išskyrus atvejus, kai Šalys raštu susitaria kitaip.</w:t>
      </w:r>
    </w:p>
    <w:p w14:paraId="6BB0E78A" w14:textId="77777777" w:rsidR="00D72624" w:rsidRPr="00F25539" w:rsidRDefault="00D72624" w:rsidP="00D72624">
      <w:pPr>
        <w:tabs>
          <w:tab w:val="left" w:pos="-40"/>
          <w:tab w:val="left" w:pos="385"/>
        </w:tabs>
        <w:spacing w:after="0" w:line="240" w:lineRule="auto"/>
        <w:rPr>
          <w:rFonts w:ascii="Times New Roman" w:hAnsi="Times New Roman" w:cs="Times New Roman"/>
        </w:rPr>
      </w:pPr>
    </w:p>
    <w:p w14:paraId="7CAF81E1" w14:textId="77777777" w:rsidR="00D72624" w:rsidRPr="00F25539" w:rsidRDefault="00D72624" w:rsidP="00D72624">
      <w:pPr>
        <w:tabs>
          <w:tab w:val="left" w:pos="-40"/>
          <w:tab w:val="left" w:pos="385"/>
        </w:tabs>
        <w:spacing w:after="0" w:line="240" w:lineRule="auto"/>
        <w:rPr>
          <w:rFonts w:ascii="Times New Roman" w:hAnsi="Times New Roman" w:cs="Times New Roman"/>
        </w:rPr>
      </w:pPr>
    </w:p>
    <w:p w14:paraId="7416928A" w14:textId="77777777" w:rsidR="00D72624" w:rsidRDefault="00D72624" w:rsidP="001716C3">
      <w:pPr>
        <w:pStyle w:val="Sraopastraipa"/>
        <w:numPr>
          <w:ilvl w:val="0"/>
          <w:numId w:val="11"/>
        </w:numPr>
        <w:tabs>
          <w:tab w:val="left" w:pos="-40"/>
          <w:tab w:val="left" w:pos="385"/>
        </w:tabs>
        <w:ind w:left="747" w:hanging="747"/>
        <w:jc w:val="center"/>
        <w:rPr>
          <w:rFonts w:ascii="Times New Roman" w:hAnsi="Times New Roman" w:cs="Times New Roman"/>
        </w:rPr>
      </w:pPr>
      <w:r w:rsidRPr="00F25539">
        <w:rPr>
          <w:rFonts w:ascii="Times New Roman" w:hAnsi="Times New Roman" w:cs="Times New Roman"/>
        </w:rPr>
        <w:t>SPECIALIEJI REIKALAVIMAI</w:t>
      </w:r>
    </w:p>
    <w:p w14:paraId="338193CF" w14:textId="77777777" w:rsidR="001716C3" w:rsidRPr="00F25539" w:rsidRDefault="001716C3" w:rsidP="001716C3">
      <w:pPr>
        <w:pStyle w:val="Sraopastraipa"/>
        <w:tabs>
          <w:tab w:val="left" w:pos="-40"/>
          <w:tab w:val="left" w:pos="385"/>
        </w:tabs>
        <w:spacing w:after="0" w:line="240" w:lineRule="auto"/>
        <w:ind w:left="747"/>
        <w:rPr>
          <w:rFonts w:ascii="Times New Roman" w:hAnsi="Times New Roman" w:cs="Times New Roman"/>
        </w:rPr>
      </w:pPr>
    </w:p>
    <w:p w14:paraId="338A0E8B" w14:textId="13D34899"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xml:space="preserve">3.1. Pirkimas apima debesijos pagrindu veikiančios formuojamojo vertinimo platformos ir su ja susijusių profesinių paslaugų teikimą, reikalingą </w:t>
      </w:r>
      <w:r w:rsidR="001716C3">
        <w:rPr>
          <w:rFonts w:ascii="Times New Roman" w:hAnsi="Times New Roman" w:cs="Times New Roman"/>
        </w:rPr>
        <w:t>6 (</w:t>
      </w:r>
      <w:r w:rsidRPr="00F25539">
        <w:rPr>
          <w:rFonts w:ascii="Times New Roman" w:hAnsi="Times New Roman" w:cs="Times New Roman"/>
        </w:rPr>
        <w:t>šešių</w:t>
      </w:r>
      <w:r w:rsidR="001716C3">
        <w:rPr>
          <w:rFonts w:ascii="Times New Roman" w:hAnsi="Times New Roman" w:cs="Times New Roman"/>
        </w:rPr>
        <w:t>)</w:t>
      </w:r>
      <w:r w:rsidRPr="00F25539">
        <w:rPr>
          <w:rFonts w:ascii="Times New Roman" w:hAnsi="Times New Roman" w:cs="Times New Roman"/>
        </w:rPr>
        <w:t xml:space="preserve"> mėnesių Išbandymo laikotarpiui įgyvendinti ir vykdyti, taip pat vėlesniam privalomam </w:t>
      </w:r>
      <w:r w:rsidR="001716C3">
        <w:rPr>
          <w:rFonts w:ascii="Times New Roman" w:hAnsi="Times New Roman" w:cs="Times New Roman"/>
        </w:rPr>
        <w:t xml:space="preserve">6 (šešių) mėnesių </w:t>
      </w:r>
      <w:r w:rsidRPr="00F25539">
        <w:rPr>
          <w:rFonts w:ascii="Times New Roman" w:hAnsi="Times New Roman" w:cs="Times New Roman"/>
        </w:rPr>
        <w:t>licencijos pratęsimo laikotarpiui atrinktoms mokykloms užtikrinti.</w:t>
      </w:r>
      <w:r w:rsidR="001716C3">
        <w:rPr>
          <w:rFonts w:ascii="Times New Roman" w:hAnsi="Times New Roman" w:cs="Times New Roman"/>
        </w:rPr>
        <w:t xml:space="preserve"> </w:t>
      </w:r>
      <w:r w:rsidRPr="00F25539">
        <w:rPr>
          <w:rFonts w:ascii="Times New Roman" w:hAnsi="Times New Roman" w:cs="Times New Roman"/>
        </w:rPr>
        <w:t>Paslaugos apima platformos prieigą, licencijavimą, individualiai pritaikytą vystymą ir profesines konsultacines paslaugas</w:t>
      </w:r>
      <w:r w:rsidR="001716C3">
        <w:rPr>
          <w:rFonts w:ascii="Times New Roman" w:hAnsi="Times New Roman" w:cs="Times New Roman"/>
        </w:rPr>
        <w:t>.</w:t>
      </w:r>
    </w:p>
    <w:p w14:paraId="525CAF94" w14:textId="4F8CB259"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3.2. Paslaugų vienetai ir kiekiai</w:t>
      </w:r>
      <w:r w:rsidR="001716C3">
        <w:rPr>
          <w:rFonts w:ascii="Times New Roman" w:hAnsi="Times New Roman" w:cs="Times New Roman"/>
        </w:rPr>
        <w:t>:</w:t>
      </w:r>
    </w:p>
    <w:p w14:paraId="48C8ACBD"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3.2.1. Išbandymo licencijų paketo kiekis – 1 paslaugų paketas.</w:t>
      </w:r>
    </w:p>
    <w:p w14:paraId="55979EAF" w14:textId="4F66E5E6"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Tiekėjas privalo pateikti Išbandymo licencijų paketą, apimantį 1 (vieną) licenciją NŠA (centrinei administracijai) ir 40 (keturiasdešimt) licencijų pavienėms mokykloms,</w:t>
      </w:r>
      <w:r w:rsidR="001716C3">
        <w:rPr>
          <w:rFonts w:ascii="Times New Roman" w:hAnsi="Times New Roman" w:cs="Times New Roman"/>
        </w:rPr>
        <w:t xml:space="preserve"> </w:t>
      </w:r>
      <w:r w:rsidRPr="00F25539">
        <w:rPr>
          <w:rFonts w:ascii="Times New Roman" w:hAnsi="Times New Roman" w:cs="Times New Roman"/>
        </w:rPr>
        <w:t>dalyvaujančioms Išbandyme.</w:t>
      </w:r>
      <w:r w:rsidR="001716C3">
        <w:rPr>
          <w:rFonts w:ascii="Times New Roman" w:hAnsi="Times New Roman" w:cs="Times New Roman"/>
        </w:rPr>
        <w:t xml:space="preserve"> </w:t>
      </w:r>
      <w:r w:rsidRPr="00F25539">
        <w:rPr>
          <w:rFonts w:ascii="Times New Roman" w:hAnsi="Times New Roman" w:cs="Times New Roman"/>
        </w:rPr>
        <w:t>Licencijos turi suteikti visišką prieigą prie visų formuojamojo vertinimo platformos funkcinių komponentų, kaip apibrėžta šioje techninėje specifikacijoje, įskaitant adaptyvųjį lyginamąjį vertinimą (Adaptive Comparative Judgement, ACJ), lyginamojo vertinimo funkcijas („Rulers“), anonimiškumo ir ataskaitų teikimo įrankius, visam Išbandymo laikotarpiui.</w:t>
      </w:r>
    </w:p>
    <w:p w14:paraId="4AC629B2" w14:textId="2EE1C3B0"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3.2.2. Licencijų pratęsimo paketo kiekis – 1 paslaugų paketas. Tiekėjas privalo suteikti privalomą 6 (šešių) mėnesių licencijos pratęsimą toms pačioms 40 (keturiasdešimčiai) mokyklų, sudarant galimybę joms po Išbandymo laikotarpio toliau savarankiškai naudotis platforma formuojamojo vertinimo tikslais.</w:t>
      </w:r>
      <w:r w:rsidR="001716C3">
        <w:rPr>
          <w:rFonts w:ascii="Times New Roman" w:hAnsi="Times New Roman" w:cs="Times New Roman"/>
        </w:rPr>
        <w:t xml:space="preserve"> </w:t>
      </w:r>
      <w:r w:rsidRPr="00F25539">
        <w:rPr>
          <w:rFonts w:ascii="Times New Roman" w:hAnsi="Times New Roman" w:cs="Times New Roman"/>
        </w:rPr>
        <w:t>Pratęstų licencijų apimtis ir funkcionalumas turi būti lygiaverčiai tiems, kurie buvo suteikti Išbandymo laikotarpiu, išskyrus atvejus, kai Šalys raštu susitaria kitaip.</w:t>
      </w:r>
    </w:p>
    <w:p w14:paraId="2F3A7B8A" w14:textId="7BF22C73"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xml:space="preserve">3.2.3. Individualaus vystymo paslaugų kiekis – </w:t>
      </w:r>
      <w:r w:rsidR="001716C3">
        <w:rPr>
          <w:rFonts w:ascii="Times New Roman" w:hAnsi="Times New Roman" w:cs="Times New Roman"/>
        </w:rPr>
        <w:t>ne daugiau kaip</w:t>
      </w:r>
      <w:r w:rsidRPr="00F25539">
        <w:rPr>
          <w:rFonts w:ascii="Times New Roman" w:hAnsi="Times New Roman" w:cs="Times New Roman"/>
        </w:rPr>
        <w:t xml:space="preserve"> 200 (d</w:t>
      </w:r>
      <w:r w:rsidR="001716C3">
        <w:rPr>
          <w:rFonts w:ascii="Times New Roman" w:hAnsi="Times New Roman" w:cs="Times New Roman"/>
        </w:rPr>
        <w:t>u</w:t>
      </w:r>
      <w:r w:rsidRPr="00F25539">
        <w:rPr>
          <w:rFonts w:ascii="Times New Roman" w:hAnsi="Times New Roman" w:cs="Times New Roman"/>
        </w:rPr>
        <w:t xml:space="preserve"> šimt</w:t>
      </w:r>
      <w:r w:rsidR="001716C3">
        <w:rPr>
          <w:rFonts w:ascii="Times New Roman" w:hAnsi="Times New Roman" w:cs="Times New Roman"/>
        </w:rPr>
        <w:t>ai</w:t>
      </w:r>
      <w:r w:rsidRPr="00F25539">
        <w:rPr>
          <w:rFonts w:ascii="Times New Roman" w:hAnsi="Times New Roman" w:cs="Times New Roman"/>
        </w:rPr>
        <w:t>) darbo valandų. Tiekėjas privalo teikti individualaus funkcionalumo kūrimo paslaugas, skirtas platformos funkcionalumui pritaikyti arba išplėsti pagal specifinius reikalavimus, nustatomus Išbandymo laikotarpiu.</w:t>
      </w:r>
    </w:p>
    <w:p w14:paraId="67BAA7D2" w14:textId="77777777" w:rsidR="001716C3" w:rsidRDefault="001716C3" w:rsidP="001716C3">
      <w:pPr>
        <w:spacing w:after="0"/>
        <w:ind w:left="38" w:firstLine="907"/>
        <w:rPr>
          <w:rFonts w:ascii="Times New Roman" w:hAnsi="Times New Roman" w:cs="Times New Roman"/>
        </w:rPr>
      </w:pPr>
      <w:r>
        <w:rPr>
          <w:rFonts w:ascii="Times New Roman" w:hAnsi="Times New Roman" w:cs="Times New Roman"/>
        </w:rPr>
        <w:t xml:space="preserve">3.2.4. </w:t>
      </w:r>
      <w:r w:rsidR="00D72624" w:rsidRPr="00F25539">
        <w:rPr>
          <w:rFonts w:ascii="Times New Roman" w:hAnsi="Times New Roman" w:cs="Times New Roman"/>
        </w:rPr>
        <w:t>Individualus vystymas:</w:t>
      </w:r>
    </w:p>
    <w:p w14:paraId="212A15DD" w14:textId="77777777" w:rsidR="001716C3" w:rsidRDefault="00D72624" w:rsidP="001716C3">
      <w:pPr>
        <w:spacing w:after="0"/>
        <w:ind w:left="38"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4</w:t>
      </w:r>
      <w:r w:rsidRPr="00F25539">
        <w:rPr>
          <w:rFonts w:ascii="Times New Roman" w:hAnsi="Times New Roman" w:cs="Times New Roman"/>
        </w:rPr>
        <w:t>.1. užsakomas pagal poreikį, pateikiant atskirus rašytinius darbų užsakymus, kuriuos pateikia PO;</w:t>
      </w:r>
    </w:p>
    <w:p w14:paraId="4DD96935" w14:textId="77777777" w:rsidR="001716C3" w:rsidRDefault="00D72624" w:rsidP="001716C3">
      <w:pPr>
        <w:spacing w:after="0"/>
        <w:ind w:left="38"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4</w:t>
      </w:r>
      <w:r w:rsidRPr="00F25539">
        <w:rPr>
          <w:rFonts w:ascii="Times New Roman" w:hAnsi="Times New Roman" w:cs="Times New Roman"/>
        </w:rPr>
        <w:t>.2. turi išlikti visiškai suderinamas su pagrindine platforma;</w:t>
      </w:r>
    </w:p>
    <w:p w14:paraId="3F23EBF2" w14:textId="77777777" w:rsidR="001716C3" w:rsidRDefault="00D72624" w:rsidP="001716C3">
      <w:pPr>
        <w:spacing w:after="0"/>
        <w:ind w:firstLine="945"/>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4</w:t>
      </w:r>
      <w:r w:rsidRPr="00F25539">
        <w:rPr>
          <w:rFonts w:ascii="Times New Roman" w:hAnsi="Times New Roman" w:cs="Times New Roman"/>
        </w:rPr>
        <w:t>.3. neturi bloginti sistemos veikimo (našumo) 40 (keturiasdešimčiai) dalyvaujančių mokyklų;</w:t>
      </w:r>
    </w:p>
    <w:p w14:paraId="71A229DB" w14:textId="445CA40B" w:rsidR="00D72624" w:rsidRPr="00F25539" w:rsidRDefault="00D72624" w:rsidP="001716C3">
      <w:pPr>
        <w:spacing w:after="0" w:line="240" w:lineRule="auto"/>
        <w:ind w:firstLine="945"/>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4</w:t>
      </w:r>
      <w:r w:rsidRPr="00F25539">
        <w:rPr>
          <w:rFonts w:ascii="Times New Roman" w:hAnsi="Times New Roman" w:cs="Times New Roman"/>
        </w:rPr>
        <w:t>.4. prieš diegimą turi būti ištestuotas ir patvirtintas NŠA.</w:t>
      </w:r>
    </w:p>
    <w:p w14:paraId="752CB6C2" w14:textId="11EEEBE8" w:rsidR="00D72624" w:rsidRPr="00F25539" w:rsidRDefault="001716C3" w:rsidP="001716C3">
      <w:pPr>
        <w:spacing w:after="0" w:line="240" w:lineRule="auto"/>
        <w:ind w:left="38" w:firstLine="907"/>
        <w:rPr>
          <w:rFonts w:ascii="Times New Roman" w:hAnsi="Times New Roman" w:cs="Times New Roman"/>
        </w:rPr>
      </w:pPr>
      <w:r>
        <w:rPr>
          <w:rFonts w:ascii="Times New Roman" w:hAnsi="Times New Roman" w:cs="Times New Roman"/>
        </w:rPr>
        <w:t xml:space="preserve">3.2.4.5. </w:t>
      </w:r>
      <w:r w:rsidR="00D72624" w:rsidRPr="00F25539">
        <w:rPr>
          <w:rFonts w:ascii="Times New Roman" w:hAnsi="Times New Roman" w:cs="Times New Roman"/>
        </w:rPr>
        <w:t>PO neįsipareigoja užsakyti visų 200 (dviejų šimtų) darbo valandų.</w:t>
      </w:r>
    </w:p>
    <w:p w14:paraId="4F6C2896" w14:textId="7C7FA694"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5</w:t>
      </w:r>
      <w:r w:rsidRPr="00F25539">
        <w:rPr>
          <w:rFonts w:ascii="Times New Roman" w:hAnsi="Times New Roman" w:cs="Times New Roman"/>
        </w:rPr>
        <w:t xml:space="preserve">. Konsultacinių paslaugų kiekis – </w:t>
      </w:r>
      <w:r w:rsidR="001716C3">
        <w:rPr>
          <w:rFonts w:ascii="Times New Roman" w:hAnsi="Times New Roman" w:cs="Times New Roman"/>
        </w:rPr>
        <w:t>ne daugiau kaip</w:t>
      </w:r>
      <w:r w:rsidRPr="00F25539">
        <w:rPr>
          <w:rFonts w:ascii="Times New Roman" w:hAnsi="Times New Roman" w:cs="Times New Roman"/>
        </w:rPr>
        <w:t xml:space="preserve"> 10 (dešim</w:t>
      </w:r>
      <w:r w:rsidR="001716C3">
        <w:rPr>
          <w:rFonts w:ascii="Times New Roman" w:hAnsi="Times New Roman" w:cs="Times New Roman"/>
        </w:rPr>
        <w:t>t</w:t>
      </w:r>
      <w:r w:rsidRPr="00F25539">
        <w:rPr>
          <w:rFonts w:ascii="Times New Roman" w:hAnsi="Times New Roman" w:cs="Times New Roman"/>
        </w:rPr>
        <w:t>) konsultavimo dienų.</w:t>
      </w:r>
    </w:p>
    <w:p w14:paraId="035DE2EE" w14:textId="77777777" w:rsidR="00D72624" w:rsidRPr="00F25539" w:rsidRDefault="00D72624" w:rsidP="001716C3">
      <w:pPr>
        <w:spacing w:after="0" w:line="240" w:lineRule="auto"/>
        <w:rPr>
          <w:rFonts w:ascii="Times New Roman" w:hAnsi="Times New Roman" w:cs="Times New Roman"/>
        </w:rPr>
      </w:pPr>
      <w:r w:rsidRPr="00F25539">
        <w:rPr>
          <w:rFonts w:ascii="Times New Roman" w:hAnsi="Times New Roman" w:cs="Times New Roman"/>
        </w:rPr>
        <w:t>Tiekėjas privalo teikti profesines konsultacines paslaugas, skirtas:</w:t>
      </w:r>
    </w:p>
    <w:p w14:paraId="73B4E625" w14:textId="77777777" w:rsidR="001716C3" w:rsidRDefault="00D72624" w:rsidP="001716C3">
      <w:pPr>
        <w:spacing w:after="0"/>
        <w:ind w:left="38"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5</w:t>
      </w:r>
      <w:r w:rsidRPr="00F25539">
        <w:rPr>
          <w:rFonts w:ascii="Times New Roman" w:hAnsi="Times New Roman" w:cs="Times New Roman"/>
        </w:rPr>
        <w:t>.1. formuojamojo vertinimo modelių įgyvendinimui, naudojant adaptyvųjį lyginamąjį vertinimą;</w:t>
      </w:r>
    </w:p>
    <w:p w14:paraId="033321AE" w14:textId="77777777" w:rsidR="001716C3" w:rsidRDefault="00D72624" w:rsidP="001716C3">
      <w:pPr>
        <w:spacing w:after="0"/>
        <w:ind w:left="38"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5</w:t>
      </w:r>
      <w:r w:rsidRPr="00F25539">
        <w:rPr>
          <w:rFonts w:ascii="Times New Roman" w:hAnsi="Times New Roman" w:cs="Times New Roman"/>
        </w:rPr>
        <w:t>.2. lyginamojo vertinimo įrankių („Rulers“) konfigūravimui;</w:t>
      </w:r>
    </w:p>
    <w:p w14:paraId="68F7483F" w14:textId="77777777" w:rsidR="001716C3" w:rsidRDefault="00D72624" w:rsidP="001716C3">
      <w:pPr>
        <w:spacing w:after="0"/>
        <w:ind w:left="38"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5</w:t>
      </w:r>
      <w:r w:rsidRPr="00F25539">
        <w:rPr>
          <w:rFonts w:ascii="Times New Roman" w:hAnsi="Times New Roman" w:cs="Times New Roman"/>
        </w:rPr>
        <w:t>.3. „Enterprise“ ir „Advanced“ licencijų centrų diegimui ir administravimui;</w:t>
      </w:r>
    </w:p>
    <w:p w14:paraId="43D76F2C" w14:textId="77DFC973" w:rsidR="00D72624" w:rsidRPr="00F25539" w:rsidRDefault="00D72624" w:rsidP="001716C3">
      <w:pPr>
        <w:spacing w:after="0" w:line="240" w:lineRule="auto"/>
        <w:ind w:left="38" w:firstLine="907"/>
        <w:rPr>
          <w:rFonts w:ascii="Times New Roman" w:hAnsi="Times New Roman" w:cs="Times New Roman"/>
        </w:rPr>
      </w:pPr>
      <w:r w:rsidRPr="00F25539">
        <w:rPr>
          <w:rFonts w:ascii="Times New Roman" w:hAnsi="Times New Roman" w:cs="Times New Roman"/>
        </w:rPr>
        <w:t>3.2.</w:t>
      </w:r>
      <w:r w:rsidR="001716C3">
        <w:rPr>
          <w:rFonts w:ascii="Times New Roman" w:hAnsi="Times New Roman" w:cs="Times New Roman"/>
        </w:rPr>
        <w:t>5</w:t>
      </w:r>
      <w:r w:rsidRPr="00F25539">
        <w:rPr>
          <w:rFonts w:ascii="Times New Roman" w:hAnsi="Times New Roman" w:cs="Times New Roman"/>
        </w:rPr>
        <w:t>.4. gebėjimų stiprinimui, taikant „mokyti mokytoją“ principą, skirtą centrinei NŠA komandai.</w:t>
      </w:r>
    </w:p>
    <w:p w14:paraId="3AD0B2FE" w14:textId="76050C73" w:rsidR="00D72624" w:rsidRPr="00F25539" w:rsidRDefault="001716C3" w:rsidP="001716C3">
      <w:pPr>
        <w:spacing w:after="0" w:line="240" w:lineRule="auto"/>
        <w:ind w:left="38" w:firstLine="907"/>
        <w:rPr>
          <w:rFonts w:ascii="Times New Roman" w:hAnsi="Times New Roman" w:cs="Times New Roman"/>
        </w:rPr>
      </w:pPr>
      <w:r>
        <w:rPr>
          <w:rFonts w:ascii="Times New Roman" w:hAnsi="Times New Roman" w:cs="Times New Roman"/>
        </w:rPr>
        <w:t xml:space="preserve">3.2.5.5. </w:t>
      </w:r>
      <w:r w:rsidR="00D72624" w:rsidRPr="00F25539">
        <w:rPr>
          <w:rFonts w:ascii="Times New Roman" w:hAnsi="Times New Roman" w:cs="Times New Roman"/>
        </w:rPr>
        <w:t>Konsultacinės paslaugos turi būti teikiamos nuotoliniu būdu, išskyrus atvejus, kai Šalys susitaria kitaip.</w:t>
      </w:r>
    </w:p>
    <w:p w14:paraId="736F831A" w14:textId="74397A18"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3.3. Paslaugų teikimo principai</w:t>
      </w:r>
      <w:r w:rsidR="001716C3">
        <w:rPr>
          <w:rFonts w:ascii="Times New Roman" w:hAnsi="Times New Roman" w:cs="Times New Roman"/>
        </w:rPr>
        <w:t>:</w:t>
      </w:r>
    </w:p>
    <w:p w14:paraId="18056B91"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3.3.1. Visos Paslaugos turi būti teikiamos vadovaujantis šia Technine specifikacija, užtikrinant patikimą ir nuoseklų platformos veikimą, jos tinkamumą naudotis ne daugiau kaip 500 mokytojų, taip pat atitiktį informacijos saugumo, konfidencialumo ir duomenų apsaugos reikalavimams.</w:t>
      </w:r>
    </w:p>
    <w:p w14:paraId="22FC5B8A"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3.3.2. Tiekėjas privalo užtikrinti, kad būtų pakankami techniniai ir organizaciniai pajėgumai Paslaugų apimčiai įgyvendinti viso Išbandymo laikotarpio ir licencijos pratęsimo laikotarpio metu.</w:t>
      </w:r>
    </w:p>
    <w:p w14:paraId="46508A02" w14:textId="77777777" w:rsidR="00D72624" w:rsidRDefault="00D72624" w:rsidP="001716C3">
      <w:pPr>
        <w:tabs>
          <w:tab w:val="left" w:pos="-40"/>
          <w:tab w:val="left" w:pos="385"/>
        </w:tabs>
        <w:jc w:val="center"/>
        <w:rPr>
          <w:rFonts w:ascii="Times New Roman" w:hAnsi="Times New Roman" w:cs="Times New Roman"/>
        </w:rPr>
      </w:pPr>
      <w:r w:rsidRPr="00F25539">
        <w:rPr>
          <w:rFonts w:ascii="Times New Roman" w:hAnsi="Times New Roman" w:cs="Times New Roman"/>
        </w:rPr>
        <w:t>IV. TECHNINIAI IR FUNKCINIAI REIKALAVIMAI</w:t>
      </w:r>
    </w:p>
    <w:p w14:paraId="1B4824F0" w14:textId="77777777" w:rsidR="001716C3" w:rsidRPr="00F25539" w:rsidRDefault="001716C3" w:rsidP="001716C3">
      <w:pPr>
        <w:tabs>
          <w:tab w:val="left" w:pos="-40"/>
          <w:tab w:val="left" w:pos="385"/>
        </w:tabs>
        <w:spacing w:after="0" w:line="240" w:lineRule="auto"/>
        <w:jc w:val="center"/>
        <w:rPr>
          <w:rFonts w:ascii="Times New Roman" w:hAnsi="Times New Roman" w:cs="Times New Roman"/>
        </w:rPr>
      </w:pPr>
    </w:p>
    <w:p w14:paraId="1ACB5681"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4.1. Lyginamojo vertinimo (toliau – CJ) variklis:</w:t>
      </w:r>
    </w:p>
    <w:p w14:paraId="05C25C4C" w14:textId="58553230"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xml:space="preserve">4.1.1. </w:t>
      </w:r>
      <w:r w:rsidR="00C16A26">
        <w:rPr>
          <w:rFonts w:ascii="Times New Roman" w:hAnsi="Times New Roman" w:cs="Times New Roman"/>
        </w:rPr>
        <w:t>d</w:t>
      </w:r>
      <w:r w:rsidRPr="00F25539">
        <w:rPr>
          <w:rFonts w:ascii="Times New Roman" w:hAnsi="Times New Roman" w:cs="Times New Roman"/>
        </w:rPr>
        <w:t>vejetainis palyginimas: dviejų anonimiškų objektų pateikimas greta visuminiam vertinimui;</w:t>
      </w:r>
    </w:p>
    <w:p w14:paraId="0C5B8363" w14:textId="7E19C50F"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xml:space="preserve">4.1.2. </w:t>
      </w:r>
      <w:r w:rsidR="00C16A26">
        <w:rPr>
          <w:rFonts w:ascii="Times New Roman" w:hAnsi="Times New Roman" w:cs="Times New Roman"/>
        </w:rPr>
        <w:t>a</w:t>
      </w:r>
      <w:r w:rsidRPr="00F25539">
        <w:rPr>
          <w:rFonts w:ascii="Times New Roman" w:hAnsi="Times New Roman" w:cs="Times New Roman"/>
        </w:rPr>
        <w:t>daptyvus algoritmas: dinaminis porų parinkimas siekiant efektyviai nustatyti patikimą ranginę tvarką;</w:t>
      </w:r>
    </w:p>
    <w:p w14:paraId="2DCC3426" w14:textId="36716B85"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xml:space="preserve">4.1.3. </w:t>
      </w:r>
      <w:r w:rsidR="00C16A26">
        <w:rPr>
          <w:rFonts w:ascii="Times New Roman" w:hAnsi="Times New Roman" w:cs="Times New Roman"/>
        </w:rPr>
        <w:t>v</w:t>
      </w:r>
      <w:r w:rsidRPr="00F25539">
        <w:rPr>
          <w:rFonts w:ascii="Times New Roman" w:hAnsi="Times New Roman" w:cs="Times New Roman"/>
        </w:rPr>
        <w:t>ertintojo įrankiai: mastelio keitimas, pasukimas, slinkimas ir kelių puslapių peržiūros (navigacijos) funkcija;</w:t>
      </w:r>
    </w:p>
    <w:p w14:paraId="0DF95EB7" w14:textId="1E59553A"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xml:space="preserve">4.1.4. </w:t>
      </w:r>
      <w:r w:rsidR="00C16A26">
        <w:rPr>
          <w:rFonts w:ascii="Times New Roman" w:hAnsi="Times New Roman" w:cs="Times New Roman"/>
        </w:rPr>
        <w:t>p</w:t>
      </w:r>
      <w:r w:rsidRPr="00F25539">
        <w:rPr>
          <w:rFonts w:ascii="Times New Roman" w:hAnsi="Times New Roman" w:cs="Times New Roman"/>
        </w:rPr>
        <w:t>atikimumo ataskaitos: vertintojo nuoseklumo rodikliai, neatitikimo įverčiai ir bendrieji patikimumo rodikliai.</w:t>
      </w:r>
    </w:p>
    <w:p w14:paraId="32B33BD8" w14:textId="642757C0"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4.2. „Rulers“ ir standartizuotas lyginamasis vertinimas</w:t>
      </w:r>
      <w:r w:rsidR="00C16A26">
        <w:rPr>
          <w:rFonts w:ascii="Times New Roman" w:hAnsi="Times New Roman" w:cs="Times New Roman"/>
        </w:rPr>
        <w:t>:</w:t>
      </w:r>
    </w:p>
    <w:p w14:paraId="210B8B23"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4.2.1. naujų darbų palyginimas su iš anksto įvertintais etaloniniais pavyzdžiais;</w:t>
      </w:r>
    </w:p>
    <w:p w14:paraId="52E583FF"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4.2.2. pagal poreikį atliekamas formuojamasis vertinimas, užtikrinantis tiesioginį grįžtamąjį ryšį apie ranginę tvarką;</w:t>
      </w:r>
    </w:p>
    <w:p w14:paraId="4A05B603"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4.2.3. profesinio dialogo palaikymas naudojant atskaitos užduotis / tekstus;</w:t>
      </w:r>
    </w:p>
    <w:p w14:paraId="58246BE7"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4.2.4. ne mažiau kaip šešių (6) „Rulers“ suteikimas kiekvienai mokyklai.</w:t>
      </w:r>
    </w:p>
    <w:p w14:paraId="084C5C75"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4.3. Turinio tvarkymas, organizavimas ir anonimiškumo užtikrinimas;</w:t>
      </w:r>
    </w:p>
    <w:p w14:paraId="74839851"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4.3.1. palaikymas nuskenuotiems ranka rašytiems darbams (≥200 dpi), skaitmeniniams dokumentams ir medijos failams; įkelto turinio grupavimas ir paieška;</w:t>
      </w:r>
    </w:p>
    <w:p w14:paraId="777754E2"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4.3.2. automatinis mokinių ir vertintojų anonimiškumas;</w:t>
      </w:r>
    </w:p>
    <w:p w14:paraId="38004CE0"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4.3.3. prieiga per standartines žiniatinklio naršykles be vietinio diegimo;</w:t>
      </w:r>
    </w:p>
    <w:p w14:paraId="7E920111" w14:textId="77777777" w:rsidR="00D72624" w:rsidRDefault="00D72624" w:rsidP="001716C3">
      <w:pPr>
        <w:ind w:firstLine="907"/>
        <w:rPr>
          <w:rFonts w:ascii="Times New Roman" w:hAnsi="Times New Roman" w:cs="Times New Roman"/>
        </w:rPr>
      </w:pPr>
      <w:r w:rsidRPr="00F25539">
        <w:rPr>
          <w:rFonts w:ascii="Times New Roman" w:hAnsi="Times New Roman" w:cs="Times New Roman"/>
        </w:rPr>
        <w:t>4.3.4. naudotojo sąsaja turi būti prieinama lietuvių kalba (administracinės sąsajos taip pat gali būti anglų kalba).</w:t>
      </w:r>
    </w:p>
    <w:p w14:paraId="434D073A" w14:textId="77777777" w:rsidR="00C16A26" w:rsidRPr="00F25539" w:rsidRDefault="00C16A26" w:rsidP="001716C3">
      <w:pPr>
        <w:spacing w:after="0" w:line="240" w:lineRule="auto"/>
        <w:ind w:firstLine="907"/>
        <w:rPr>
          <w:rFonts w:ascii="Times New Roman" w:hAnsi="Times New Roman" w:cs="Times New Roman"/>
        </w:rPr>
      </w:pPr>
    </w:p>
    <w:p w14:paraId="423FE542" w14:textId="05EBF44F" w:rsidR="00D72624" w:rsidRPr="00C16A26" w:rsidRDefault="00D72624" w:rsidP="00C16A26">
      <w:pPr>
        <w:pStyle w:val="Sraopastraipa"/>
        <w:numPr>
          <w:ilvl w:val="0"/>
          <w:numId w:val="11"/>
        </w:numPr>
        <w:tabs>
          <w:tab w:val="left" w:pos="-40"/>
          <w:tab w:val="left" w:pos="385"/>
        </w:tabs>
        <w:jc w:val="center"/>
        <w:rPr>
          <w:rFonts w:ascii="Times New Roman" w:hAnsi="Times New Roman" w:cs="Times New Roman"/>
        </w:rPr>
      </w:pPr>
      <w:r w:rsidRPr="00C16A26">
        <w:rPr>
          <w:rFonts w:ascii="Times New Roman" w:hAnsi="Times New Roman" w:cs="Times New Roman"/>
        </w:rPr>
        <w:t>NAUDOTOJŲ PRIEIGOS VALDYMAS IR AUTENTIFIKAVIMAS</w:t>
      </w:r>
    </w:p>
    <w:p w14:paraId="14867966" w14:textId="77777777" w:rsidR="00C16A26" w:rsidRPr="00C16A26" w:rsidRDefault="00C16A26" w:rsidP="00C16A26">
      <w:pPr>
        <w:pStyle w:val="Sraopastraipa"/>
        <w:tabs>
          <w:tab w:val="left" w:pos="-40"/>
          <w:tab w:val="left" w:pos="385"/>
        </w:tabs>
        <w:spacing w:after="0" w:line="240" w:lineRule="auto"/>
        <w:ind w:left="1080"/>
        <w:rPr>
          <w:rFonts w:ascii="Times New Roman" w:hAnsi="Times New Roman" w:cs="Times New Roman"/>
        </w:rPr>
      </w:pPr>
    </w:p>
    <w:p w14:paraId="284AE706"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 5.1. Platforma turi užtikrinti saugų autentifikavimą ir vaidmenimis pagrįstą prieigos kontrolę.</w:t>
      </w:r>
    </w:p>
    <w:p w14:paraId="5C8DA70C"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5.2. Įgalioti NŠA administratoriai turi turėti galimybę kurti, valdyti, laikinai sustabdyti arba deaktyvuoti naudotojų paskyras.</w:t>
      </w:r>
    </w:p>
    <w:p w14:paraId="414E5758"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5.3. Naudotojų prieigos valdymas turi atitikti taikomus informacijos saugumo ir duomenų apsaugos reikalavimus.</w:t>
      </w:r>
    </w:p>
    <w:p w14:paraId="75799897" w14:textId="77777777" w:rsidR="00D72624" w:rsidRPr="00F25539" w:rsidRDefault="00D72624" w:rsidP="001716C3">
      <w:pPr>
        <w:tabs>
          <w:tab w:val="left" w:pos="-40"/>
          <w:tab w:val="left" w:pos="385"/>
        </w:tabs>
        <w:spacing w:after="0" w:line="240" w:lineRule="auto"/>
        <w:ind w:firstLine="907"/>
        <w:rPr>
          <w:rFonts w:ascii="Times New Roman" w:hAnsi="Times New Roman" w:cs="Times New Roman"/>
        </w:rPr>
      </w:pPr>
    </w:p>
    <w:p w14:paraId="54DFDFF3" w14:textId="52B10236" w:rsidR="00D72624" w:rsidRPr="00C16A26" w:rsidRDefault="00D72624" w:rsidP="00C16A26">
      <w:pPr>
        <w:pStyle w:val="Sraopastraipa"/>
        <w:numPr>
          <w:ilvl w:val="0"/>
          <w:numId w:val="11"/>
        </w:numPr>
        <w:jc w:val="center"/>
        <w:rPr>
          <w:rFonts w:ascii="Times New Roman" w:hAnsi="Times New Roman" w:cs="Times New Roman"/>
        </w:rPr>
      </w:pPr>
      <w:r w:rsidRPr="00C16A26">
        <w:rPr>
          <w:rFonts w:ascii="Times New Roman" w:hAnsi="Times New Roman" w:cs="Times New Roman"/>
        </w:rPr>
        <w:t>PROFESINIŲ KONSULTACINIŲ IR INDIVIDUALAUS VYSTYMO PASLAUGŲ VALDYMAS</w:t>
      </w:r>
    </w:p>
    <w:p w14:paraId="0F5BE01A" w14:textId="77777777" w:rsidR="00C16A26" w:rsidRPr="00C16A26" w:rsidRDefault="00C16A26" w:rsidP="00C16A26">
      <w:pPr>
        <w:pStyle w:val="Sraopastraipa"/>
        <w:spacing w:after="0" w:line="240" w:lineRule="auto"/>
        <w:ind w:left="1080"/>
        <w:rPr>
          <w:rFonts w:ascii="Times New Roman" w:hAnsi="Times New Roman" w:cs="Times New Roman"/>
          <w:i/>
          <w:iCs/>
        </w:rPr>
      </w:pPr>
    </w:p>
    <w:p w14:paraId="2B9F5A4D"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6.1. Profesinių konsultacinių ir individualaus vystymo paslaugų užsakymas, teikimas, tvirtinimas ir priėmimas turi būti vykdomi pagal šios Techninės specifikacijos ir Sutarties 3.2.3 ir 3.2.4 punktuose nustatytas procedūras.</w:t>
      </w:r>
    </w:p>
    <w:p w14:paraId="1B57FA77" w14:textId="77777777" w:rsidR="00D72624" w:rsidRPr="00F25539" w:rsidRDefault="00D72624" w:rsidP="001716C3">
      <w:pPr>
        <w:tabs>
          <w:tab w:val="left" w:pos="-40"/>
          <w:tab w:val="left" w:pos="385"/>
        </w:tabs>
        <w:spacing w:after="0" w:line="240" w:lineRule="auto"/>
        <w:ind w:firstLine="907"/>
        <w:rPr>
          <w:rFonts w:ascii="Times New Roman" w:hAnsi="Times New Roman" w:cs="Times New Roman"/>
        </w:rPr>
      </w:pPr>
    </w:p>
    <w:p w14:paraId="19306D71" w14:textId="77777777" w:rsidR="00D72624" w:rsidRPr="00F25539" w:rsidRDefault="00D72624" w:rsidP="001716C3">
      <w:pPr>
        <w:tabs>
          <w:tab w:val="left" w:pos="-40"/>
          <w:tab w:val="left" w:pos="385"/>
        </w:tabs>
        <w:spacing w:after="0" w:line="240" w:lineRule="auto"/>
        <w:ind w:firstLine="907"/>
        <w:rPr>
          <w:rFonts w:ascii="Times New Roman" w:hAnsi="Times New Roman" w:cs="Times New Roman"/>
        </w:rPr>
      </w:pPr>
    </w:p>
    <w:p w14:paraId="71E34317" w14:textId="6DBAEA64" w:rsidR="00D72624" w:rsidRPr="00C16A26" w:rsidRDefault="00D72624" w:rsidP="00C16A26">
      <w:pPr>
        <w:pStyle w:val="Sraopastraipa"/>
        <w:numPr>
          <w:ilvl w:val="0"/>
          <w:numId w:val="11"/>
        </w:numPr>
        <w:jc w:val="center"/>
        <w:rPr>
          <w:rFonts w:ascii="Times New Roman" w:hAnsi="Times New Roman" w:cs="Times New Roman"/>
        </w:rPr>
      </w:pPr>
      <w:r w:rsidRPr="00C16A26">
        <w:rPr>
          <w:rFonts w:ascii="Times New Roman" w:hAnsi="Times New Roman" w:cs="Times New Roman"/>
        </w:rPr>
        <w:t>PASLAUGŲ LYGIS, SAUGUMAS IR DUOMENŲ APSAUGA</w:t>
      </w:r>
    </w:p>
    <w:p w14:paraId="210F9459" w14:textId="77777777" w:rsidR="00C16A26" w:rsidRPr="00C16A26" w:rsidRDefault="00C16A26" w:rsidP="00C16A26">
      <w:pPr>
        <w:pStyle w:val="Sraopastraipa"/>
        <w:spacing w:after="0" w:line="240" w:lineRule="auto"/>
        <w:ind w:left="1080"/>
        <w:rPr>
          <w:rFonts w:ascii="Times New Roman" w:hAnsi="Times New Roman" w:cs="Times New Roman"/>
        </w:rPr>
      </w:pPr>
    </w:p>
    <w:p w14:paraId="3691CEA7"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7.1. Prieinamumas ir našumas:</w:t>
      </w:r>
    </w:p>
    <w:p w14:paraId="12B1BBE8"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7.1.1. platformos prieinamumas: 24/7 Išbandymo ir licencijos pratęsimo laikotarpiais;</w:t>
      </w:r>
    </w:p>
    <w:p w14:paraId="47826196"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7.1.2. užtikrinama galimybė vienu metu prisijungti ne daugiau nei 500 naudotojų.</w:t>
      </w:r>
    </w:p>
    <w:p w14:paraId="6FE69B12"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7.2. Tiekėjas privalo užtikrinti saugų visų platformos duomenų tvarkymą, saugojimą ir apdorojimą bei užkirsti kelią neteisėtai prieigai.</w:t>
      </w:r>
    </w:p>
    <w:p w14:paraId="7CD7EABC"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7.3. Duomenų apsauga (BDAR atitiktis)</w:t>
      </w:r>
    </w:p>
    <w:p w14:paraId="02552F67"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7.3.1. Tiekėjas veikia kaip duomenų tvarkytojas, o NŠA – kaip duomenų valdytojas;</w:t>
      </w:r>
    </w:p>
    <w:p w14:paraId="190834B3"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lastRenderedPageBreak/>
        <w:t>7.3.2. duomenų saugojimas ir tvarkymas turi būti vykdomi tik Europos Sąjungoje / Europos ekonominėje erdvėje;</w:t>
      </w:r>
    </w:p>
    <w:p w14:paraId="6ADA65EF"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7.3.3. turi būti taikomos tinkamos techninės ir organizacinės saugumo priemonės;</w:t>
      </w:r>
    </w:p>
    <w:p w14:paraId="5785676D"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7.3.4. duomenų tvarkymo sutartis turi būti pasirašyta prieš pradedant Išbandymo laikotarpį;</w:t>
      </w:r>
    </w:p>
    <w:p w14:paraId="33DDA620"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7.3.5. apie duomenų saugumo pažeidimą turi būti pranešama per 24 valandas.</w:t>
      </w:r>
    </w:p>
    <w:p w14:paraId="593AF82F"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7.4. Pasibaigus Išbandymo arba licencijos pratęsimo laikotarpiui, visi sugeneruoti duomenys turi būti perduoti NŠA struktūrizuotu ir perkeliamu formatu.</w:t>
      </w:r>
    </w:p>
    <w:p w14:paraId="465005C1" w14:textId="77777777" w:rsidR="00D72624" w:rsidRPr="00F25539" w:rsidRDefault="00D72624" w:rsidP="001716C3">
      <w:pPr>
        <w:spacing w:after="0" w:line="240" w:lineRule="auto"/>
        <w:ind w:firstLine="907"/>
        <w:rPr>
          <w:rFonts w:ascii="Times New Roman" w:hAnsi="Times New Roman" w:cs="Times New Roman"/>
        </w:rPr>
      </w:pPr>
    </w:p>
    <w:p w14:paraId="06F99F6C" w14:textId="069523B0" w:rsidR="00D72624" w:rsidRPr="00C16A26" w:rsidRDefault="00D72624" w:rsidP="00C16A26">
      <w:pPr>
        <w:pStyle w:val="Sraopastraipa"/>
        <w:numPr>
          <w:ilvl w:val="0"/>
          <w:numId w:val="11"/>
        </w:numPr>
        <w:tabs>
          <w:tab w:val="left" w:pos="-40"/>
          <w:tab w:val="left" w:pos="385"/>
        </w:tabs>
        <w:ind w:left="567" w:hanging="567"/>
        <w:jc w:val="center"/>
        <w:rPr>
          <w:rFonts w:ascii="Times New Roman" w:hAnsi="Times New Roman" w:cs="Times New Roman"/>
        </w:rPr>
      </w:pPr>
      <w:r w:rsidRPr="00C16A26">
        <w:rPr>
          <w:rFonts w:ascii="Times New Roman" w:hAnsi="Times New Roman" w:cs="Times New Roman"/>
        </w:rPr>
        <w:t>LICENCIJŲ UŽSAKYMO, SĄSKAITŲ IŠRAŠYMO IR ATSISKAITYMO PROCESAI</w:t>
      </w:r>
    </w:p>
    <w:p w14:paraId="493EBAE8" w14:textId="77777777" w:rsidR="00C16A26" w:rsidRPr="00C16A26" w:rsidRDefault="00C16A26" w:rsidP="00C16A26">
      <w:pPr>
        <w:pStyle w:val="Sraopastraipa"/>
        <w:tabs>
          <w:tab w:val="left" w:pos="-40"/>
          <w:tab w:val="left" w:pos="385"/>
        </w:tabs>
        <w:spacing w:after="0" w:line="240" w:lineRule="auto"/>
        <w:ind w:left="1080"/>
        <w:rPr>
          <w:rFonts w:ascii="Times New Roman" w:hAnsi="Times New Roman" w:cs="Times New Roman"/>
        </w:rPr>
      </w:pPr>
    </w:p>
    <w:p w14:paraId="3165B1B3"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8.1. Sąskaita faktūra turi būti išrašoma ne vėliau kaip per 10 kalendorinių dienų nuo Sutarties pasirašymo ir prieigos prie licencijuotų platformos paslaugų suteikimo.</w:t>
      </w:r>
    </w:p>
    <w:p w14:paraId="255EF419"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8.2. Mokėjimas atliekamas per 30 kalendorinių dienų nuo tinkamos sąskaitos faktūros gavimo dienos.</w:t>
      </w:r>
    </w:p>
    <w:p w14:paraId="46C73547"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8.3. Naudojimasis licencijomis pradedamas tik atlikus pilną apmokėjimą.</w:t>
      </w:r>
    </w:p>
    <w:p w14:paraId="6353C898" w14:textId="77777777" w:rsidR="00D72624" w:rsidRDefault="00D72624" w:rsidP="001716C3">
      <w:pPr>
        <w:ind w:firstLine="907"/>
        <w:rPr>
          <w:rFonts w:ascii="Times New Roman" w:hAnsi="Times New Roman" w:cs="Times New Roman"/>
        </w:rPr>
      </w:pPr>
      <w:r w:rsidRPr="00F25539">
        <w:rPr>
          <w:rFonts w:ascii="Times New Roman" w:hAnsi="Times New Roman" w:cs="Times New Roman"/>
        </w:rPr>
        <w:t>8.4. Nėra pareigos aktyvuoti licencijas iki apmokėjimo, išskyrus atvejus, kai Šalys raštu susitaria kitaip.</w:t>
      </w:r>
    </w:p>
    <w:p w14:paraId="00C830F7" w14:textId="77777777" w:rsidR="00C16A26" w:rsidRPr="00F25539" w:rsidRDefault="00C16A26" w:rsidP="001716C3">
      <w:pPr>
        <w:spacing w:after="0" w:line="240" w:lineRule="auto"/>
        <w:ind w:firstLine="907"/>
        <w:rPr>
          <w:rFonts w:ascii="Times New Roman" w:hAnsi="Times New Roman" w:cs="Times New Roman"/>
        </w:rPr>
      </w:pPr>
    </w:p>
    <w:p w14:paraId="20436D53" w14:textId="77777777" w:rsidR="00D72624" w:rsidRPr="00F25539" w:rsidRDefault="00D72624" w:rsidP="00C16A26">
      <w:pPr>
        <w:spacing w:after="0" w:line="240" w:lineRule="auto"/>
        <w:jc w:val="center"/>
        <w:rPr>
          <w:rFonts w:ascii="Times New Roman" w:hAnsi="Times New Roman" w:cs="Times New Roman"/>
        </w:rPr>
      </w:pPr>
      <w:r w:rsidRPr="00F25539">
        <w:rPr>
          <w:rFonts w:ascii="Times New Roman" w:hAnsi="Times New Roman" w:cs="Times New Roman"/>
        </w:rPr>
        <w:t>IX. TECHNINĖ PAGALBA IR INCIDENTŲ VALDYMAS</w:t>
      </w:r>
    </w:p>
    <w:p w14:paraId="55C5D787" w14:textId="77777777" w:rsidR="00D72624" w:rsidRPr="00F25539" w:rsidRDefault="00D72624" w:rsidP="001716C3">
      <w:pPr>
        <w:spacing w:after="0" w:line="240" w:lineRule="auto"/>
        <w:ind w:firstLine="907"/>
        <w:rPr>
          <w:rFonts w:ascii="Times New Roman" w:hAnsi="Times New Roman" w:cs="Times New Roman"/>
        </w:rPr>
      </w:pPr>
    </w:p>
    <w:p w14:paraId="21EA2FBC"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9.1. Tiekėjas privalo teikti techninę pagalbą viso Išbandymo laikotarpio ir licencijos pratęsimo laikotarpio metu.</w:t>
      </w:r>
    </w:p>
    <w:p w14:paraId="30360309"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9.2. Kritiniai incidentai, turintys įtakos platformos prieinamumui arba pagrindiniam funkcionalumui, turi būti šalinami nedelsiant, vadovaujantis Sutarties nuostatomis.</w:t>
      </w:r>
    </w:p>
    <w:p w14:paraId="231F2B8A" w14:textId="77777777" w:rsidR="00D72624" w:rsidRPr="00F25539" w:rsidRDefault="00D72624" w:rsidP="001716C3">
      <w:pPr>
        <w:spacing w:after="0" w:line="240" w:lineRule="auto"/>
        <w:ind w:firstLine="907"/>
        <w:rPr>
          <w:rFonts w:ascii="Times New Roman" w:hAnsi="Times New Roman" w:cs="Times New Roman"/>
        </w:rPr>
      </w:pPr>
    </w:p>
    <w:p w14:paraId="7DD61A9B" w14:textId="77777777" w:rsidR="00D72624" w:rsidRPr="00F25539" w:rsidRDefault="00D72624" w:rsidP="00C16A26">
      <w:pPr>
        <w:tabs>
          <w:tab w:val="left" w:pos="-40"/>
          <w:tab w:val="left" w:pos="385"/>
        </w:tabs>
        <w:spacing w:after="0" w:line="240" w:lineRule="auto"/>
        <w:jc w:val="center"/>
        <w:rPr>
          <w:rFonts w:ascii="Times New Roman" w:hAnsi="Times New Roman" w:cs="Times New Roman"/>
        </w:rPr>
      </w:pPr>
      <w:r w:rsidRPr="00F25539">
        <w:rPr>
          <w:rFonts w:ascii="Times New Roman" w:hAnsi="Times New Roman" w:cs="Times New Roman"/>
        </w:rPr>
        <w:t>X. BAIGIAMOSIOS NUOSTATOS</w:t>
      </w:r>
    </w:p>
    <w:p w14:paraId="19C7A578" w14:textId="77777777" w:rsidR="00D72624" w:rsidRPr="00F25539" w:rsidRDefault="00D72624" w:rsidP="001716C3">
      <w:pPr>
        <w:tabs>
          <w:tab w:val="left" w:pos="-40"/>
          <w:tab w:val="left" w:pos="385"/>
        </w:tabs>
        <w:spacing w:after="0" w:line="240" w:lineRule="auto"/>
        <w:ind w:firstLine="907"/>
        <w:rPr>
          <w:rFonts w:ascii="Times New Roman" w:hAnsi="Times New Roman" w:cs="Times New Roman"/>
        </w:rPr>
      </w:pPr>
    </w:p>
    <w:p w14:paraId="6213E8FD" w14:textId="2EAC0A87" w:rsidR="00D72624" w:rsidRPr="00F25539" w:rsidRDefault="00D72624" w:rsidP="00C16A26">
      <w:pPr>
        <w:spacing w:after="0" w:line="240" w:lineRule="auto"/>
        <w:ind w:firstLine="907"/>
        <w:rPr>
          <w:rFonts w:ascii="Times New Roman" w:hAnsi="Times New Roman" w:cs="Times New Roman"/>
        </w:rPr>
      </w:pPr>
      <w:r w:rsidRPr="00F25539">
        <w:rPr>
          <w:rFonts w:ascii="Times New Roman" w:hAnsi="Times New Roman" w:cs="Times New Roman"/>
        </w:rPr>
        <w:t>10.1. Šio pirkimo objektą sudaro tik nematerialiosios (intelektinės) paslaugos, kurios nėra susijusios su jokio materialaus objekto sukūrimu.</w:t>
      </w:r>
      <w:r w:rsidR="00C16A26">
        <w:rPr>
          <w:rFonts w:ascii="Times New Roman" w:hAnsi="Times New Roman" w:cs="Times New Roman"/>
        </w:rPr>
        <w:t xml:space="preserve"> </w:t>
      </w:r>
      <w:r>
        <w:rPr>
          <w:rFonts w:ascii="Times New Roman" w:hAnsi="Times New Roman" w:cs="Times New Roman"/>
        </w:rPr>
        <w:t>Š</w:t>
      </w:r>
      <w:r w:rsidRPr="00F25539">
        <w:rPr>
          <w:rFonts w:ascii="Times New Roman" w:hAnsi="Times New Roman" w:cs="Times New Roman"/>
        </w:rPr>
        <w:t>ių paslaugų teikimas neturės reikšmingo neigiamo poveikio aplinkai, nesukurs taršos šaltinių ir nesudarys atliekų.</w:t>
      </w:r>
    </w:p>
    <w:p w14:paraId="53052472" w14:textId="51038B39" w:rsidR="00D72624" w:rsidRDefault="00D72624" w:rsidP="00C16A26">
      <w:pPr>
        <w:spacing w:after="0" w:line="240" w:lineRule="auto"/>
        <w:ind w:firstLine="907"/>
        <w:rPr>
          <w:rFonts w:ascii="Times New Roman" w:hAnsi="Times New Roman" w:cs="Times New Roman"/>
        </w:rPr>
      </w:pPr>
      <w:r w:rsidRPr="00F25539">
        <w:rPr>
          <w:rFonts w:ascii="Times New Roman" w:hAnsi="Times New Roman" w:cs="Times New Roman"/>
        </w:rPr>
        <w:t>10.2. Tiekėjas privalo užtikrinti, kad siūlomas sprendimas atitinka galiojančius informacijos saugumo ir asmens duomenų apsaugos reikalavimus, įskaitant Reglamento (ES) 2016/679 (BDAR) nuostatas. Šių reikalavimų atitikimas turi būti pagrįstas vienu iš šių dokumentų (arba lygiaverte priemone): galiojančiu ISO/IEC 27001 (ar lygiaverčio standarto) sertifikatu, išduotu tiekėjui arba sprendimą teikiančiai organizacijai</w:t>
      </w:r>
      <w:r w:rsidRPr="00F25539">
        <w:rPr>
          <w:rFonts w:ascii="Times New Roman" w:hAnsi="Times New Roman" w:cs="Times New Roman"/>
        </w:rPr>
        <w:br/>
        <w:t>arba išsamiu įgyvendintų techninių ir organizacinių saugumo priemonių aprašymu, patvirtinančiu, kad užtikrinamas informacijos konfidencialumas, vientisumas, prieinamumas bei asmens duomenų apsauga. PO turi teisę prašyti papildomos informacijos ar paaiškinimų, pagrindžiančių atitiktį šiems reikalavimams.</w:t>
      </w:r>
      <w:r w:rsidR="00C16A26">
        <w:rPr>
          <w:rFonts w:ascii="Times New Roman" w:hAnsi="Times New Roman" w:cs="Times New Roman"/>
        </w:rPr>
        <w:t xml:space="preserve"> </w:t>
      </w:r>
      <w:r w:rsidRPr="00F25539">
        <w:rPr>
          <w:rFonts w:ascii="Times New Roman" w:hAnsi="Times New Roman" w:cs="Times New Roman"/>
        </w:rPr>
        <w:t>Tiekėjas turi užtikrinti, kad siūlomas sprendimas atitiktų informacijos saugumo ir asmens duomenų apsaugos reikalavimus.</w:t>
      </w:r>
    </w:p>
    <w:p w14:paraId="0754056E" w14:textId="191C96BE" w:rsidR="00D72624" w:rsidRPr="00F25539" w:rsidRDefault="00D72624" w:rsidP="001716C3">
      <w:pPr>
        <w:spacing w:after="0" w:line="240" w:lineRule="auto"/>
        <w:ind w:firstLine="907"/>
        <w:rPr>
          <w:rFonts w:ascii="Times New Roman" w:hAnsi="Times New Roman" w:cs="Times New Roman"/>
        </w:rPr>
      </w:pPr>
      <w:r>
        <w:rPr>
          <w:rFonts w:ascii="Times New Roman" w:hAnsi="Times New Roman" w:cs="Times New Roman"/>
        </w:rPr>
        <w:t>10.3.</w:t>
      </w:r>
      <w:r>
        <w:rPr>
          <w:rFonts w:ascii="Aptos" w:eastAsia="Times New Roman" w:hAnsi="Aptos" w:cs="Times New Roman"/>
          <w:color w:val="000000"/>
          <w:kern w:val="0"/>
          <w:lang w:eastAsia="lt-LT"/>
          <w14:ligatures w14:val="none"/>
        </w:rPr>
        <w:t>T</w:t>
      </w:r>
      <w:r w:rsidRPr="00DA5362">
        <w:rPr>
          <w:rFonts w:ascii="Times New Roman" w:hAnsi="Times New Roman" w:cs="Times New Roman"/>
        </w:rPr>
        <w:t>iekėjas iki paslaugų teikimo pradžios privalo pasirašyti su P</w:t>
      </w:r>
      <w:r>
        <w:rPr>
          <w:rFonts w:ascii="Times New Roman" w:hAnsi="Times New Roman" w:cs="Times New Roman"/>
        </w:rPr>
        <w:t xml:space="preserve">O </w:t>
      </w:r>
      <w:r w:rsidRPr="00DA5362">
        <w:rPr>
          <w:rFonts w:ascii="Times New Roman" w:hAnsi="Times New Roman" w:cs="Times New Roman"/>
        </w:rPr>
        <w:t>duomenų tvarkymo sutartį, atitinkančią BDAR 28 straipsnio reikalavimus. </w:t>
      </w:r>
    </w:p>
    <w:p w14:paraId="3D610289" w14:textId="77777777" w:rsidR="00D72624" w:rsidRPr="00F25539" w:rsidRDefault="00D72624" w:rsidP="001716C3">
      <w:pPr>
        <w:spacing w:after="0" w:line="240" w:lineRule="auto"/>
        <w:ind w:firstLine="907"/>
        <w:rPr>
          <w:rFonts w:ascii="Times New Roman" w:hAnsi="Times New Roman" w:cs="Times New Roman"/>
        </w:rPr>
      </w:pPr>
      <w:r w:rsidRPr="00F25539">
        <w:rPr>
          <w:rFonts w:ascii="Times New Roman" w:hAnsi="Times New Roman" w:cs="Times New Roman"/>
        </w:rPr>
        <w:t>10.</w:t>
      </w:r>
      <w:r>
        <w:rPr>
          <w:rFonts w:ascii="Times New Roman" w:hAnsi="Times New Roman" w:cs="Times New Roman"/>
        </w:rPr>
        <w:t>4</w:t>
      </w:r>
      <w:r w:rsidRPr="00F25539">
        <w:rPr>
          <w:rFonts w:ascii="Times New Roman" w:hAnsi="Times New Roman" w:cs="Times New Roman"/>
        </w:rPr>
        <w:t>. Esant neatitikimams, viršenybė teikiama Sutarties nuostatoms.</w:t>
      </w:r>
    </w:p>
    <w:p w14:paraId="5EE91453" w14:textId="4DAB16BD" w:rsidR="00715F1D" w:rsidRPr="008E4B3A" w:rsidRDefault="00D72624" w:rsidP="001716C3">
      <w:pPr>
        <w:spacing w:after="0" w:line="240" w:lineRule="auto"/>
        <w:ind w:firstLine="907"/>
        <w:rPr>
          <w:rFonts w:ascii="Times New Roman" w:hAnsi="Times New Roman" w:cs="Times New Roman"/>
          <w:b/>
          <w:bCs/>
          <w:i/>
          <w:iCs/>
        </w:rPr>
      </w:pPr>
      <w:r w:rsidRPr="00F25539">
        <w:rPr>
          <w:rFonts w:ascii="Times New Roman" w:hAnsi="Times New Roman" w:cs="Times New Roman"/>
        </w:rPr>
        <w:t>10.</w:t>
      </w:r>
      <w:r>
        <w:rPr>
          <w:rFonts w:ascii="Times New Roman" w:hAnsi="Times New Roman" w:cs="Times New Roman"/>
        </w:rPr>
        <w:t>5</w:t>
      </w:r>
      <w:r w:rsidRPr="00F25539">
        <w:rPr>
          <w:rFonts w:ascii="Times New Roman" w:hAnsi="Times New Roman" w:cs="Times New Roman"/>
        </w:rPr>
        <w:t>. Ši Techninė specifikacija yra neatskiriama pirkimo dokumentų dalis.</w:t>
      </w:r>
    </w:p>
    <w:p w14:paraId="092A13C5" w14:textId="0FD54C66" w:rsidR="00FB6212" w:rsidRPr="008E4B3A" w:rsidRDefault="00FB6212" w:rsidP="001716C3">
      <w:pPr>
        <w:spacing w:after="0" w:line="240" w:lineRule="auto"/>
        <w:ind w:firstLine="907"/>
        <w:rPr>
          <w:rFonts w:ascii="Times New Roman" w:hAnsi="Times New Roman" w:cs="Times New Roman"/>
        </w:rPr>
      </w:pPr>
      <w:r w:rsidRPr="008E4B3A">
        <w:rPr>
          <w:rFonts w:ascii="Times New Roman" w:hAnsi="Times New Roman" w:cs="Times New Roman"/>
        </w:rPr>
        <w:t> </w:t>
      </w:r>
    </w:p>
    <w:p w14:paraId="45D3CD7C" w14:textId="148A379B" w:rsidR="00FB6212" w:rsidRPr="00F25539" w:rsidRDefault="00F25539" w:rsidP="00F25539">
      <w:pPr>
        <w:spacing w:after="0" w:line="240" w:lineRule="auto"/>
        <w:jc w:val="center"/>
        <w:rPr>
          <w:rFonts w:ascii="Times New Roman" w:hAnsi="Times New Roman" w:cs="Times New Roman"/>
        </w:rPr>
      </w:pPr>
      <w:r>
        <w:rPr>
          <w:rFonts w:ascii="Times New Roman" w:hAnsi="Times New Roman" w:cs="Times New Roman"/>
        </w:rPr>
        <w:t>___________________________</w:t>
      </w:r>
    </w:p>
    <w:p w14:paraId="4ABA4983" w14:textId="77777777" w:rsidR="00F25539" w:rsidRDefault="00F25539" w:rsidP="00433398">
      <w:pPr>
        <w:spacing w:after="0" w:line="240" w:lineRule="auto"/>
        <w:rPr>
          <w:rFonts w:ascii="Times New Roman" w:hAnsi="Times New Roman" w:cs="Times New Roman"/>
        </w:rPr>
      </w:pPr>
    </w:p>
    <w:p w14:paraId="1011A1E9" w14:textId="77777777" w:rsidR="00C16A26" w:rsidRPr="008E4B3A" w:rsidRDefault="00C16A26" w:rsidP="00433398">
      <w:pPr>
        <w:spacing w:after="0" w:line="240" w:lineRule="auto"/>
        <w:rPr>
          <w:rFonts w:ascii="Times New Roman" w:hAnsi="Times New Roman" w:cs="Times New Roman"/>
        </w:rPr>
      </w:pPr>
    </w:p>
    <w:p w14:paraId="1B0DD8A7" w14:textId="77777777" w:rsidR="00B35DCA" w:rsidRPr="008E4B3A" w:rsidRDefault="00B35DCA" w:rsidP="008B4DC5">
      <w:pPr>
        <w:spacing w:after="0" w:line="240" w:lineRule="auto"/>
        <w:rPr>
          <w:rFonts w:ascii="Times New Roman" w:hAnsi="Times New Roman" w:cs="Times New Roman"/>
        </w:rPr>
      </w:pPr>
    </w:p>
    <w:p w14:paraId="7A2C242B" w14:textId="77777777" w:rsidR="008B4DC5" w:rsidRPr="008E4B3A" w:rsidRDefault="008B4DC5" w:rsidP="008B4DC5">
      <w:pPr>
        <w:spacing w:after="0" w:line="240" w:lineRule="auto"/>
        <w:rPr>
          <w:rFonts w:ascii="Times New Roman" w:hAnsi="Times New Roman" w:cs="Times New Roman"/>
        </w:rPr>
      </w:pPr>
    </w:p>
    <w:sectPr w:rsidR="008B4DC5" w:rsidRPr="008E4B3A" w:rsidSect="00C16A26">
      <w:pgSz w:w="11906" w:h="16838"/>
      <w:pgMar w:top="1701" w:right="566"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E696" w14:textId="77777777" w:rsidR="00ED0599" w:rsidRPr="008E4B3A" w:rsidRDefault="00ED0599" w:rsidP="00577F31">
      <w:pPr>
        <w:spacing w:after="0" w:line="240" w:lineRule="auto"/>
      </w:pPr>
      <w:r w:rsidRPr="008E4B3A">
        <w:separator/>
      </w:r>
    </w:p>
  </w:endnote>
  <w:endnote w:type="continuationSeparator" w:id="0">
    <w:p w14:paraId="49E15FF5" w14:textId="77777777" w:rsidR="00ED0599" w:rsidRPr="008E4B3A" w:rsidRDefault="00ED0599" w:rsidP="00577F31">
      <w:pPr>
        <w:spacing w:after="0" w:line="240" w:lineRule="auto"/>
      </w:pPr>
      <w:r w:rsidRPr="008E4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EC15" w14:textId="77777777" w:rsidR="00ED0599" w:rsidRPr="008E4B3A" w:rsidRDefault="00ED0599" w:rsidP="00577F31">
      <w:pPr>
        <w:spacing w:after="0" w:line="240" w:lineRule="auto"/>
      </w:pPr>
      <w:r w:rsidRPr="008E4B3A">
        <w:separator/>
      </w:r>
    </w:p>
  </w:footnote>
  <w:footnote w:type="continuationSeparator" w:id="0">
    <w:p w14:paraId="2009D104" w14:textId="77777777" w:rsidR="00ED0599" w:rsidRPr="008E4B3A" w:rsidRDefault="00ED0599" w:rsidP="00577F31">
      <w:pPr>
        <w:spacing w:after="0" w:line="240" w:lineRule="auto"/>
      </w:pPr>
      <w:r w:rsidRPr="008E4B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EA1F92"/>
    <w:multiLevelType w:val="multilevel"/>
    <w:tmpl w:val="A966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01744"/>
    <w:multiLevelType w:val="hybridMultilevel"/>
    <w:tmpl w:val="F4EA450E"/>
    <w:lvl w:ilvl="0" w:tplc="A2A068EE">
      <w:start w:val="1"/>
      <w:numFmt w:val="lowerLetter"/>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E528C0"/>
    <w:multiLevelType w:val="multilevel"/>
    <w:tmpl w:val="1512BC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3F000F"/>
    <w:multiLevelType w:val="multilevel"/>
    <w:tmpl w:val="EF9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FC32F4"/>
    <w:multiLevelType w:val="multilevel"/>
    <w:tmpl w:val="0DD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E2F90"/>
    <w:multiLevelType w:val="multilevel"/>
    <w:tmpl w:val="C0CE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F356F"/>
    <w:multiLevelType w:val="multilevel"/>
    <w:tmpl w:val="3AA8D21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E660DE"/>
    <w:multiLevelType w:val="multilevel"/>
    <w:tmpl w:val="B9A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6674A5"/>
    <w:multiLevelType w:val="multilevel"/>
    <w:tmpl w:val="44C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7B5E1A"/>
    <w:multiLevelType w:val="multilevel"/>
    <w:tmpl w:val="B3D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0619C"/>
    <w:multiLevelType w:val="hybridMultilevel"/>
    <w:tmpl w:val="9B1ACC7C"/>
    <w:lvl w:ilvl="0" w:tplc="3348CE22">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12" w15:restartNumberingAfterBreak="0">
    <w:nsid w:val="52DC7EAC"/>
    <w:multiLevelType w:val="hybridMultilevel"/>
    <w:tmpl w:val="B4DE3C3C"/>
    <w:lvl w:ilvl="0" w:tplc="4E72D80C">
      <w:start w:val="1"/>
      <w:numFmt w:val="decimal"/>
      <w:lvlText w:val="%1."/>
      <w:lvlJc w:val="left"/>
      <w:pPr>
        <w:ind w:left="320" w:hanging="360"/>
      </w:pPr>
      <w:rPr>
        <w:rFonts w:eastAsia="Times New Roman" w:hint="default"/>
        <w:i w:val="0"/>
        <w:iCs w:val="0"/>
      </w:rPr>
    </w:lvl>
    <w:lvl w:ilvl="1" w:tplc="04270019" w:tentative="1">
      <w:start w:val="1"/>
      <w:numFmt w:val="lowerLetter"/>
      <w:lvlText w:val="%2."/>
      <w:lvlJc w:val="left"/>
      <w:pPr>
        <w:ind w:left="1040" w:hanging="360"/>
      </w:pPr>
    </w:lvl>
    <w:lvl w:ilvl="2" w:tplc="0427001B" w:tentative="1">
      <w:start w:val="1"/>
      <w:numFmt w:val="lowerRoman"/>
      <w:lvlText w:val="%3."/>
      <w:lvlJc w:val="right"/>
      <w:pPr>
        <w:ind w:left="1760" w:hanging="180"/>
      </w:pPr>
    </w:lvl>
    <w:lvl w:ilvl="3" w:tplc="0427000F" w:tentative="1">
      <w:start w:val="1"/>
      <w:numFmt w:val="decimal"/>
      <w:lvlText w:val="%4."/>
      <w:lvlJc w:val="left"/>
      <w:pPr>
        <w:ind w:left="2480" w:hanging="360"/>
      </w:pPr>
    </w:lvl>
    <w:lvl w:ilvl="4" w:tplc="04270019" w:tentative="1">
      <w:start w:val="1"/>
      <w:numFmt w:val="lowerLetter"/>
      <w:lvlText w:val="%5."/>
      <w:lvlJc w:val="left"/>
      <w:pPr>
        <w:ind w:left="3200" w:hanging="360"/>
      </w:pPr>
    </w:lvl>
    <w:lvl w:ilvl="5" w:tplc="0427001B" w:tentative="1">
      <w:start w:val="1"/>
      <w:numFmt w:val="lowerRoman"/>
      <w:lvlText w:val="%6."/>
      <w:lvlJc w:val="right"/>
      <w:pPr>
        <w:ind w:left="3920" w:hanging="180"/>
      </w:pPr>
    </w:lvl>
    <w:lvl w:ilvl="6" w:tplc="0427000F" w:tentative="1">
      <w:start w:val="1"/>
      <w:numFmt w:val="decimal"/>
      <w:lvlText w:val="%7."/>
      <w:lvlJc w:val="left"/>
      <w:pPr>
        <w:ind w:left="4640" w:hanging="360"/>
      </w:pPr>
    </w:lvl>
    <w:lvl w:ilvl="7" w:tplc="04270019" w:tentative="1">
      <w:start w:val="1"/>
      <w:numFmt w:val="lowerLetter"/>
      <w:lvlText w:val="%8."/>
      <w:lvlJc w:val="left"/>
      <w:pPr>
        <w:ind w:left="5360" w:hanging="360"/>
      </w:pPr>
    </w:lvl>
    <w:lvl w:ilvl="8" w:tplc="0427001B" w:tentative="1">
      <w:start w:val="1"/>
      <w:numFmt w:val="lowerRoman"/>
      <w:lvlText w:val="%9."/>
      <w:lvlJc w:val="right"/>
      <w:pPr>
        <w:ind w:left="6080" w:hanging="180"/>
      </w:pPr>
    </w:lvl>
  </w:abstractNum>
  <w:abstractNum w:abstractNumId="13" w15:restartNumberingAfterBreak="0">
    <w:nsid w:val="53A532D7"/>
    <w:multiLevelType w:val="multilevel"/>
    <w:tmpl w:val="3010506C"/>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0B2B5A"/>
    <w:multiLevelType w:val="multilevel"/>
    <w:tmpl w:val="3010506C"/>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1C01A1"/>
    <w:multiLevelType w:val="hybridMultilevel"/>
    <w:tmpl w:val="C5FA7996"/>
    <w:lvl w:ilvl="0" w:tplc="CDBE8696">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301A5F"/>
    <w:multiLevelType w:val="multilevel"/>
    <w:tmpl w:val="ABD0E28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AB1A16"/>
    <w:multiLevelType w:val="multilevel"/>
    <w:tmpl w:val="00B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06E3F"/>
    <w:multiLevelType w:val="hybridMultilevel"/>
    <w:tmpl w:val="B08674E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8997640">
    <w:abstractNumId w:val="8"/>
  </w:num>
  <w:num w:numId="2" w16cid:durableId="2008290559">
    <w:abstractNumId w:val="4"/>
  </w:num>
  <w:num w:numId="3" w16cid:durableId="1247768940">
    <w:abstractNumId w:val="5"/>
  </w:num>
  <w:num w:numId="4" w16cid:durableId="383259363">
    <w:abstractNumId w:val="1"/>
  </w:num>
  <w:num w:numId="5" w16cid:durableId="1004894529">
    <w:abstractNumId w:val="9"/>
  </w:num>
  <w:num w:numId="6" w16cid:durableId="611978338">
    <w:abstractNumId w:val="17"/>
  </w:num>
  <w:num w:numId="7" w16cid:durableId="495802308">
    <w:abstractNumId w:val="7"/>
  </w:num>
  <w:num w:numId="8" w16cid:durableId="1646348883">
    <w:abstractNumId w:val="2"/>
  </w:num>
  <w:num w:numId="9" w16cid:durableId="100536451">
    <w:abstractNumId w:val="11"/>
  </w:num>
  <w:num w:numId="10" w16cid:durableId="931738214">
    <w:abstractNumId w:val="0"/>
  </w:num>
  <w:num w:numId="11" w16cid:durableId="5060966">
    <w:abstractNumId w:val="14"/>
  </w:num>
  <w:num w:numId="12" w16cid:durableId="695034385">
    <w:abstractNumId w:val="16"/>
  </w:num>
  <w:num w:numId="13" w16cid:durableId="1167287872">
    <w:abstractNumId w:val="3"/>
  </w:num>
  <w:num w:numId="14" w16cid:durableId="256520128">
    <w:abstractNumId w:val="6"/>
  </w:num>
  <w:num w:numId="15" w16cid:durableId="2097288395">
    <w:abstractNumId w:val="10"/>
  </w:num>
  <w:num w:numId="16" w16cid:durableId="526068307">
    <w:abstractNumId w:val="15"/>
  </w:num>
  <w:num w:numId="17" w16cid:durableId="1359813064">
    <w:abstractNumId w:val="12"/>
  </w:num>
  <w:num w:numId="18" w16cid:durableId="1012797622">
    <w:abstractNumId w:val="18"/>
  </w:num>
  <w:num w:numId="19" w16cid:durableId="27690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61"/>
    <w:rsid w:val="000174A4"/>
    <w:rsid w:val="00022104"/>
    <w:rsid w:val="00082EDE"/>
    <w:rsid w:val="001716C3"/>
    <w:rsid w:val="001D39AE"/>
    <w:rsid w:val="001E5C16"/>
    <w:rsid w:val="00205761"/>
    <w:rsid w:val="00211545"/>
    <w:rsid w:val="0025612D"/>
    <w:rsid w:val="002D6859"/>
    <w:rsid w:val="00354C17"/>
    <w:rsid w:val="003D2470"/>
    <w:rsid w:val="00433398"/>
    <w:rsid w:val="004624E7"/>
    <w:rsid w:val="0049760D"/>
    <w:rsid w:val="00557DA0"/>
    <w:rsid w:val="00577F31"/>
    <w:rsid w:val="005B5458"/>
    <w:rsid w:val="005D76A1"/>
    <w:rsid w:val="006215EC"/>
    <w:rsid w:val="00633BA0"/>
    <w:rsid w:val="00657EE5"/>
    <w:rsid w:val="00702EC6"/>
    <w:rsid w:val="00715F1D"/>
    <w:rsid w:val="0072562C"/>
    <w:rsid w:val="00726B99"/>
    <w:rsid w:val="007A7166"/>
    <w:rsid w:val="008009D3"/>
    <w:rsid w:val="008B36AE"/>
    <w:rsid w:val="008B4DC5"/>
    <w:rsid w:val="008E07B4"/>
    <w:rsid w:val="008E4B3A"/>
    <w:rsid w:val="009033A3"/>
    <w:rsid w:val="0091045E"/>
    <w:rsid w:val="0098232D"/>
    <w:rsid w:val="00996419"/>
    <w:rsid w:val="00A055C7"/>
    <w:rsid w:val="00A3252C"/>
    <w:rsid w:val="00A45C13"/>
    <w:rsid w:val="00A47580"/>
    <w:rsid w:val="00A6362B"/>
    <w:rsid w:val="00B35DCA"/>
    <w:rsid w:val="00B84AF1"/>
    <w:rsid w:val="00B91813"/>
    <w:rsid w:val="00BF6958"/>
    <w:rsid w:val="00C16A26"/>
    <w:rsid w:val="00C67943"/>
    <w:rsid w:val="00CE202C"/>
    <w:rsid w:val="00D43713"/>
    <w:rsid w:val="00D53088"/>
    <w:rsid w:val="00D72624"/>
    <w:rsid w:val="00D874C7"/>
    <w:rsid w:val="00DA3F60"/>
    <w:rsid w:val="00DA5362"/>
    <w:rsid w:val="00DC0B63"/>
    <w:rsid w:val="00E15DCC"/>
    <w:rsid w:val="00E37F21"/>
    <w:rsid w:val="00E54178"/>
    <w:rsid w:val="00E91A6B"/>
    <w:rsid w:val="00ED0599"/>
    <w:rsid w:val="00EE7B14"/>
    <w:rsid w:val="00EF3F3E"/>
    <w:rsid w:val="00F25539"/>
    <w:rsid w:val="00F35D2E"/>
    <w:rsid w:val="00F4156D"/>
    <w:rsid w:val="00FB6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4526"/>
  <w15:chartTrackingRefBased/>
  <w15:docId w15:val="{878AB85F-15DF-456B-87C3-79EF14EE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5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5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57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57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57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57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57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57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57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57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57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57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57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57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57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57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57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57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5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57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57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57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57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5761"/>
    <w:rPr>
      <w:i/>
      <w:iCs/>
      <w:color w:val="404040" w:themeColor="text1" w:themeTint="BF"/>
    </w:rPr>
  </w:style>
  <w:style w:type="paragraph" w:styleId="Sraopastraipa">
    <w:name w:val="List Paragraph"/>
    <w:basedOn w:val="prastasis"/>
    <w:uiPriority w:val="34"/>
    <w:qFormat/>
    <w:rsid w:val="00205761"/>
    <w:pPr>
      <w:ind w:left="720"/>
      <w:contextualSpacing/>
    </w:pPr>
  </w:style>
  <w:style w:type="character" w:styleId="Rykuspabraukimas">
    <w:name w:val="Intense Emphasis"/>
    <w:basedOn w:val="Numatytasispastraiposriftas"/>
    <w:uiPriority w:val="21"/>
    <w:qFormat/>
    <w:rsid w:val="00205761"/>
    <w:rPr>
      <w:i/>
      <w:iCs/>
      <w:color w:val="0F4761" w:themeColor="accent1" w:themeShade="BF"/>
    </w:rPr>
  </w:style>
  <w:style w:type="paragraph" w:styleId="Iskirtacitata">
    <w:name w:val="Intense Quote"/>
    <w:basedOn w:val="prastasis"/>
    <w:next w:val="prastasis"/>
    <w:link w:val="IskirtacitataDiagrama"/>
    <w:uiPriority w:val="30"/>
    <w:qFormat/>
    <w:rsid w:val="00205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5761"/>
    <w:rPr>
      <w:i/>
      <w:iCs/>
      <w:color w:val="0F4761" w:themeColor="accent1" w:themeShade="BF"/>
    </w:rPr>
  </w:style>
  <w:style w:type="character" w:styleId="Rykinuoroda">
    <w:name w:val="Intense Reference"/>
    <w:basedOn w:val="Numatytasispastraiposriftas"/>
    <w:uiPriority w:val="32"/>
    <w:qFormat/>
    <w:rsid w:val="00205761"/>
    <w:rPr>
      <w:b/>
      <w:bCs/>
      <w:smallCaps/>
      <w:color w:val="0F4761" w:themeColor="accent1" w:themeShade="BF"/>
      <w:spacing w:val="5"/>
    </w:rPr>
  </w:style>
  <w:style w:type="table" w:styleId="Lentelstinklelis">
    <w:name w:val="Table Grid"/>
    <w:basedOn w:val="prastojilentel"/>
    <w:uiPriority w:val="39"/>
    <w:rsid w:val="00B3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7F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7F31"/>
  </w:style>
  <w:style w:type="paragraph" w:styleId="Porat">
    <w:name w:val="footer"/>
    <w:basedOn w:val="prastasis"/>
    <w:link w:val="PoratDiagrama"/>
    <w:uiPriority w:val="99"/>
    <w:unhideWhenUsed/>
    <w:rsid w:val="00577F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F31"/>
  </w:style>
  <w:style w:type="paragraph" w:styleId="Puslapioinaostekstas">
    <w:name w:val="footnote text"/>
    <w:basedOn w:val="prastasis"/>
    <w:link w:val="PuslapioinaostekstasDiagrama"/>
    <w:uiPriority w:val="99"/>
    <w:semiHidden/>
    <w:unhideWhenUsed/>
    <w:rsid w:val="00577F31"/>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577F31"/>
    <w:rPr>
      <w:kern w:val="0"/>
      <w:sz w:val="20"/>
      <w:szCs w:val="20"/>
      <w14:ligatures w14:val="none"/>
    </w:rPr>
  </w:style>
  <w:style w:type="character" w:customStyle="1" w:styleId="FootnoteCharacters">
    <w:name w:val="Footnote Characters"/>
    <w:uiPriority w:val="99"/>
    <w:qFormat/>
    <w:rsid w:val="00577F31"/>
  </w:style>
  <w:style w:type="paragraph" w:styleId="prastasiniatinklio">
    <w:name w:val="Normal (Web)"/>
    <w:basedOn w:val="prastasis"/>
    <w:uiPriority w:val="99"/>
    <w:semiHidden/>
    <w:unhideWhenUsed/>
    <w:rsid w:val="008B4DC5"/>
    <w:rPr>
      <w:rFonts w:ascii="Times New Roman" w:hAnsi="Times New Roman" w:cs="Times New Roman"/>
    </w:rPr>
  </w:style>
  <w:style w:type="character" w:styleId="Komentaronuoroda">
    <w:name w:val="annotation reference"/>
    <w:basedOn w:val="Numatytasispastraiposriftas"/>
    <w:uiPriority w:val="99"/>
    <w:semiHidden/>
    <w:unhideWhenUsed/>
    <w:rsid w:val="00702EC6"/>
    <w:rPr>
      <w:sz w:val="16"/>
      <w:szCs w:val="16"/>
    </w:rPr>
  </w:style>
  <w:style w:type="paragraph" w:styleId="Komentarotekstas">
    <w:name w:val="annotation text"/>
    <w:basedOn w:val="prastasis"/>
    <w:link w:val="KomentarotekstasDiagrama"/>
    <w:uiPriority w:val="99"/>
    <w:unhideWhenUsed/>
    <w:rsid w:val="00702E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2EC6"/>
    <w:rPr>
      <w:sz w:val="20"/>
      <w:szCs w:val="20"/>
    </w:rPr>
  </w:style>
  <w:style w:type="paragraph" w:styleId="Komentarotema">
    <w:name w:val="annotation subject"/>
    <w:basedOn w:val="Komentarotekstas"/>
    <w:next w:val="Komentarotekstas"/>
    <w:link w:val="KomentarotemaDiagrama"/>
    <w:uiPriority w:val="99"/>
    <w:semiHidden/>
    <w:unhideWhenUsed/>
    <w:rsid w:val="00702EC6"/>
    <w:rPr>
      <w:b/>
      <w:bCs/>
    </w:rPr>
  </w:style>
  <w:style w:type="character" w:customStyle="1" w:styleId="KomentarotemaDiagrama">
    <w:name w:val="Komentaro tema Diagrama"/>
    <w:basedOn w:val="KomentarotekstasDiagrama"/>
    <w:link w:val="Komentarotema"/>
    <w:uiPriority w:val="99"/>
    <w:semiHidden/>
    <w:rsid w:val="00702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7556</Words>
  <Characters>4307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Abraškevičienė</dc:creator>
  <cp:keywords/>
  <dc:description/>
  <cp:lastModifiedBy>Jolita Abraškevičienė</cp:lastModifiedBy>
  <cp:revision>21</cp:revision>
  <dcterms:created xsi:type="dcterms:W3CDTF">2026-05-22T05:00:00Z</dcterms:created>
  <dcterms:modified xsi:type="dcterms:W3CDTF">2026-05-23T12:02:00Z</dcterms:modified>
</cp:coreProperties>
</file>