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ED7B" w14:textId="4E6E70A2" w:rsidR="00837042" w:rsidRPr="00837042" w:rsidRDefault="00837042" w:rsidP="00837042">
      <w:pPr>
        <w:pStyle w:val="Antrat3"/>
        <w:spacing w:before="0" w:after="0" w:line="240" w:lineRule="auto"/>
        <w:jc w:val="right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37042">
        <w:rPr>
          <w:rFonts w:ascii="Times New Roman" w:hAnsi="Times New Roman"/>
          <w:b w:val="0"/>
          <w:color w:val="000000" w:themeColor="text1"/>
          <w:sz w:val="22"/>
          <w:szCs w:val="22"/>
        </w:rPr>
        <w:t>VPP-3233, TSD-</w:t>
      </w:r>
      <w:r w:rsidR="0007378D">
        <w:rPr>
          <w:rFonts w:ascii="Times New Roman" w:hAnsi="Times New Roman"/>
          <w:b w:val="0"/>
          <w:color w:val="000000" w:themeColor="text1"/>
          <w:sz w:val="22"/>
          <w:szCs w:val="22"/>
        </w:rPr>
        <w:t>445</w:t>
      </w:r>
    </w:p>
    <w:p w14:paraId="03A5F08C" w14:textId="77777777" w:rsidR="00837042" w:rsidRPr="00837042" w:rsidRDefault="00837042" w:rsidP="00837042">
      <w:pPr>
        <w:rPr>
          <w:color w:val="000000" w:themeColor="text1"/>
          <w:lang w:eastAsia="en-US"/>
        </w:rPr>
      </w:pPr>
    </w:p>
    <w:p w14:paraId="22AF6608" w14:textId="730D058D" w:rsidR="008914C0" w:rsidRPr="00837042" w:rsidRDefault="005D6D53" w:rsidP="008914C0">
      <w:pPr>
        <w:pStyle w:val="Antrat3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837042">
        <w:rPr>
          <w:rFonts w:ascii="Times New Roman" w:hAnsi="Times New Roman"/>
          <w:color w:val="000000" w:themeColor="text1"/>
          <w:sz w:val="22"/>
          <w:szCs w:val="22"/>
        </w:rPr>
        <w:t xml:space="preserve">Individualaus </w:t>
      </w:r>
      <w:r w:rsidR="00FC1500" w:rsidRPr="00837042">
        <w:rPr>
          <w:rFonts w:ascii="Times New Roman" w:hAnsi="Times New Roman"/>
          <w:color w:val="000000" w:themeColor="text1"/>
          <w:sz w:val="22"/>
          <w:szCs w:val="22"/>
        </w:rPr>
        <w:t xml:space="preserve">žastikaulio </w:t>
      </w:r>
      <w:proofErr w:type="spellStart"/>
      <w:r w:rsidRPr="00837042">
        <w:rPr>
          <w:rFonts w:ascii="Times New Roman" w:hAnsi="Times New Roman"/>
          <w:color w:val="000000" w:themeColor="text1"/>
          <w:sz w:val="22"/>
          <w:szCs w:val="22"/>
        </w:rPr>
        <w:t>endoprotezo</w:t>
      </w:r>
      <w:proofErr w:type="spellEnd"/>
      <w:r w:rsidR="008914C0" w:rsidRPr="00837042">
        <w:rPr>
          <w:rFonts w:ascii="Times New Roman" w:hAnsi="Times New Roman"/>
          <w:color w:val="000000" w:themeColor="text1"/>
          <w:sz w:val="22"/>
          <w:szCs w:val="22"/>
        </w:rPr>
        <w:t>, išsaugančio alkūnės sąnarį,</w:t>
      </w:r>
      <w:r w:rsidRPr="0083704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5D7A9328" w14:textId="712B4D99" w:rsidR="005D6D53" w:rsidRPr="00837042" w:rsidRDefault="005D6D53" w:rsidP="008914C0">
      <w:pPr>
        <w:pStyle w:val="Antrat3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837042">
        <w:rPr>
          <w:rFonts w:ascii="Times New Roman" w:hAnsi="Times New Roman"/>
          <w:color w:val="000000" w:themeColor="text1"/>
          <w:sz w:val="22"/>
          <w:szCs w:val="22"/>
        </w:rPr>
        <w:t>techninė specifikacija</w:t>
      </w:r>
    </w:p>
    <w:p w14:paraId="254CDF85" w14:textId="77777777" w:rsidR="008914C0" w:rsidRPr="00837042" w:rsidRDefault="008914C0" w:rsidP="008914C0">
      <w:pPr>
        <w:spacing w:after="0"/>
        <w:rPr>
          <w:color w:val="000000" w:themeColor="text1"/>
          <w:sz w:val="22"/>
          <w:szCs w:val="22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5984"/>
        <w:gridCol w:w="3119"/>
      </w:tblGrid>
      <w:tr w:rsidR="00837042" w:rsidRPr="00837042" w14:paraId="66CD121B" w14:textId="77777777" w:rsidTr="00837042">
        <w:trPr>
          <w:jc w:val="center"/>
        </w:trPr>
        <w:tc>
          <w:tcPr>
            <w:tcW w:w="815" w:type="dxa"/>
          </w:tcPr>
          <w:p w14:paraId="4F715E0B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5984" w:type="dxa"/>
          </w:tcPr>
          <w:p w14:paraId="4B31A948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Pavadinimas, reikalaujamos techninės charakteristikos</w:t>
            </w:r>
          </w:p>
        </w:tc>
        <w:tc>
          <w:tcPr>
            <w:tcW w:w="3119" w:type="dxa"/>
          </w:tcPr>
          <w:p w14:paraId="1527B2F0" w14:textId="77777777" w:rsidR="008914C0" w:rsidRPr="00837042" w:rsidRDefault="008914C0" w:rsidP="008914C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Siūlomos prekės pavadinimas, </w:t>
            </w:r>
          </w:p>
          <w:p w14:paraId="408FC6DE" w14:textId="2F085D82" w:rsidR="00785737" w:rsidRPr="00837042" w:rsidRDefault="008914C0" w:rsidP="008914C0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techninės charakteristikos</w:t>
            </w:r>
          </w:p>
        </w:tc>
      </w:tr>
      <w:tr w:rsidR="00837042" w:rsidRPr="00837042" w14:paraId="0E4ACA96" w14:textId="77777777" w:rsidTr="00837042">
        <w:trPr>
          <w:jc w:val="center"/>
        </w:trPr>
        <w:tc>
          <w:tcPr>
            <w:tcW w:w="815" w:type="dxa"/>
          </w:tcPr>
          <w:p w14:paraId="643C7F61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984" w:type="dxa"/>
          </w:tcPr>
          <w:p w14:paraId="7FEFA9D1" w14:textId="1C215E46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  <w:lang w:val="it-IT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  <w:lang w:val="it-IT"/>
              </w:rPr>
              <w:t xml:space="preserve">Individualus </w:t>
            </w:r>
            <w:r w:rsidR="00FC1500" w:rsidRPr="00837042">
              <w:rPr>
                <w:rFonts w:ascii="Times New Roman" w:hAnsi="Times New Roman"/>
                <w:color w:val="000000" w:themeColor="text1"/>
                <w:sz w:val="22"/>
                <w:szCs w:val="22"/>
                <w:lang w:val="it-IT"/>
              </w:rPr>
              <w:t xml:space="preserve">totalinis žastikaulio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  <w:lang w:val="it-IT"/>
              </w:rPr>
              <w:t>endoprotezas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  <w:lang w:val="it-IT"/>
              </w:rPr>
              <w:t xml:space="preserve"> – 1 kompl.</w:t>
            </w:r>
          </w:p>
        </w:tc>
        <w:tc>
          <w:tcPr>
            <w:tcW w:w="3119" w:type="dxa"/>
          </w:tcPr>
          <w:p w14:paraId="0500E481" w14:textId="472A690A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7042" w:rsidRPr="00837042" w14:paraId="65EFE4B8" w14:textId="77777777" w:rsidTr="00837042">
        <w:trPr>
          <w:jc w:val="center"/>
        </w:trPr>
        <w:tc>
          <w:tcPr>
            <w:tcW w:w="815" w:type="dxa"/>
          </w:tcPr>
          <w:p w14:paraId="664A85ED" w14:textId="410C74A8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984" w:type="dxa"/>
          </w:tcPr>
          <w:p w14:paraId="5400C018" w14:textId="66B2D092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Endoprotezas pritaikytas </w:t>
            </w:r>
            <w:r w:rsidR="00FC150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proksimalinės </w:t>
            </w:r>
            <w:r w:rsidR="008000CE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ir diafiziarinės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žastikaulio </w:t>
            </w:r>
            <w:r w:rsidR="008000CE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dalies </w:t>
            </w:r>
            <w:r w:rsidR="00FC150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keitimui, išsaugant distalinės žastikaulio dalies epifizę.</w:t>
            </w:r>
          </w:p>
        </w:tc>
        <w:tc>
          <w:tcPr>
            <w:tcW w:w="3119" w:type="dxa"/>
          </w:tcPr>
          <w:p w14:paraId="2591D046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7042" w:rsidRPr="00837042" w14:paraId="029CD912" w14:textId="77777777" w:rsidTr="00837042">
        <w:trPr>
          <w:jc w:val="center"/>
        </w:trPr>
        <w:tc>
          <w:tcPr>
            <w:tcW w:w="815" w:type="dxa"/>
          </w:tcPr>
          <w:p w14:paraId="3F265823" w14:textId="15E42A93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984" w:type="dxa"/>
          </w:tcPr>
          <w:p w14:paraId="3D1002C4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Endoprotezas modulinis, sudarytas iš:</w:t>
            </w:r>
          </w:p>
        </w:tc>
        <w:tc>
          <w:tcPr>
            <w:tcW w:w="3119" w:type="dxa"/>
          </w:tcPr>
          <w:p w14:paraId="0100467D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7042" w:rsidRPr="00837042" w14:paraId="06AFE263" w14:textId="77777777" w:rsidTr="00837042">
        <w:trPr>
          <w:jc w:val="center"/>
        </w:trPr>
        <w:tc>
          <w:tcPr>
            <w:tcW w:w="815" w:type="dxa"/>
          </w:tcPr>
          <w:p w14:paraId="564028BC" w14:textId="6D41FF33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1.2.1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984" w:type="dxa"/>
          </w:tcPr>
          <w:p w14:paraId="7667852D" w14:textId="507458AA" w:rsidR="00785737" w:rsidRPr="00837042" w:rsidRDefault="00FC1500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Žastikaulio galv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ir humeralinė duobė. Žastikaulio galva anatominės formos, pagaminta iš titano lydinio ar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lygiavertės medžiagos. Humeralinė  duobė ne mažiau 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kaip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 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pasirenkamų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dydžių, padengta specialia titano nitrido arba lygiaverte medžiaga.</w:t>
            </w:r>
          </w:p>
        </w:tc>
        <w:tc>
          <w:tcPr>
            <w:tcW w:w="3119" w:type="dxa"/>
          </w:tcPr>
          <w:p w14:paraId="7EE08734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837042" w:rsidRPr="00837042" w14:paraId="33D27D40" w14:textId="77777777" w:rsidTr="00837042">
        <w:trPr>
          <w:jc w:val="center"/>
        </w:trPr>
        <w:tc>
          <w:tcPr>
            <w:tcW w:w="815" w:type="dxa"/>
          </w:tcPr>
          <w:p w14:paraId="248C9342" w14:textId="17E8316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1.2.2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984" w:type="dxa"/>
          </w:tcPr>
          <w:p w14:paraId="3FFA13A8" w14:textId="59D39599" w:rsidR="00785737" w:rsidRPr="00837042" w:rsidRDefault="00FC1500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Žastikaulio glenoido komponentas ir glenosfera. Žastikaulio glenoido komponentas pagamintas iš titano lydinio ar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lygiavertės medžiagos. Glenosfera ne mažiau 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kaip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 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pasirenkamų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dydžių, pagaminta iš </w:t>
            </w:r>
            <w:r w:rsidR="005B4556" w:rsidRPr="008370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itin didelės molekulinės masės polietileno</w:t>
            </w:r>
            <w:r w:rsidR="005B4556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UHM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ar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lygiavertės medžiagos.</w:t>
            </w:r>
          </w:p>
        </w:tc>
        <w:tc>
          <w:tcPr>
            <w:tcW w:w="3119" w:type="dxa"/>
          </w:tcPr>
          <w:p w14:paraId="265C0903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837042" w:rsidRPr="00837042" w14:paraId="027A19EA" w14:textId="77777777" w:rsidTr="00837042">
        <w:trPr>
          <w:jc w:val="center"/>
        </w:trPr>
        <w:tc>
          <w:tcPr>
            <w:tcW w:w="815" w:type="dxa"/>
          </w:tcPr>
          <w:p w14:paraId="183B7DDC" w14:textId="41BC0938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1.2.</w:t>
            </w:r>
            <w:r w:rsidR="008000CE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984" w:type="dxa"/>
          </w:tcPr>
          <w:p w14:paraId="3D582927" w14:textId="7DE245DA" w:rsidR="00785737" w:rsidRPr="00837042" w:rsidRDefault="00FC1500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Žastikaulio segmentai, pagaminti iš titano lydinio ar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lygiavertės medžiagos, ne mažiau 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kaip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pasirenkamų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dydžių, surakinami specialiais užrakinančiais sraigtais. 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Yra galimybė o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peracijos metu keisti rotacijos vedimo ašį.</w:t>
            </w:r>
          </w:p>
        </w:tc>
        <w:tc>
          <w:tcPr>
            <w:tcW w:w="3119" w:type="dxa"/>
          </w:tcPr>
          <w:p w14:paraId="0F5672AD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7042" w:rsidRPr="00837042" w14:paraId="14A3B7B2" w14:textId="77777777" w:rsidTr="00837042">
        <w:trPr>
          <w:jc w:val="center"/>
        </w:trPr>
        <w:tc>
          <w:tcPr>
            <w:tcW w:w="815" w:type="dxa"/>
          </w:tcPr>
          <w:p w14:paraId="5546917B" w14:textId="65BA8A26" w:rsidR="00FC1500" w:rsidRPr="00837042" w:rsidRDefault="00FC1500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1.2.</w:t>
            </w:r>
            <w:r w:rsidR="008000CE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984" w:type="dxa"/>
          </w:tcPr>
          <w:p w14:paraId="7D86C029" w14:textId="4DD53BB5" w:rsidR="00206EB4" w:rsidRPr="00837042" w:rsidRDefault="008000CE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Individualus distalinės dalies žastikaulio komponentas</w:t>
            </w:r>
            <w:r w:rsidR="00206EB4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(stiebas)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skirtas išsaugoti epifizę, pagamintas pagal paciento anatominius duomenis, becementinio tvirtinimo, turintis pol</w:t>
            </w:r>
            <w:r w:rsidR="00A7270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į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fiksacijai. </w:t>
            </w:r>
            <w:r w:rsidR="00206EB4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Esant klinikiniam poreikiui,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06EB4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pateikiami komponentai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pilna</w:t>
            </w:r>
            <w:r w:rsidR="00206EB4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distalinės dalies žastikaulio, kartu su alkūnkaulio komponentu keitim</w:t>
            </w:r>
            <w:r w:rsidR="00206EB4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ui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sujungiant juos strypu, pagamintu iš kobalto</w:t>
            </w:r>
            <w:r w:rsidR="007344E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chromo lydinio</w:t>
            </w:r>
            <w:r w:rsidR="007344E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arba lygiavertės medžiagos</w:t>
            </w:r>
            <w:r w:rsidR="00206EB4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</w:t>
            </w:r>
            <w:r w:rsidR="00206EB4" w:rsidRPr="0083704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reikiami komponentai įskaičiuoti į pasiūlymo kainą, esant poreikiui, pateikiami be papildomo apmokėjimo</w:t>
            </w:r>
            <w:r w:rsidR="00206EB4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0F480F27" w14:textId="759C055D" w:rsidR="00FC1500" w:rsidRPr="00837042" w:rsidRDefault="008000CE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Alkūnkaulio stiebai įvairių</w:t>
            </w:r>
            <w:r w:rsidR="007344E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pasirenkamų parametrų: įvairių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dydžių, kairės ir dešinės pus</w:t>
            </w:r>
            <w:r w:rsidR="007344E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ių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cementuojami ir becementiniai, pagaminti iš titano</w:t>
            </w:r>
            <w:r w:rsidR="007344E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(arba lygiavertės medžiagos) ir pagaminti iš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kobalto</w:t>
            </w:r>
            <w:r w:rsidR="007344E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-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chromo lydinio</w:t>
            </w:r>
            <w:r w:rsidR="007344E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(arba lygiavertės medžiagos)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suderinami su  distaliniu žastikaulio komponentu.</w:t>
            </w:r>
          </w:p>
        </w:tc>
        <w:tc>
          <w:tcPr>
            <w:tcW w:w="3119" w:type="dxa"/>
          </w:tcPr>
          <w:p w14:paraId="5A79FB1F" w14:textId="77777777" w:rsidR="00FC1500" w:rsidRPr="00837042" w:rsidRDefault="00FC1500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7042" w:rsidRPr="00837042" w14:paraId="70DDD0D1" w14:textId="77777777" w:rsidTr="00837042">
        <w:trPr>
          <w:jc w:val="center"/>
        </w:trPr>
        <w:tc>
          <w:tcPr>
            <w:tcW w:w="815" w:type="dxa"/>
          </w:tcPr>
          <w:p w14:paraId="2140C8ED" w14:textId="4052C7B8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1.3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984" w:type="dxa"/>
          </w:tcPr>
          <w:p w14:paraId="4D68F84D" w14:textId="584D292A" w:rsidR="00785737" w:rsidRPr="00837042" w:rsidRDefault="007344E3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Endoprotezas</w:t>
            </w:r>
            <w:r w:rsidR="00785737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žymimas CE ženklu 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</w:t>
            </w:r>
            <w:r w:rsidRPr="00837042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kartu su pasiūlymu privaloma pateikti galiojančio dokumento, liudijančio endoprotezo žymėjimą CE ženklu, kopiją</w:t>
            </w: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  <w:r w:rsidR="00785737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621F9681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7042" w:rsidRPr="00837042" w14:paraId="0C4B008E" w14:textId="77777777" w:rsidTr="00837042">
        <w:trPr>
          <w:jc w:val="center"/>
        </w:trPr>
        <w:tc>
          <w:tcPr>
            <w:tcW w:w="815" w:type="dxa"/>
          </w:tcPr>
          <w:p w14:paraId="08A0C8BB" w14:textId="42C4B79C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1.4</w:t>
            </w:r>
            <w:r w:rsidR="008914C0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984" w:type="dxa"/>
          </w:tcPr>
          <w:p w14:paraId="1B416981" w14:textId="74559C2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Į endoprotezo kainą įskaičiuotos pristatymo LSMU ligoninei Kauno klinikoms išlaidos</w:t>
            </w:r>
            <w:r w:rsidR="007344E3" w:rsidRPr="008370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41203982" w14:textId="77777777" w:rsidR="00785737" w:rsidRPr="00837042" w:rsidRDefault="00785737" w:rsidP="008B7A41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2A5313BD" w14:textId="08103CAE" w:rsidR="00837042" w:rsidRDefault="00837042" w:rsidP="00837042">
      <w:pPr>
        <w:spacing w:after="160"/>
        <w:ind w:left="142"/>
        <w:rPr>
          <w:rFonts w:ascii="Times New Roman" w:eastAsiaTheme="minorHAnsi" w:hAnsi="Times New Roman" w:cs="Times New Roman"/>
          <w:b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</w:p>
    <w:p w14:paraId="71F482CD" w14:textId="77777777" w:rsidR="00837042" w:rsidRDefault="00837042" w:rsidP="00837042">
      <w:pPr>
        <w:spacing w:after="160"/>
        <w:ind w:left="142"/>
        <w:rPr>
          <w:rFonts w:ascii="Times New Roman" w:eastAsiaTheme="minorHAnsi" w:hAnsi="Times New Roman" w:cs="Times New Roman"/>
          <w:b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</w:p>
    <w:p w14:paraId="598D4F18" w14:textId="77777777" w:rsidR="00DA6AB9" w:rsidRPr="00837042" w:rsidRDefault="00DA6AB9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DA6AB9" w:rsidRPr="00837042" w:rsidSect="0083704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3"/>
    <w:rsid w:val="0007378D"/>
    <w:rsid w:val="000D1CAE"/>
    <w:rsid w:val="00206EB4"/>
    <w:rsid w:val="005B4556"/>
    <w:rsid w:val="005D6D53"/>
    <w:rsid w:val="007344E3"/>
    <w:rsid w:val="00785737"/>
    <w:rsid w:val="008000CE"/>
    <w:rsid w:val="00837042"/>
    <w:rsid w:val="00844F71"/>
    <w:rsid w:val="008914C0"/>
    <w:rsid w:val="00A72703"/>
    <w:rsid w:val="00AD1C7A"/>
    <w:rsid w:val="00DA6AB9"/>
    <w:rsid w:val="00EC3F5A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CED"/>
  <w15:chartTrackingRefBased/>
  <w15:docId w15:val="{CE3ABD43-ED55-499E-A1EC-E437AEB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D6D53"/>
    <w:pPr>
      <w:spacing w:after="200" w:line="240" w:lineRule="auto"/>
    </w:pPr>
    <w:rPr>
      <w:rFonts w:ascii="Cambria" w:eastAsia="MS Minngs" w:hAnsi="Cambria" w:cs="Cambria"/>
      <w:kern w:val="0"/>
      <w:sz w:val="24"/>
      <w:szCs w:val="24"/>
      <w:lang w:eastAsia="ja-JP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D6D53"/>
    <w:pPr>
      <w:keepNext/>
      <w:spacing w:before="240" w:after="60" w:line="276" w:lineRule="auto"/>
      <w:outlineLvl w:val="2"/>
    </w:pPr>
    <w:rPr>
      <w:rFonts w:eastAsia="Times New Roman" w:cs="Times New Roman"/>
      <w:b/>
      <w:bCs/>
      <w:sz w:val="26"/>
      <w:szCs w:val="2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5D6D53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2462C-842D-4DAA-AC6C-7C2A630E6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509E51-E52C-4B59-AF36-114919E99A8A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F9A512F-DE30-4DA5-A00C-3ED65AC0F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dcterms:created xsi:type="dcterms:W3CDTF">2026-05-25T13:49:00Z</dcterms:created>
  <dcterms:modified xsi:type="dcterms:W3CDTF">2026-05-25T13:49:00Z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