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7" w:type="pct"/>
        <w:tblInd w:w="-436" w:type="dxa"/>
        <w:tblLayout w:type="fixed"/>
        <w:tblCellMar>
          <w:left w:w="0" w:type="dxa"/>
          <w:right w:w="0" w:type="dxa"/>
        </w:tblCellMar>
        <w:tblLook w:val="00A0" w:firstRow="1" w:lastRow="0" w:firstColumn="1" w:lastColumn="0" w:noHBand="0" w:noVBand="0"/>
      </w:tblPr>
      <w:tblGrid>
        <w:gridCol w:w="1502"/>
        <w:gridCol w:w="5233"/>
        <w:gridCol w:w="4241"/>
        <w:gridCol w:w="4235"/>
      </w:tblGrid>
      <w:tr w:rsidR="005B2C95" w:rsidRPr="00E761D3" w14:paraId="057E5988" w14:textId="77777777" w:rsidTr="0019170C">
        <w:trPr>
          <w:trHeight w:val="406"/>
          <w:tblHeader/>
        </w:trPr>
        <w:tc>
          <w:tcPr>
            <w:tcW w:w="494" w:type="pct"/>
            <w:tcBorders>
              <w:top w:val="single" w:sz="8" w:space="0" w:color="000000"/>
              <w:left w:val="single" w:sz="8" w:space="0" w:color="000000"/>
              <w:right w:val="single" w:sz="8" w:space="0" w:color="000000"/>
            </w:tcBorders>
            <w:tcMar>
              <w:top w:w="0" w:type="dxa"/>
              <w:left w:w="108" w:type="dxa"/>
              <w:bottom w:w="0" w:type="dxa"/>
              <w:right w:w="108" w:type="dxa"/>
            </w:tcMar>
          </w:tcPr>
          <w:p w14:paraId="6BED3D7F" w14:textId="77777777" w:rsidR="005B2C95" w:rsidRPr="00E761D3" w:rsidRDefault="005B2C95" w:rsidP="00CB73DD">
            <w:pPr>
              <w:spacing w:after="0"/>
              <w:rPr>
                <w:szCs w:val="24"/>
                <w:lang w:eastAsia="lt-LT"/>
              </w:rPr>
            </w:pPr>
          </w:p>
        </w:tc>
        <w:tc>
          <w:tcPr>
            <w:tcW w:w="4506" w:type="pct"/>
            <w:gridSpan w:val="3"/>
            <w:tcBorders>
              <w:top w:val="single" w:sz="8" w:space="0" w:color="000000"/>
              <w:left w:val="nil"/>
              <w:right w:val="single" w:sz="8" w:space="0" w:color="000000"/>
            </w:tcBorders>
            <w:tcMar>
              <w:top w:w="0" w:type="dxa"/>
              <w:left w:w="108" w:type="dxa"/>
              <w:bottom w:w="0" w:type="dxa"/>
              <w:right w:w="108" w:type="dxa"/>
            </w:tcMar>
          </w:tcPr>
          <w:p w14:paraId="280AB74E" w14:textId="2840D238" w:rsidR="005B2C95" w:rsidRPr="00D776EC" w:rsidRDefault="005B2C95" w:rsidP="005B2C95">
            <w:pPr>
              <w:jc w:val="center"/>
              <w:rPr>
                <w:b/>
                <w:bCs/>
              </w:rPr>
            </w:pPr>
            <w:r w:rsidRPr="00D776EC">
              <w:rPr>
                <w:b/>
                <w:bCs/>
              </w:rPr>
              <w:t>TIEKĖJŲ KVALIFIKACIJOS REIKALAVIMAI</w:t>
            </w:r>
          </w:p>
          <w:p w14:paraId="4DA9C884" w14:textId="77777777" w:rsidR="005B2C95" w:rsidRPr="00995EAB" w:rsidRDefault="005B2C95" w:rsidP="00624AD0">
            <w:pPr>
              <w:spacing w:after="0"/>
              <w:jc w:val="center"/>
              <w:rPr>
                <w:szCs w:val="24"/>
                <w:lang w:eastAsia="lt-LT"/>
              </w:rPr>
            </w:pPr>
          </w:p>
        </w:tc>
      </w:tr>
      <w:tr w:rsidR="00CB73DD" w:rsidRPr="00E761D3" w14:paraId="374D8A80" w14:textId="1AA5072C" w:rsidTr="00F102C3">
        <w:trPr>
          <w:tblHeader/>
        </w:trPr>
        <w:tc>
          <w:tcPr>
            <w:tcW w:w="4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A3144C" w14:textId="77777777" w:rsidR="00CB73DD" w:rsidRPr="00E761D3" w:rsidRDefault="00CB73DD" w:rsidP="00CB73DD">
            <w:pPr>
              <w:spacing w:after="0"/>
              <w:rPr>
                <w:b/>
                <w:bCs/>
                <w:szCs w:val="24"/>
                <w:lang w:eastAsia="lt-LT"/>
              </w:rPr>
            </w:pPr>
            <w:r w:rsidRPr="00E761D3">
              <w:rPr>
                <w:szCs w:val="24"/>
                <w:lang w:eastAsia="lt-LT"/>
              </w:rPr>
              <w:t>Eil. Nr.</w:t>
            </w:r>
          </w:p>
        </w:tc>
        <w:tc>
          <w:tcPr>
            <w:tcW w:w="172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C4E7023" w14:textId="77777777" w:rsidR="00CB73DD" w:rsidRPr="00E761D3" w:rsidRDefault="00CB73DD" w:rsidP="00624AD0">
            <w:pPr>
              <w:spacing w:after="0"/>
              <w:jc w:val="center"/>
              <w:rPr>
                <w:b/>
                <w:bCs/>
                <w:szCs w:val="24"/>
                <w:lang w:eastAsia="lt-LT"/>
              </w:rPr>
            </w:pPr>
            <w:r w:rsidRPr="00E761D3">
              <w:rPr>
                <w:szCs w:val="24"/>
                <w:lang w:eastAsia="lt-LT"/>
              </w:rPr>
              <w:t>Kvalifikacijos reikalavimai</w:t>
            </w:r>
          </w:p>
        </w:tc>
        <w:tc>
          <w:tcPr>
            <w:tcW w:w="1394"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830E852" w14:textId="77777777" w:rsidR="00CB73DD" w:rsidRPr="00E761D3" w:rsidRDefault="00CB73DD" w:rsidP="00624AD0">
            <w:pPr>
              <w:spacing w:after="0"/>
              <w:jc w:val="center"/>
              <w:rPr>
                <w:b/>
                <w:bCs/>
                <w:szCs w:val="24"/>
                <w:lang w:eastAsia="lt-LT"/>
              </w:rPr>
            </w:pPr>
            <w:r w:rsidRPr="00E761D3">
              <w:rPr>
                <w:szCs w:val="24"/>
                <w:lang w:eastAsia="lt-LT"/>
              </w:rPr>
              <w:t>Kvalifikacijos reikalavimus patvirtinantys dokumentai</w:t>
            </w:r>
          </w:p>
        </w:tc>
        <w:tc>
          <w:tcPr>
            <w:tcW w:w="1392" w:type="pct"/>
            <w:tcBorders>
              <w:top w:val="single" w:sz="8" w:space="0" w:color="000000"/>
              <w:left w:val="nil"/>
              <w:bottom w:val="single" w:sz="8" w:space="0" w:color="000000"/>
              <w:right w:val="single" w:sz="8" w:space="0" w:color="000000"/>
            </w:tcBorders>
          </w:tcPr>
          <w:p w14:paraId="4810D230" w14:textId="68FBF86E" w:rsidR="00CB73DD" w:rsidRPr="00995EAB" w:rsidRDefault="00164C58" w:rsidP="00624AD0">
            <w:pPr>
              <w:spacing w:after="0"/>
              <w:jc w:val="center"/>
              <w:rPr>
                <w:szCs w:val="24"/>
                <w:lang w:eastAsia="lt-LT"/>
              </w:rPr>
            </w:pPr>
            <w:r w:rsidRPr="00995EAB">
              <w:rPr>
                <w:szCs w:val="24"/>
                <w:lang w:eastAsia="lt-LT"/>
              </w:rPr>
              <w:t>Reikalavimas taikomas</w:t>
            </w:r>
          </w:p>
        </w:tc>
      </w:tr>
      <w:tr w:rsidR="00CB73DD" w:rsidRPr="00E761D3" w14:paraId="59DF61B4" w14:textId="7551C058" w:rsidTr="00F102C3">
        <w:trPr>
          <w:tblHeader/>
        </w:trPr>
        <w:tc>
          <w:tcPr>
            <w:tcW w:w="4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C71BE1" w14:textId="77777777" w:rsidR="00CB73DD" w:rsidRPr="00E761D3" w:rsidRDefault="00CB73DD" w:rsidP="00624AD0">
            <w:pPr>
              <w:spacing w:after="0"/>
              <w:jc w:val="center"/>
              <w:rPr>
                <w:szCs w:val="24"/>
                <w:lang w:eastAsia="lt-LT"/>
              </w:rPr>
            </w:pPr>
            <w:r w:rsidRPr="00E761D3">
              <w:rPr>
                <w:szCs w:val="24"/>
                <w:lang w:eastAsia="lt-LT"/>
              </w:rPr>
              <w:t>3.1.1.</w:t>
            </w:r>
          </w:p>
        </w:tc>
        <w:tc>
          <w:tcPr>
            <w:tcW w:w="172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85563C" w14:textId="77777777" w:rsidR="00CB73DD" w:rsidRPr="00E761D3" w:rsidRDefault="00CB73DD" w:rsidP="00624AD0">
            <w:pPr>
              <w:tabs>
                <w:tab w:val="left" w:pos="1134"/>
              </w:tabs>
              <w:suppressAutoHyphens/>
              <w:ind w:firstLine="32"/>
              <w:jc w:val="both"/>
              <w:rPr>
                <w:szCs w:val="24"/>
              </w:rPr>
            </w:pPr>
            <w:r w:rsidRPr="00E761D3">
              <w:rPr>
                <w:szCs w:val="24"/>
                <w:lang w:eastAsia="lt-LT"/>
              </w:rPr>
              <w:t xml:space="preserve">Tiekėjas turi turėti gedimų registravimo sistemą </w:t>
            </w:r>
            <w:r w:rsidRPr="00E761D3">
              <w:rPr>
                <w:szCs w:val="24"/>
              </w:rPr>
              <w:t>(</w:t>
            </w:r>
            <w:r w:rsidRPr="00E761D3">
              <w:rPr>
                <w:i/>
                <w:iCs/>
                <w:szCs w:val="24"/>
              </w:rPr>
              <w:t>angl. Service Desk</w:t>
            </w:r>
            <w:r w:rsidRPr="00E761D3">
              <w:rPr>
                <w:szCs w:val="24"/>
              </w:rPr>
              <w:t xml:space="preserve">). Sistema privalo būti teikiama interneto tinklapyje </w:t>
            </w:r>
            <w:r w:rsidRPr="00E761D3">
              <w:rPr>
                <w:rStyle w:val="normaltextrun"/>
                <w:szCs w:val="24"/>
              </w:rPr>
              <w:t xml:space="preserve">veikiančiame HTTPS protokolu. </w:t>
            </w:r>
            <w:r w:rsidRPr="00E761D3">
              <w:rPr>
                <w:szCs w:val="24"/>
              </w:rPr>
              <w:t xml:space="preserve">Sistema turi </w:t>
            </w:r>
            <w:r w:rsidRPr="00E761D3">
              <w:rPr>
                <w:rStyle w:val="normaltextrun"/>
                <w:szCs w:val="24"/>
              </w:rPr>
              <w:t xml:space="preserve">suteikti galimybes </w:t>
            </w:r>
            <w:r w:rsidRPr="00E761D3">
              <w:rPr>
                <w:szCs w:val="24"/>
              </w:rPr>
              <w:t>registruoti incidentus, formuoti ataskaitas įvairiais pjūviais: nepradėta, vykdoma, įvykdyta. Sistema privalo turėti incidentų, problemų, pakeitimų ir konfigūracijų valdymo funkcionalumą. Sistema turi turėti galimybę vartotojams automatiškai pateikti informaciją apie registruotą užklausą, jos vykdymo eigą per mobiliają aplikaciją palaikančią Android ir iOS įrenginiuos</w:t>
            </w:r>
            <w:r>
              <w:rPr>
                <w:szCs w:val="24"/>
              </w:rPr>
              <w:t>e</w:t>
            </w:r>
            <w:r w:rsidRPr="00E761D3">
              <w:rPr>
                <w:szCs w:val="24"/>
              </w:rPr>
              <w:t>.  Sistemos vartotojams turi būti suteikta galimybė pasirinkti vartotojo kalbos sąsają: lietuvių, anglų, rusų. Sistema privalo atitikti IT paslaugų valdymo ITIL ar lygiavertę metodologiją.</w:t>
            </w:r>
          </w:p>
        </w:tc>
        <w:tc>
          <w:tcPr>
            <w:tcW w:w="1394"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74A3148" w14:textId="3FDFF2A7" w:rsidR="00CB73DD" w:rsidRDefault="00CB73DD" w:rsidP="00624AD0">
            <w:pPr>
              <w:spacing w:after="0"/>
              <w:jc w:val="both"/>
              <w:rPr>
                <w:szCs w:val="24"/>
                <w:lang w:eastAsia="lt-LT"/>
              </w:rPr>
            </w:pPr>
            <w:r w:rsidRPr="00E761D3">
              <w:rPr>
                <w:szCs w:val="24"/>
                <w:lang w:eastAsia="lt-LT"/>
              </w:rPr>
              <w:t>Tiekėjo pažyma arba kiti lygiaverčiai dokumentai apie turimą pagalbos tarnybos (</w:t>
            </w:r>
            <w:r w:rsidRPr="00E761D3">
              <w:rPr>
                <w:i/>
                <w:iCs/>
                <w:szCs w:val="24"/>
                <w:lang w:eastAsia="lt-LT"/>
              </w:rPr>
              <w:t>angl. Service Desk</w:t>
            </w:r>
            <w:r w:rsidRPr="00E761D3">
              <w:rPr>
                <w:szCs w:val="24"/>
                <w:lang w:eastAsia="lt-LT"/>
              </w:rPr>
              <w:t xml:space="preserve">) sistemą, atitinkančią paslaugų valdymo metodologiją ITIL arba lygiavertę. Tiekėjas turi pateikti gedimų registravimo sistemos aprašymą. Tiekėjas turi nurodyti gedimų registravimo sistemos internetinį adresą, prisijungimo duomenis. </w:t>
            </w:r>
          </w:p>
          <w:p w14:paraId="7451902A" w14:textId="77777777" w:rsidR="00CB73DD" w:rsidRPr="00AF5198" w:rsidRDefault="00CB73DD" w:rsidP="00624AD0">
            <w:pPr>
              <w:rPr>
                <w:szCs w:val="24"/>
                <w:lang w:eastAsia="lt-LT"/>
              </w:rPr>
            </w:pPr>
          </w:p>
          <w:p w14:paraId="2091FDC4" w14:textId="77777777" w:rsidR="00CB73DD" w:rsidRPr="00B96BE1" w:rsidRDefault="00CB73DD" w:rsidP="00624AD0">
            <w:pPr>
              <w:rPr>
                <w:i/>
                <w:iCs/>
                <w:szCs w:val="24"/>
              </w:rPr>
            </w:pPr>
            <w:r w:rsidRPr="00B96BE1">
              <w:rPr>
                <w:i/>
                <w:iCs/>
                <w:szCs w:val="24"/>
              </w:rPr>
              <w:t xml:space="preserve">CVP IS priemonėmis pateikiamas </w:t>
            </w:r>
            <w:r w:rsidRPr="00B96BE1">
              <w:rPr>
                <w:i/>
                <w:iCs/>
                <w:szCs w:val="24"/>
                <w:lang w:eastAsia="lt-LT"/>
              </w:rPr>
              <w:t>skenuotas dokumentas elektroninėje formoje.</w:t>
            </w:r>
          </w:p>
          <w:p w14:paraId="1BC118C1" w14:textId="77777777" w:rsidR="00CB73DD" w:rsidRPr="00AF5198" w:rsidRDefault="00CB73DD" w:rsidP="00624AD0">
            <w:pPr>
              <w:rPr>
                <w:szCs w:val="24"/>
                <w:lang w:eastAsia="lt-LT"/>
              </w:rPr>
            </w:pPr>
          </w:p>
        </w:tc>
        <w:tc>
          <w:tcPr>
            <w:tcW w:w="1392" w:type="pct"/>
            <w:tcBorders>
              <w:top w:val="single" w:sz="8" w:space="0" w:color="000000"/>
              <w:left w:val="nil"/>
              <w:bottom w:val="single" w:sz="8" w:space="0" w:color="000000"/>
              <w:right w:val="single" w:sz="8" w:space="0" w:color="000000"/>
            </w:tcBorders>
          </w:tcPr>
          <w:p w14:paraId="752612DD" w14:textId="77777777" w:rsidR="000F2583" w:rsidRPr="00995EAB" w:rsidRDefault="000F2583" w:rsidP="000F2583">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 jeigu pasiūlymą teikia ūkio subjektų grupė – reikalavimą turi atitikti visi ūkio subjektų grupės nariai kartu, atsižvelgiant į jų prisiimamus įsipareigojimus pirkimo sutarčiai vykdyti (ūkio subjektų grupės narių turima patirtis sumuojama);</w:t>
            </w:r>
          </w:p>
          <w:p w14:paraId="50AE96BB" w14:textId="77777777" w:rsidR="000F2583" w:rsidRPr="00995EAB" w:rsidRDefault="000F2583" w:rsidP="000F2583">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 tiekėjas gali remtis kitų ūkio subjektų pajėgumais atsižvelgiant į jų prisiimamus įsipareigojimus pirkimo sutarčiai vykdyti;</w:t>
            </w:r>
          </w:p>
          <w:p w14:paraId="5C4CEB00" w14:textId="54D953E2" w:rsidR="00CB73DD" w:rsidRPr="00995EAB" w:rsidRDefault="000F2583" w:rsidP="000F2583">
            <w:pPr>
              <w:spacing w:after="0"/>
              <w:jc w:val="both"/>
              <w:rPr>
                <w:szCs w:val="24"/>
                <w:lang w:eastAsia="lt-LT"/>
              </w:rPr>
            </w:pPr>
            <w:r w:rsidRPr="00995EAB">
              <w:rPr>
                <w:bCs/>
                <w:iCs/>
                <w:szCs w:val="24"/>
              </w:rPr>
              <w:t>• subtiekėjai – tiekėjas turi paaiškinti, kaip subtiekėjai laikysis (ir kaip tiekėjas užtikrins, kad subtiekėjai laikytųsi) reikalavimo laikymąsi.</w:t>
            </w:r>
          </w:p>
        </w:tc>
      </w:tr>
      <w:tr w:rsidR="00CB73DD" w:rsidRPr="00E761D3" w14:paraId="350E266A" w14:textId="3C8F8240" w:rsidTr="00F102C3">
        <w:trPr>
          <w:tblHeader/>
        </w:trPr>
        <w:tc>
          <w:tcPr>
            <w:tcW w:w="494"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9B41C11" w14:textId="77777777" w:rsidR="00CB73DD" w:rsidRPr="00E761D3" w:rsidRDefault="00CB73DD" w:rsidP="00624AD0">
            <w:pPr>
              <w:spacing w:after="0"/>
              <w:jc w:val="both"/>
              <w:rPr>
                <w:szCs w:val="24"/>
                <w:lang w:eastAsia="lt-LT"/>
              </w:rPr>
            </w:pPr>
            <w:r w:rsidRPr="00E761D3">
              <w:rPr>
                <w:szCs w:val="24"/>
                <w:lang w:eastAsia="lt-LT"/>
              </w:rPr>
              <w:lastRenderedPageBreak/>
              <w:t>3.1.2.</w:t>
            </w:r>
          </w:p>
        </w:tc>
        <w:tc>
          <w:tcPr>
            <w:tcW w:w="1720"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3DA5A4AC" w14:textId="77777777" w:rsidR="00CB73DD" w:rsidRPr="00E761D3" w:rsidRDefault="00CB73DD" w:rsidP="00624AD0">
            <w:pPr>
              <w:spacing w:after="0"/>
              <w:jc w:val="both"/>
              <w:rPr>
                <w:szCs w:val="24"/>
                <w:lang w:eastAsia="lt-LT"/>
              </w:rPr>
            </w:pPr>
            <w:r w:rsidRPr="00E761D3">
              <w:rPr>
                <w:szCs w:val="24"/>
                <w:lang w:eastAsia="lt-LT"/>
              </w:rPr>
              <w:t xml:space="preserve">Tiekėjas turi turėti </w:t>
            </w:r>
            <w:r>
              <w:rPr>
                <w:szCs w:val="24"/>
                <w:lang w:eastAsia="lt-LT"/>
              </w:rPr>
              <w:t>ne mažiau kaip</w:t>
            </w:r>
            <w:r w:rsidRPr="00E761D3">
              <w:rPr>
                <w:szCs w:val="24"/>
                <w:lang w:eastAsia="lt-LT"/>
              </w:rPr>
              <w:t xml:space="preserve"> 1</w:t>
            </w:r>
            <w:r>
              <w:rPr>
                <w:szCs w:val="24"/>
                <w:lang w:eastAsia="lt-LT"/>
              </w:rPr>
              <w:t xml:space="preserve"> (vieną)</w:t>
            </w:r>
            <w:r w:rsidRPr="00E761D3">
              <w:rPr>
                <w:szCs w:val="24"/>
                <w:lang w:eastAsia="lt-LT"/>
              </w:rPr>
              <w:t xml:space="preserve"> kvalifikuotą specialistą, turintį VMware VCP-DCV kvalifikaciją.</w:t>
            </w:r>
          </w:p>
          <w:p w14:paraId="16AB34ED" w14:textId="77777777" w:rsidR="00CB73DD" w:rsidRPr="00E761D3" w:rsidRDefault="00CB73DD" w:rsidP="00624AD0">
            <w:pPr>
              <w:spacing w:after="0"/>
              <w:jc w:val="both"/>
              <w:rPr>
                <w:szCs w:val="24"/>
                <w:lang w:eastAsia="lt-LT"/>
              </w:rPr>
            </w:pPr>
          </w:p>
        </w:tc>
        <w:tc>
          <w:tcPr>
            <w:tcW w:w="1394"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411A24CA" w14:textId="77777777" w:rsidR="00CB73DD" w:rsidRDefault="00CB73DD" w:rsidP="00624AD0">
            <w:pPr>
              <w:spacing w:after="0"/>
              <w:jc w:val="both"/>
              <w:rPr>
                <w:szCs w:val="24"/>
                <w:lang w:eastAsia="lt-LT"/>
              </w:rPr>
            </w:pPr>
            <w:r w:rsidRPr="00E761D3">
              <w:rPr>
                <w:szCs w:val="24"/>
                <w:lang w:eastAsia="lt-LT"/>
              </w:rPr>
              <w:t xml:space="preserve">VMware gamintojo išduotas sertifikatas. </w:t>
            </w:r>
          </w:p>
          <w:p w14:paraId="2302382B" w14:textId="77777777" w:rsidR="00CB73DD" w:rsidRPr="00E761D3" w:rsidRDefault="00CB73DD" w:rsidP="00624AD0">
            <w:pPr>
              <w:spacing w:after="0"/>
              <w:jc w:val="both"/>
              <w:rPr>
                <w:szCs w:val="24"/>
                <w:lang w:eastAsia="lt-LT"/>
              </w:rPr>
            </w:pPr>
          </w:p>
          <w:p w14:paraId="27319AD8" w14:textId="77777777" w:rsidR="00CB73DD" w:rsidRPr="00B96BE1" w:rsidRDefault="00CB73DD" w:rsidP="00624AD0">
            <w:pPr>
              <w:rPr>
                <w:szCs w:val="24"/>
                <w:lang w:eastAsia="lt-LT"/>
              </w:rPr>
            </w:pPr>
            <w:r w:rsidRPr="00B96BE1">
              <w:rPr>
                <w:i/>
                <w:iCs/>
                <w:szCs w:val="24"/>
              </w:rPr>
              <w:t xml:space="preserve">CVP IS priemonėmis pateikiamas </w:t>
            </w:r>
            <w:r w:rsidRPr="00B96BE1">
              <w:rPr>
                <w:i/>
                <w:iCs/>
                <w:szCs w:val="24"/>
                <w:lang w:eastAsia="lt-LT"/>
              </w:rPr>
              <w:t>skenuotas dokumentas elektroninėje formoje.</w:t>
            </w:r>
          </w:p>
        </w:tc>
        <w:tc>
          <w:tcPr>
            <w:tcW w:w="1392" w:type="pct"/>
            <w:tcBorders>
              <w:top w:val="single" w:sz="4" w:space="0" w:color="auto"/>
              <w:left w:val="nil"/>
              <w:bottom w:val="single" w:sz="4" w:space="0" w:color="auto"/>
              <w:right w:val="single" w:sz="8" w:space="0" w:color="000000"/>
            </w:tcBorders>
          </w:tcPr>
          <w:p w14:paraId="0C801EC3" w14:textId="77777777" w:rsidR="00EE1A4D" w:rsidRPr="00995EAB" w:rsidRDefault="00EE1A4D" w:rsidP="00EE1A4D">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 Jeigu pasiūlymą teikia ūkio subjektų grupė – reikalavimą turi atitikti ūkio subjektų grupės nario (-ių) specialistas(-ai), atsižvelgiant į jų prisiimamus įsipareigojimus pirkimo sutarčiai vykdyti;</w:t>
            </w:r>
          </w:p>
          <w:p w14:paraId="2A28CEA5" w14:textId="77777777" w:rsidR="00EE1A4D" w:rsidRPr="00995EAB" w:rsidRDefault="00EE1A4D" w:rsidP="00EE1A4D">
            <w:pPr>
              <w:pStyle w:val="NoSpacing"/>
              <w:jc w:val="both"/>
              <w:rPr>
                <w:rFonts w:ascii="Times New Roman" w:eastAsia="Calibri" w:hAnsi="Times New Roman" w:cs="Times New Roman"/>
                <w:bCs/>
                <w:iCs/>
                <w:sz w:val="24"/>
                <w:szCs w:val="24"/>
                <w:lang w:eastAsia="en-US"/>
              </w:rPr>
            </w:pPr>
          </w:p>
          <w:p w14:paraId="7A8C656E" w14:textId="77777777" w:rsidR="00EE1A4D" w:rsidRPr="00995EAB" w:rsidRDefault="00EE1A4D" w:rsidP="00EE1A4D">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 tiekėjas gali remtis kitų ūkio subjektų pajėgumais tik tuo atveju, jeigu tie subjektai (jų darbuotojai);</w:t>
            </w:r>
          </w:p>
          <w:p w14:paraId="771C36D3" w14:textId="77777777" w:rsidR="00EE1A4D" w:rsidRPr="00995EAB" w:rsidRDefault="00EE1A4D" w:rsidP="00EE1A4D">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patys vykdys tą pirkimo sutarties dalį, kuriai reikia jų turimų pajėgumų;</w:t>
            </w:r>
          </w:p>
          <w:p w14:paraId="10704540" w14:textId="77777777" w:rsidR="00EE1A4D" w:rsidRPr="00995EAB" w:rsidRDefault="00EE1A4D" w:rsidP="00EE1A4D">
            <w:pPr>
              <w:pStyle w:val="NoSpacing"/>
              <w:jc w:val="both"/>
              <w:rPr>
                <w:rFonts w:ascii="Times New Roman" w:eastAsia="Calibri" w:hAnsi="Times New Roman" w:cs="Times New Roman"/>
                <w:bCs/>
                <w:iCs/>
                <w:sz w:val="24"/>
                <w:szCs w:val="24"/>
                <w:lang w:eastAsia="en-US"/>
              </w:rPr>
            </w:pPr>
          </w:p>
          <w:p w14:paraId="6884AAA3" w14:textId="3E1D60D2" w:rsidR="00CB73DD" w:rsidRPr="00995EAB" w:rsidRDefault="00EE1A4D" w:rsidP="00EE1A4D">
            <w:pPr>
              <w:spacing w:after="0"/>
              <w:jc w:val="both"/>
              <w:rPr>
                <w:szCs w:val="24"/>
                <w:lang w:eastAsia="lt-LT"/>
              </w:rPr>
            </w:pPr>
            <w:r w:rsidRPr="00995EAB">
              <w:rPr>
                <w:bCs/>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B73DD" w:rsidRPr="00E761D3" w14:paraId="4EB5A221" w14:textId="0A99A9D6" w:rsidTr="00F102C3">
        <w:trPr>
          <w:tblHeader/>
        </w:trPr>
        <w:tc>
          <w:tcPr>
            <w:tcW w:w="494"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E47118" w14:textId="77777777" w:rsidR="00CB73DD" w:rsidRPr="00E761D3" w:rsidRDefault="00CB73DD" w:rsidP="00624AD0">
            <w:pPr>
              <w:spacing w:after="0"/>
              <w:jc w:val="both"/>
              <w:rPr>
                <w:szCs w:val="24"/>
                <w:lang w:eastAsia="lt-LT"/>
              </w:rPr>
            </w:pPr>
            <w:r w:rsidRPr="00E761D3">
              <w:rPr>
                <w:szCs w:val="24"/>
                <w:lang w:eastAsia="lt-LT"/>
              </w:rPr>
              <w:lastRenderedPageBreak/>
              <w:t>3.1.3.</w:t>
            </w:r>
          </w:p>
        </w:tc>
        <w:tc>
          <w:tcPr>
            <w:tcW w:w="1720"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28D39597" w14:textId="77777777" w:rsidR="00CB73DD" w:rsidRPr="00E761D3" w:rsidRDefault="00CB73DD" w:rsidP="00624AD0">
            <w:pPr>
              <w:spacing w:after="0"/>
              <w:jc w:val="both"/>
              <w:rPr>
                <w:szCs w:val="24"/>
                <w:lang w:eastAsia="lt-LT"/>
              </w:rPr>
            </w:pPr>
            <w:r w:rsidRPr="00E761D3">
              <w:rPr>
                <w:szCs w:val="24"/>
                <w:lang w:eastAsia="lt-LT"/>
              </w:rPr>
              <w:t xml:space="preserve">Tiekėjas turi turėti </w:t>
            </w:r>
            <w:r>
              <w:rPr>
                <w:szCs w:val="24"/>
                <w:lang w:eastAsia="lt-LT"/>
              </w:rPr>
              <w:t>ne mažiau kaip</w:t>
            </w:r>
            <w:r w:rsidRPr="00E761D3">
              <w:rPr>
                <w:szCs w:val="24"/>
                <w:lang w:eastAsia="lt-LT"/>
              </w:rPr>
              <w:t xml:space="preserve"> 1</w:t>
            </w:r>
            <w:r>
              <w:rPr>
                <w:szCs w:val="24"/>
                <w:lang w:eastAsia="lt-LT"/>
              </w:rPr>
              <w:t xml:space="preserve"> (vieną)</w:t>
            </w:r>
            <w:r w:rsidRPr="00E761D3">
              <w:rPr>
                <w:szCs w:val="24"/>
                <w:lang w:eastAsia="lt-LT"/>
              </w:rPr>
              <w:t xml:space="preserve"> kvalifikuotą specialistą, turintį Check Point Software Technologies </w:t>
            </w:r>
            <w:r w:rsidRPr="00E761D3">
              <w:rPr>
                <w:i/>
                <w:iCs/>
                <w:szCs w:val="24"/>
                <w:lang w:eastAsia="lt-LT"/>
              </w:rPr>
              <w:t xml:space="preserve">Certified Security Expert </w:t>
            </w:r>
            <w:r w:rsidRPr="00E761D3">
              <w:rPr>
                <w:szCs w:val="24"/>
                <w:lang w:eastAsia="lt-LT"/>
              </w:rPr>
              <w:t>kvalifikaciją.</w:t>
            </w:r>
          </w:p>
        </w:tc>
        <w:tc>
          <w:tcPr>
            <w:tcW w:w="1394"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581E7CAC" w14:textId="77777777" w:rsidR="00CB73DD" w:rsidRDefault="00CB73DD" w:rsidP="00624AD0">
            <w:pPr>
              <w:spacing w:after="0"/>
              <w:jc w:val="both"/>
              <w:rPr>
                <w:szCs w:val="24"/>
                <w:lang w:eastAsia="lt-LT"/>
              </w:rPr>
            </w:pPr>
            <w:r w:rsidRPr="00E761D3">
              <w:rPr>
                <w:szCs w:val="24"/>
                <w:lang w:eastAsia="lt-LT"/>
              </w:rPr>
              <w:t>Check Point Software Technologies gamintojo išduotas sertifikatas.</w:t>
            </w:r>
          </w:p>
          <w:p w14:paraId="24A1C2E1" w14:textId="77777777" w:rsidR="00CB73DD" w:rsidRPr="00E761D3" w:rsidRDefault="00CB73DD" w:rsidP="00624AD0">
            <w:pPr>
              <w:spacing w:after="0"/>
              <w:jc w:val="both"/>
              <w:rPr>
                <w:szCs w:val="24"/>
                <w:lang w:eastAsia="lt-LT"/>
              </w:rPr>
            </w:pPr>
          </w:p>
          <w:p w14:paraId="6CBDF6E5" w14:textId="77777777" w:rsidR="00CB73DD" w:rsidRPr="00B96BE1" w:rsidRDefault="00CB73DD" w:rsidP="00624AD0">
            <w:pPr>
              <w:rPr>
                <w:szCs w:val="24"/>
                <w:lang w:val="en-US" w:eastAsia="lt-LT"/>
              </w:rPr>
            </w:pPr>
            <w:r w:rsidRPr="00B96BE1">
              <w:rPr>
                <w:i/>
                <w:iCs/>
                <w:szCs w:val="24"/>
              </w:rPr>
              <w:t xml:space="preserve">CVP IS priemonėmis pateikiamas </w:t>
            </w:r>
            <w:r w:rsidRPr="00B96BE1">
              <w:rPr>
                <w:i/>
                <w:iCs/>
                <w:szCs w:val="24"/>
                <w:lang w:eastAsia="lt-LT"/>
              </w:rPr>
              <w:t>skenuotas dokumentas elektroninėje formoje.</w:t>
            </w:r>
          </w:p>
        </w:tc>
        <w:tc>
          <w:tcPr>
            <w:tcW w:w="1392" w:type="pct"/>
            <w:tcBorders>
              <w:top w:val="single" w:sz="4" w:space="0" w:color="auto"/>
              <w:left w:val="nil"/>
              <w:bottom w:val="single" w:sz="4" w:space="0" w:color="auto"/>
              <w:right w:val="single" w:sz="8" w:space="0" w:color="000000"/>
            </w:tcBorders>
          </w:tcPr>
          <w:p w14:paraId="0E25B5A0" w14:textId="77777777" w:rsidR="00995EAB" w:rsidRPr="00995EAB" w:rsidRDefault="00995EAB" w:rsidP="00995EAB">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 Jeigu pasiūlymą teikia ūkio subjektų grupė – reikalavimą turi atitikti ūkio subjektų grupės nario (-ių) specialistas(-ai), atsižvelgiant į jų prisiimamus įsipareigojimus pirkimo sutarčiai vykdyti;</w:t>
            </w:r>
          </w:p>
          <w:p w14:paraId="57B5611D" w14:textId="77777777" w:rsidR="00995EAB" w:rsidRPr="00995EAB" w:rsidRDefault="00995EAB" w:rsidP="00995EAB">
            <w:pPr>
              <w:pStyle w:val="NoSpacing"/>
              <w:jc w:val="both"/>
              <w:rPr>
                <w:rFonts w:ascii="Times New Roman" w:eastAsia="Calibri" w:hAnsi="Times New Roman" w:cs="Times New Roman"/>
                <w:bCs/>
                <w:iCs/>
                <w:sz w:val="24"/>
                <w:szCs w:val="24"/>
                <w:lang w:eastAsia="en-US"/>
              </w:rPr>
            </w:pPr>
          </w:p>
          <w:p w14:paraId="645B72E5" w14:textId="77777777" w:rsidR="00995EAB" w:rsidRPr="00995EAB" w:rsidRDefault="00995EAB" w:rsidP="00995EAB">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 tiekėjas gali remtis kitų ūkio subjektų pajėgumais tik tuo atveju, jeigu tie subjektai (jų darbuotojai);</w:t>
            </w:r>
          </w:p>
          <w:p w14:paraId="2353A178" w14:textId="77777777" w:rsidR="00995EAB" w:rsidRPr="00995EAB" w:rsidRDefault="00995EAB" w:rsidP="00995EAB">
            <w:pPr>
              <w:pStyle w:val="NoSpacing"/>
              <w:jc w:val="both"/>
              <w:rPr>
                <w:rFonts w:ascii="Times New Roman" w:eastAsia="Calibri" w:hAnsi="Times New Roman" w:cs="Times New Roman"/>
                <w:bCs/>
                <w:iCs/>
                <w:sz w:val="24"/>
                <w:szCs w:val="24"/>
                <w:lang w:eastAsia="en-US"/>
              </w:rPr>
            </w:pPr>
            <w:r w:rsidRPr="00995EAB">
              <w:rPr>
                <w:rFonts w:ascii="Times New Roman" w:eastAsia="Calibri" w:hAnsi="Times New Roman" w:cs="Times New Roman"/>
                <w:bCs/>
                <w:iCs/>
                <w:sz w:val="24"/>
                <w:szCs w:val="24"/>
                <w:lang w:eastAsia="en-US"/>
              </w:rPr>
              <w:t>patys vykdys tą pirkimo sutarties dalį, kuriai reikia jų turimų pajėgumų;</w:t>
            </w:r>
          </w:p>
          <w:p w14:paraId="5A66501C" w14:textId="77777777" w:rsidR="00995EAB" w:rsidRPr="00995EAB" w:rsidRDefault="00995EAB" w:rsidP="00995EAB">
            <w:pPr>
              <w:pStyle w:val="NoSpacing"/>
              <w:jc w:val="both"/>
              <w:rPr>
                <w:rFonts w:ascii="Times New Roman" w:eastAsia="Calibri" w:hAnsi="Times New Roman" w:cs="Times New Roman"/>
                <w:bCs/>
                <w:iCs/>
                <w:sz w:val="24"/>
                <w:szCs w:val="24"/>
                <w:lang w:eastAsia="en-US"/>
              </w:rPr>
            </w:pPr>
          </w:p>
          <w:p w14:paraId="44153143" w14:textId="221C2202" w:rsidR="00CB73DD" w:rsidRPr="00995EAB" w:rsidRDefault="00995EAB" w:rsidP="00995EAB">
            <w:pPr>
              <w:spacing w:after="0"/>
              <w:jc w:val="both"/>
              <w:rPr>
                <w:szCs w:val="24"/>
                <w:lang w:eastAsia="lt-LT"/>
              </w:rPr>
            </w:pPr>
            <w:r w:rsidRPr="00995EAB">
              <w:rPr>
                <w:bCs/>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290EDD0" w14:textId="77777777" w:rsidR="00E669BC" w:rsidRPr="00E761D3" w:rsidRDefault="00E669BC" w:rsidP="00E669BC">
      <w:pPr>
        <w:pStyle w:val="Body2"/>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lt-LT"/>
        </w:rPr>
      </w:pPr>
    </w:p>
    <w:p w14:paraId="0CFFE396" w14:textId="77777777" w:rsidR="002934CE" w:rsidRDefault="002934CE"/>
    <w:sectPr w:rsidR="002934CE" w:rsidSect="00790B82">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C5CD" w14:textId="77777777" w:rsidR="00934E98" w:rsidRDefault="00934E98" w:rsidP="00A63E4E">
      <w:pPr>
        <w:spacing w:after="0"/>
      </w:pPr>
      <w:r>
        <w:separator/>
      </w:r>
    </w:p>
  </w:endnote>
  <w:endnote w:type="continuationSeparator" w:id="0">
    <w:p w14:paraId="178DDF25" w14:textId="77777777" w:rsidR="00934E98" w:rsidRDefault="00934E98" w:rsidP="00A63E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C40D" w14:textId="77777777" w:rsidR="00934E98" w:rsidRDefault="00934E98" w:rsidP="00A63E4E">
      <w:pPr>
        <w:spacing w:after="0"/>
      </w:pPr>
      <w:r>
        <w:separator/>
      </w:r>
    </w:p>
  </w:footnote>
  <w:footnote w:type="continuationSeparator" w:id="0">
    <w:p w14:paraId="04264E40" w14:textId="77777777" w:rsidR="00934E98" w:rsidRDefault="00934E98" w:rsidP="00A63E4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BC"/>
    <w:rsid w:val="00071504"/>
    <w:rsid w:val="000F2583"/>
    <w:rsid w:val="00164C58"/>
    <w:rsid w:val="0019170C"/>
    <w:rsid w:val="00223690"/>
    <w:rsid w:val="00261303"/>
    <w:rsid w:val="002934CE"/>
    <w:rsid w:val="003D13C4"/>
    <w:rsid w:val="00440C96"/>
    <w:rsid w:val="004B621F"/>
    <w:rsid w:val="00582B76"/>
    <w:rsid w:val="005B1F13"/>
    <w:rsid w:val="005B2C95"/>
    <w:rsid w:val="005D4763"/>
    <w:rsid w:val="00666FF9"/>
    <w:rsid w:val="006B0E74"/>
    <w:rsid w:val="00790B82"/>
    <w:rsid w:val="008E72CD"/>
    <w:rsid w:val="00934E98"/>
    <w:rsid w:val="009772D9"/>
    <w:rsid w:val="00995EAB"/>
    <w:rsid w:val="00A63E4E"/>
    <w:rsid w:val="00AE646A"/>
    <w:rsid w:val="00CB73DD"/>
    <w:rsid w:val="00CC4B8D"/>
    <w:rsid w:val="00D675D2"/>
    <w:rsid w:val="00D776EC"/>
    <w:rsid w:val="00E34F6D"/>
    <w:rsid w:val="00E669BC"/>
    <w:rsid w:val="00EE1A4D"/>
    <w:rsid w:val="00EF0AAF"/>
    <w:rsid w:val="00F10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445F"/>
  <w15:chartTrackingRefBased/>
  <w15:docId w15:val="{9E51E1C9-CCA1-4D82-8EDD-EBEBF19E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BC"/>
    <w:pPr>
      <w:spacing w:after="8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uiPriority w:val="99"/>
    <w:rsid w:val="00E669B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uiPriority w:val="99"/>
    <w:rsid w:val="00E669B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Arial Unicode MS"/>
      <w:b/>
      <w:bCs/>
      <w:caps/>
      <w:color w:val="434343"/>
      <w:spacing w:val="4"/>
      <w:lang w:eastAsia="lt-LT"/>
    </w:rPr>
  </w:style>
  <w:style w:type="character" w:customStyle="1" w:styleId="normaltextrun">
    <w:name w:val="normaltextrun"/>
    <w:basedOn w:val="DefaultParagraphFont"/>
    <w:rsid w:val="00E669BC"/>
  </w:style>
  <w:style w:type="paragraph" w:styleId="Header">
    <w:name w:val="header"/>
    <w:basedOn w:val="Normal"/>
    <w:link w:val="HeaderChar"/>
    <w:uiPriority w:val="99"/>
    <w:unhideWhenUsed/>
    <w:rsid w:val="00A63E4E"/>
    <w:pPr>
      <w:tabs>
        <w:tab w:val="center" w:pos="4819"/>
        <w:tab w:val="right" w:pos="9638"/>
      </w:tabs>
      <w:spacing w:after="0"/>
    </w:pPr>
  </w:style>
  <w:style w:type="character" w:customStyle="1" w:styleId="HeaderChar">
    <w:name w:val="Header Char"/>
    <w:basedOn w:val="DefaultParagraphFont"/>
    <w:link w:val="Header"/>
    <w:uiPriority w:val="99"/>
    <w:rsid w:val="00A63E4E"/>
    <w:rPr>
      <w:rFonts w:ascii="Times New Roman" w:eastAsia="Calibri" w:hAnsi="Times New Roman" w:cs="Times New Roman"/>
      <w:sz w:val="24"/>
    </w:rPr>
  </w:style>
  <w:style w:type="paragraph" w:styleId="Footer">
    <w:name w:val="footer"/>
    <w:basedOn w:val="Normal"/>
    <w:link w:val="FooterChar"/>
    <w:uiPriority w:val="99"/>
    <w:unhideWhenUsed/>
    <w:rsid w:val="00A63E4E"/>
    <w:pPr>
      <w:tabs>
        <w:tab w:val="center" w:pos="4819"/>
        <w:tab w:val="right" w:pos="9638"/>
      </w:tabs>
      <w:spacing w:after="0"/>
    </w:pPr>
  </w:style>
  <w:style w:type="character" w:customStyle="1" w:styleId="FooterChar">
    <w:name w:val="Footer Char"/>
    <w:basedOn w:val="DefaultParagraphFont"/>
    <w:link w:val="Footer"/>
    <w:uiPriority w:val="99"/>
    <w:rsid w:val="00A63E4E"/>
    <w:rPr>
      <w:rFonts w:ascii="Times New Roman" w:eastAsia="Calibri" w:hAnsi="Times New Roman" w:cs="Times New Roman"/>
      <w:sz w:val="24"/>
    </w:rPr>
  </w:style>
  <w:style w:type="paragraph" w:styleId="NoSpacing">
    <w:name w:val="No Spacing"/>
    <w:link w:val="NoSpacingChar"/>
    <w:uiPriority w:val="1"/>
    <w:qFormat/>
    <w:rsid w:val="000F258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0F2583"/>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2425</Words>
  <Characters>1383</Characters>
  <Application>Microsoft Office Word</Application>
  <DocSecurity>0</DocSecurity>
  <Lines>11</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21</cp:revision>
  <dcterms:created xsi:type="dcterms:W3CDTF">2026-05-05T07:38:00Z</dcterms:created>
  <dcterms:modified xsi:type="dcterms:W3CDTF">2026-05-25T09:08:00Z</dcterms:modified>
</cp:coreProperties>
</file>