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 xml:space="preserve">Danutė </w:t>
      </w:r>
      <w:proofErr w:type="spellStart"/>
      <w:r w:rsidRPr="0060156C">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2B2693" w:rsidRDefault="000B2096" w:rsidP="002B2693">
      <w:pPr>
        <w:spacing w:line="276" w:lineRule="auto"/>
        <w:ind w:left="5954" w:right="-999"/>
        <w:jc w:val="center"/>
        <w:rPr>
          <w:b/>
          <w:bCs/>
          <w:iCs/>
          <w:szCs w:val="24"/>
        </w:rPr>
      </w:pPr>
    </w:p>
    <w:p w14:paraId="22269CBF" w14:textId="0057C3DC" w:rsidR="000B2096" w:rsidRPr="002B2693" w:rsidRDefault="002B2693" w:rsidP="002B2693">
      <w:pPr>
        <w:spacing w:line="276" w:lineRule="auto"/>
        <w:jc w:val="center"/>
        <w:rPr>
          <w:b/>
          <w:bCs/>
          <w:iCs/>
          <w:szCs w:val="24"/>
          <w:shd w:val="clear" w:color="auto" w:fill="FFFFFF"/>
        </w:rPr>
      </w:pPr>
      <w:bookmarkStart w:id="1" w:name="_Hlk134784080"/>
      <w:r w:rsidRPr="002B2693">
        <w:rPr>
          <w:b/>
          <w:bCs/>
          <w:iCs/>
          <w:szCs w:val="24"/>
          <w:shd w:val="clear" w:color="auto" w:fill="FFFFFF"/>
        </w:rPr>
        <w:t>MAŽOS VERTĖS SKELBIAMOS APKLAUSOS SĄLYGOS</w:t>
      </w:r>
    </w:p>
    <w:p w14:paraId="73C62FD5" w14:textId="01AD40B6" w:rsidR="0060156C" w:rsidRPr="00A73E23" w:rsidRDefault="00A73E23" w:rsidP="00A73E23">
      <w:pPr>
        <w:spacing w:after="160" w:line="276" w:lineRule="auto"/>
        <w:jc w:val="center"/>
        <w:rPr>
          <w:b/>
          <w:szCs w:val="24"/>
        </w:rPr>
      </w:pPr>
      <w:bookmarkStart w:id="2" w:name="_Hlk499562436"/>
      <w:bookmarkEnd w:id="1"/>
      <w:r w:rsidRPr="00A73E23">
        <w:rPr>
          <w:b/>
          <w:bCs/>
          <w:szCs w:val="24"/>
          <w:shd w:val="clear" w:color="auto" w:fill="FFFFFF"/>
        </w:rPr>
        <w:t>PASTATO JAUNIMO G. 1, JUNKILŲ K. UŽVENČIO SEN. ŠILDYMO SISTEMOS ĮRENGIMO DARBAI</w:t>
      </w: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4BB6695" w:rsidR="000B2096" w:rsidRPr="0060156C" w:rsidRDefault="000B2096" w:rsidP="00CB0128">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2B2693" w:rsidRPr="0081613A">
        <w:rPr>
          <w:b/>
          <w:bCs/>
          <w:i/>
          <w:iCs/>
          <w:szCs w:val="24"/>
          <w:lang w:eastAsia="lt-LT"/>
        </w:rPr>
        <w:t>„</w:t>
      </w:r>
      <w:r w:rsidR="002B2693" w:rsidRPr="0081613A">
        <w:rPr>
          <w:b/>
          <w:bCs/>
          <w:i/>
          <w:iCs/>
          <w:szCs w:val="24"/>
          <w:shd w:val="clear" w:color="auto" w:fill="FFFFFF"/>
        </w:rPr>
        <w:t xml:space="preserve">Pastato Jaunimo g. 1, </w:t>
      </w:r>
      <w:proofErr w:type="spellStart"/>
      <w:r w:rsidR="002B2693" w:rsidRPr="0081613A">
        <w:rPr>
          <w:b/>
          <w:bCs/>
          <w:i/>
          <w:iCs/>
          <w:szCs w:val="24"/>
          <w:shd w:val="clear" w:color="auto" w:fill="FFFFFF"/>
        </w:rPr>
        <w:t>Junkilų</w:t>
      </w:r>
      <w:proofErr w:type="spellEnd"/>
      <w:r w:rsidR="002B2693" w:rsidRPr="0081613A">
        <w:rPr>
          <w:b/>
          <w:bCs/>
          <w:i/>
          <w:iCs/>
          <w:szCs w:val="24"/>
          <w:shd w:val="clear" w:color="auto" w:fill="FFFFFF"/>
        </w:rPr>
        <w:t xml:space="preserve"> k. Užvenčio sen. Šildymo sistemos įrengimo darbai“</w:t>
      </w:r>
      <w:r w:rsidR="0016156A">
        <w:rPr>
          <w:b/>
          <w:bCs/>
          <w:i/>
          <w:iCs/>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78B9E60D" w:rsidR="000B2096" w:rsidRPr="0060156C" w:rsidRDefault="000B2096" w:rsidP="002B2693">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r w:rsidR="002B2693" w:rsidRPr="0081613A">
        <w:rPr>
          <w:b/>
          <w:bCs/>
          <w:i/>
          <w:iCs/>
          <w:szCs w:val="24"/>
          <w:lang w:eastAsia="lt-LT"/>
        </w:rPr>
        <w:t>„</w:t>
      </w:r>
      <w:r w:rsidR="002B2693" w:rsidRPr="0081613A">
        <w:rPr>
          <w:b/>
          <w:bCs/>
          <w:i/>
          <w:iCs/>
          <w:szCs w:val="24"/>
          <w:shd w:val="clear" w:color="auto" w:fill="FFFFFF"/>
        </w:rPr>
        <w:t xml:space="preserve">Pastato Jaunimo g. 1, </w:t>
      </w:r>
      <w:proofErr w:type="spellStart"/>
      <w:r w:rsidR="002B2693" w:rsidRPr="0081613A">
        <w:rPr>
          <w:b/>
          <w:bCs/>
          <w:i/>
          <w:iCs/>
          <w:szCs w:val="24"/>
          <w:shd w:val="clear" w:color="auto" w:fill="FFFFFF"/>
        </w:rPr>
        <w:t>Junkilų</w:t>
      </w:r>
      <w:proofErr w:type="spellEnd"/>
      <w:r w:rsidR="002B2693" w:rsidRPr="0081613A">
        <w:rPr>
          <w:b/>
          <w:bCs/>
          <w:i/>
          <w:iCs/>
          <w:szCs w:val="24"/>
          <w:shd w:val="clear" w:color="auto" w:fill="FFFFFF"/>
        </w:rPr>
        <w:t xml:space="preserve"> k. Užvenčio sen. Šildymo sistemos įrengimo darbai“</w:t>
      </w:r>
      <w:r w:rsidR="002B2693" w:rsidRPr="0081613A">
        <w:rPr>
          <w:szCs w:val="24"/>
          <w:shd w:val="clear" w:color="auto" w:fill="FFFFFF"/>
        </w:rPr>
        <w:t xml:space="preserve"> </w:t>
      </w:r>
      <w:r w:rsidR="004110EE">
        <w:rPr>
          <w:b/>
          <w:bCs/>
          <w:i/>
          <w:iCs/>
          <w:szCs w:val="24"/>
        </w:rPr>
        <w:t xml:space="preserve"> (</w:t>
      </w:r>
      <w:r w:rsidR="004110EE" w:rsidRPr="004110EE">
        <w:rPr>
          <w:b/>
          <w:bCs/>
          <w:i/>
          <w:iCs/>
          <w:szCs w:val="24"/>
        </w:rPr>
        <w:t>BVPŽ</w:t>
      </w:r>
      <w:r w:rsidR="004110EE">
        <w:rPr>
          <w:b/>
          <w:bCs/>
          <w:i/>
          <w:iCs/>
          <w:szCs w:val="24"/>
        </w:rPr>
        <w:t xml:space="preserve"> </w:t>
      </w:r>
      <w:r w:rsidR="002B2693" w:rsidRPr="002B2693">
        <w:rPr>
          <w:b/>
          <w:bCs/>
          <w:i/>
          <w:iCs/>
          <w:szCs w:val="24"/>
        </w:rPr>
        <w:t>45331000-6</w:t>
      </w:r>
      <w:r w:rsidR="004110EE">
        <w:rPr>
          <w:b/>
          <w:bCs/>
          <w:i/>
          <w:iCs/>
          <w:szCs w:val="24"/>
        </w:rPr>
        <w:t>)</w:t>
      </w:r>
      <w:r w:rsidR="00C1121C">
        <w:rPr>
          <w:b/>
          <w:bCs/>
          <w:i/>
          <w:iCs/>
          <w:szCs w:val="24"/>
        </w:rPr>
        <w:t>.</w:t>
      </w:r>
    </w:p>
    <w:p w14:paraId="4A923E6F" w14:textId="3E2E2F94"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(Darbų kiekių žiniaraštis)</w:t>
      </w:r>
      <w:r w:rsidR="002B2693">
        <w:rPr>
          <w:szCs w:val="24"/>
        </w:rPr>
        <w:t xml:space="preserve"> ir</w:t>
      </w:r>
      <w:r w:rsidR="002B2693" w:rsidRPr="002B2693">
        <w:rPr>
          <w:szCs w:val="24"/>
        </w:rPr>
        <w:t xml:space="preserve"> </w:t>
      </w:r>
      <w:r w:rsidR="002B2693">
        <w:rPr>
          <w:szCs w:val="24"/>
        </w:rPr>
        <w:t>darbų apraše (priedas Nr. 4)</w:t>
      </w:r>
      <w:r w:rsidRPr="0060156C">
        <w:rPr>
          <w:szCs w:val="24"/>
        </w:rPr>
        <w:t>.</w:t>
      </w:r>
    </w:p>
    <w:p w14:paraId="6771FE0A" w14:textId="32A9CD80" w:rsidR="000B2096" w:rsidRPr="0060156C" w:rsidRDefault="00A826DB"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rStyle w:val="markedcontent"/>
        </w:rPr>
        <w:t>Darbų kiekių žiniaraštyje</w:t>
      </w:r>
      <w:r w:rsidR="0077120A">
        <w:rPr>
          <w:rStyle w:val="markedcontent"/>
        </w:rPr>
        <w:t xml:space="preserve"> </w:t>
      </w:r>
      <w:r w:rsidR="0077120A" w:rsidRPr="0060156C">
        <w:rPr>
          <w:szCs w:val="24"/>
        </w:rPr>
        <w:t xml:space="preserve">(priedas Nr. </w:t>
      </w:r>
      <w:r w:rsidR="0077120A">
        <w:rPr>
          <w:szCs w:val="24"/>
        </w:rPr>
        <w:t>3</w:t>
      </w:r>
      <w:r w:rsidR="0077120A" w:rsidRPr="0060156C">
        <w:rPr>
          <w:szCs w:val="24"/>
        </w:rPr>
        <w:t>)</w:t>
      </w:r>
      <w:r w:rsidR="004110EE">
        <w:rPr>
          <w:szCs w:val="24"/>
        </w:rPr>
        <w:t>, darbų apraše (priedas</w:t>
      </w:r>
      <w:r w:rsidR="00100249">
        <w:rPr>
          <w:szCs w:val="24"/>
        </w:rPr>
        <w:t xml:space="preserve"> Nr. 4</w:t>
      </w:r>
      <w:r w:rsidR="004110EE">
        <w:rPr>
          <w:szCs w:val="24"/>
        </w:rPr>
        <w:t>)</w:t>
      </w:r>
      <w:r w:rsidR="00CB0128">
        <w:rPr>
          <w:szCs w:val="24"/>
        </w:rPr>
        <w:t xml:space="preserve"> bei</w:t>
      </w:r>
      <w:r w:rsidR="0077120A">
        <w:rPr>
          <w:szCs w:val="24"/>
        </w:rPr>
        <w:t xml:space="preserve"> sutarties projekte (priedas Nr.</w:t>
      </w:r>
      <w:r w:rsidR="00100249">
        <w:rPr>
          <w:szCs w:val="24"/>
        </w:rPr>
        <w:t xml:space="preserve"> </w:t>
      </w:r>
      <w:r w:rsidR="0077120A">
        <w:rPr>
          <w:szCs w:val="24"/>
        </w:rPr>
        <w:t>2)</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36A41F06" w:rsidR="00C1121C" w:rsidRPr="004110EE" w:rsidRDefault="004110EE" w:rsidP="004110EE">
      <w:pPr>
        <w:pStyle w:val="Sraopastraipa"/>
        <w:ind w:left="0"/>
      </w:pPr>
      <w:r>
        <w:t xml:space="preserve">        11.1.</w:t>
      </w:r>
      <w:r w:rsidRPr="004110EE">
        <w:t xml:space="preserve">  </w:t>
      </w:r>
      <w:r w:rsidR="000B2096" w:rsidRPr="004110EE">
        <w:t xml:space="preserve">Darbų pradžia – </w:t>
      </w:r>
      <w:r w:rsidRPr="004110EE">
        <w:t>Sutarties įsigaliojimo diena.</w:t>
      </w:r>
    </w:p>
    <w:p w14:paraId="533A48A0" w14:textId="77777777" w:rsidR="002B2693" w:rsidRDefault="004110EE" w:rsidP="002B2693">
      <w:pPr>
        <w:rPr>
          <w:rStyle w:val="cf01"/>
          <w:rFonts w:asciiTheme="majorBidi" w:hAnsiTheme="majorBidi" w:cstheme="majorBidi"/>
          <w:sz w:val="24"/>
          <w:szCs w:val="24"/>
        </w:rPr>
      </w:pPr>
      <w:r>
        <w:t xml:space="preserve">        11.2.  </w:t>
      </w:r>
      <w:r w:rsidR="002B2693" w:rsidRPr="0021160E">
        <w:t xml:space="preserve">Darbai </w:t>
      </w:r>
      <w:r w:rsidR="002B2693" w:rsidRPr="0021160E">
        <w:rPr>
          <w:iCs/>
        </w:rPr>
        <w:t xml:space="preserve">turi būti atlikti per </w:t>
      </w:r>
      <w:r w:rsidR="002B2693">
        <w:rPr>
          <w:iCs/>
        </w:rPr>
        <w:t>3</w:t>
      </w:r>
      <w:r w:rsidR="002B2693" w:rsidRPr="0021160E">
        <w:rPr>
          <w:iCs/>
        </w:rPr>
        <w:t xml:space="preserve"> mėnesi</w:t>
      </w:r>
      <w:r w:rsidR="002B2693">
        <w:rPr>
          <w:iCs/>
        </w:rPr>
        <w:t>us</w:t>
      </w:r>
      <w:r w:rsidR="002B2693" w:rsidRPr="0021160E">
        <w:rPr>
          <w:iCs/>
        </w:rPr>
        <w:t xml:space="preserve"> nuo Darbų pradžios. </w:t>
      </w:r>
      <w:r w:rsidR="002B2693" w:rsidRPr="0021160E">
        <w:rPr>
          <w:rStyle w:val="cf01"/>
          <w:rFonts w:asciiTheme="majorBidi" w:hAnsiTheme="majorBidi" w:cstheme="majorBidi"/>
          <w:sz w:val="24"/>
          <w:szCs w:val="24"/>
        </w:rPr>
        <w:t>Į šį terminą įskaitomas ir Užsakovo statybvietės perdavimo Rangovui terminas.</w:t>
      </w:r>
    </w:p>
    <w:p w14:paraId="50F8B3C4" w14:textId="44C84CE2" w:rsidR="000B2096" w:rsidRPr="0060156C" w:rsidRDefault="000B2096" w:rsidP="002B2693">
      <w:pPr>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0B2096">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270A0407" w:rsidR="00C1121C" w:rsidRDefault="000B2096" w:rsidP="00C1121C">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CB0128">
        <w:rPr>
          <w:rStyle w:val="form-control"/>
          <w:rFonts w:eastAsiaTheme="majorEastAsia"/>
          <w:bCs/>
          <w:iCs/>
        </w:rPr>
        <w:t>Kelmės</w:t>
      </w:r>
      <w:r w:rsidR="004110EE">
        <w:rPr>
          <w:rStyle w:val="form-control"/>
          <w:rFonts w:eastAsiaTheme="majorEastAsia"/>
          <w:bCs/>
          <w:iCs/>
        </w:rPr>
        <w:t xml:space="preserve"> </w:t>
      </w:r>
      <w:r w:rsidR="002B2693">
        <w:rPr>
          <w:rStyle w:val="form-control"/>
          <w:rFonts w:eastAsiaTheme="majorEastAsia"/>
          <w:bCs/>
          <w:iCs/>
        </w:rPr>
        <w:t>raj.</w:t>
      </w:r>
    </w:p>
    <w:p w14:paraId="0F287E31" w14:textId="7C0F4DDF" w:rsidR="00C1121C" w:rsidRPr="00C1121C" w:rsidRDefault="00064A56" w:rsidP="002B2693">
      <w:pPr>
        <w:pStyle w:val="Sraopastraipa"/>
        <w:tabs>
          <w:tab w:val="left" w:pos="426"/>
          <w:tab w:val="left" w:pos="710"/>
        </w:tabs>
        <w:spacing w:line="276" w:lineRule="auto"/>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146D58" w:rsidRPr="00155BD7">
        <w:rPr>
          <w:lang w:eastAsia="ar-SA"/>
        </w:rPr>
        <w:t xml:space="preserve"> </w:t>
      </w:r>
      <w:r w:rsidR="002B2693">
        <w:rPr>
          <w:lang w:eastAsia="ar-SA"/>
        </w:rPr>
        <w:t>Linas Mačernius</w:t>
      </w:r>
      <w:r w:rsidR="002B2693" w:rsidRPr="00E16302">
        <w:rPr>
          <w:lang w:eastAsia="ar-SA"/>
        </w:rPr>
        <w:t xml:space="preserve">, Kelmės rajono savivaldybės administracijos </w:t>
      </w:r>
      <w:r w:rsidR="002B2693">
        <w:rPr>
          <w:lang w:eastAsia="ar-SA"/>
        </w:rPr>
        <w:t>Užvenčio seniūnijos seniūnas,</w:t>
      </w:r>
      <w:r w:rsidR="002B2693" w:rsidRPr="00E16302">
        <w:rPr>
          <w:lang w:eastAsia="ar-SA"/>
        </w:rPr>
        <w:t xml:space="preserve"> tel.</w:t>
      </w:r>
      <w:r w:rsidR="002B2693">
        <w:rPr>
          <w:lang w:eastAsia="ar-SA"/>
        </w:rPr>
        <w:t xml:space="preserve"> </w:t>
      </w:r>
      <w:r w:rsidR="002B2693" w:rsidRPr="00E16302">
        <w:rPr>
          <w:lang w:eastAsia="ar-SA"/>
        </w:rPr>
        <w:t>+370 6</w:t>
      </w:r>
      <w:r w:rsidR="002B2693">
        <w:rPr>
          <w:lang w:eastAsia="ar-SA"/>
        </w:rPr>
        <w:t>20 72630</w:t>
      </w:r>
      <w:r w:rsidR="002B2693" w:rsidRPr="00E16302">
        <w:rPr>
          <w:lang w:eastAsia="ar-SA"/>
        </w:rPr>
        <w:t>, el.</w:t>
      </w:r>
      <w:r w:rsidR="002B2693">
        <w:rPr>
          <w:lang w:eastAsia="ar-SA"/>
        </w:rPr>
        <w:t> </w:t>
      </w:r>
      <w:r w:rsidR="002B2693" w:rsidRPr="00E16302">
        <w:rPr>
          <w:lang w:eastAsia="ar-SA"/>
        </w:rPr>
        <w:t xml:space="preserve">p. </w:t>
      </w:r>
      <w:hyperlink r:id="rId9" w:history="1">
        <w:r w:rsidR="002B2693" w:rsidRPr="00C16888">
          <w:rPr>
            <w:rStyle w:val="Hipersaitas"/>
            <w:lang w:eastAsia="ar-SA"/>
          </w:rPr>
          <w:t>linas.macernius@kelme.lt</w:t>
        </w:r>
      </w:hyperlink>
      <w:r w:rsidR="002B2693" w:rsidRPr="00231D04">
        <w:rPr>
          <w:lang w:eastAsia="ar-SA"/>
        </w:rPr>
        <w:t>.</w:t>
      </w:r>
    </w:p>
    <w:bookmarkEnd w:id="0"/>
    <w:bookmarkEnd w:id="4"/>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lastRenderedPageBreak/>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2443"/>
        <w:gridCol w:w="6662"/>
      </w:tblGrid>
      <w:tr w:rsidR="004110EE" w:rsidRPr="002B2693" w14:paraId="17F4B449" w14:textId="77777777" w:rsidTr="000E5D8C">
        <w:tc>
          <w:tcPr>
            <w:tcW w:w="813" w:type="dxa"/>
          </w:tcPr>
          <w:p w14:paraId="3074962D" w14:textId="0C282FA9" w:rsidR="004110EE" w:rsidRPr="002B2693" w:rsidRDefault="004110EE" w:rsidP="002B2693">
            <w:pPr>
              <w:jc w:val="center"/>
              <w:rPr>
                <w:b/>
                <w:sz w:val="20"/>
              </w:rPr>
            </w:pPr>
            <w:r w:rsidRPr="002B2693">
              <w:rPr>
                <w:b/>
                <w:sz w:val="20"/>
              </w:rPr>
              <w:t xml:space="preserve">Eil. </w:t>
            </w:r>
            <w:r w:rsidR="006866AE" w:rsidRPr="002B2693">
              <w:rPr>
                <w:b/>
                <w:sz w:val="20"/>
              </w:rPr>
              <w:t>N</w:t>
            </w:r>
            <w:r w:rsidRPr="002B2693">
              <w:rPr>
                <w:b/>
                <w:sz w:val="20"/>
              </w:rPr>
              <w:t>r.</w:t>
            </w:r>
          </w:p>
        </w:tc>
        <w:tc>
          <w:tcPr>
            <w:tcW w:w="2443" w:type="dxa"/>
          </w:tcPr>
          <w:p w14:paraId="03B1FC57" w14:textId="77777777" w:rsidR="004110EE" w:rsidRPr="002B2693" w:rsidRDefault="004110EE" w:rsidP="002B2693">
            <w:pPr>
              <w:jc w:val="center"/>
              <w:rPr>
                <w:b/>
                <w:sz w:val="20"/>
              </w:rPr>
            </w:pPr>
            <w:r w:rsidRPr="002B2693">
              <w:rPr>
                <w:b/>
                <w:sz w:val="20"/>
              </w:rPr>
              <w:t>Reikalavimai</w:t>
            </w:r>
          </w:p>
        </w:tc>
        <w:tc>
          <w:tcPr>
            <w:tcW w:w="6662" w:type="dxa"/>
          </w:tcPr>
          <w:p w14:paraId="5E2A4DBA" w14:textId="77777777" w:rsidR="004110EE" w:rsidRPr="002B2693" w:rsidRDefault="004110EE" w:rsidP="002B2693">
            <w:pPr>
              <w:jc w:val="center"/>
              <w:rPr>
                <w:b/>
                <w:sz w:val="20"/>
              </w:rPr>
            </w:pPr>
            <w:r w:rsidRPr="002B2693">
              <w:rPr>
                <w:b/>
                <w:sz w:val="20"/>
              </w:rPr>
              <w:t>Patvirtinančių dokumentų sąrašas</w:t>
            </w:r>
          </w:p>
        </w:tc>
      </w:tr>
      <w:tr w:rsidR="004110EE" w:rsidRPr="002B2693" w14:paraId="2E191A19" w14:textId="77777777" w:rsidTr="000E5D8C">
        <w:tc>
          <w:tcPr>
            <w:tcW w:w="813" w:type="dxa"/>
          </w:tcPr>
          <w:p w14:paraId="21B51496" w14:textId="5804E58E" w:rsidR="004110EE" w:rsidRPr="002B2693" w:rsidRDefault="00A84EDB" w:rsidP="002B2693">
            <w:pPr>
              <w:jc w:val="center"/>
              <w:rPr>
                <w:sz w:val="20"/>
              </w:rPr>
            </w:pPr>
            <w:r w:rsidRPr="002B2693">
              <w:rPr>
                <w:sz w:val="20"/>
              </w:rPr>
              <w:t>18</w:t>
            </w:r>
            <w:r w:rsidR="004110EE" w:rsidRPr="002B2693">
              <w:rPr>
                <w:sz w:val="20"/>
              </w:rPr>
              <w:t>.1.</w:t>
            </w:r>
          </w:p>
        </w:tc>
        <w:tc>
          <w:tcPr>
            <w:tcW w:w="2443" w:type="dxa"/>
          </w:tcPr>
          <w:p w14:paraId="3AE37D95" w14:textId="09256382" w:rsidR="004110EE" w:rsidRPr="002B2693" w:rsidRDefault="002B2693" w:rsidP="002B2693">
            <w:pPr>
              <w:rPr>
                <w:sz w:val="20"/>
                <w:lang w:eastAsia="lt-LT"/>
              </w:rPr>
            </w:pPr>
            <w:r w:rsidRPr="002B2693">
              <w:rPr>
                <w:sz w:val="20"/>
                <w:lang w:eastAsia="lt-LT"/>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Sertifikavimo sritis – statinio šildymo sistemos įrengimas. </w:t>
            </w:r>
          </w:p>
        </w:tc>
        <w:tc>
          <w:tcPr>
            <w:tcW w:w="6662" w:type="dxa"/>
          </w:tcPr>
          <w:p w14:paraId="4E19ECD3" w14:textId="77777777" w:rsidR="002B2693" w:rsidRDefault="002B2693" w:rsidP="002B2693">
            <w:pPr>
              <w:rPr>
                <w:sz w:val="20"/>
                <w:lang w:eastAsia="lt-LT"/>
              </w:rPr>
            </w:pPr>
            <w:r w:rsidRPr="002B2693">
              <w:rPr>
                <w:sz w:val="20"/>
                <w:lang w:eastAsia="lt-LT"/>
              </w:rPr>
              <w:t xml:space="preserve">EMAS arba LST EN ISO 14001 nepriklausomos įstaigos išduotas ir galiojantis sertifikatas, kuriame: </w:t>
            </w:r>
          </w:p>
          <w:p w14:paraId="21456E10" w14:textId="77777777" w:rsidR="002B2693" w:rsidRDefault="002B2693" w:rsidP="002B2693">
            <w:pPr>
              <w:rPr>
                <w:sz w:val="20"/>
                <w:lang w:eastAsia="lt-LT"/>
              </w:rPr>
            </w:pPr>
            <w:r w:rsidRPr="002B2693">
              <w:rPr>
                <w:sz w:val="20"/>
                <w:lang w:eastAsia="lt-LT"/>
              </w:rPr>
              <w:t xml:space="preserve">1. apibrėžta įmonės ar įstaigos vadovybės patvirtinta aplinkos apsaugos politika ir atitiktis aplinkos apsaugos reikalavimams teikiant paslaugas ir vykdant darbus; </w:t>
            </w:r>
          </w:p>
          <w:p w14:paraId="2489F2F3" w14:textId="77777777" w:rsidR="002B2693" w:rsidRDefault="002B2693" w:rsidP="002B2693">
            <w:pPr>
              <w:rPr>
                <w:sz w:val="20"/>
                <w:lang w:eastAsia="lt-LT"/>
              </w:rPr>
            </w:pPr>
            <w:r w:rsidRPr="002B2693">
              <w:rPr>
                <w:sz w:val="20"/>
                <w:lang w:eastAsia="lt-LT"/>
              </w:rPr>
              <w:t xml:space="preserve">2. nustatyti reikšmingiausi aplinkos apsaugos aspektai, kuriems poveikį daro arba gali daryti įmonės ar įstaigos vykdoma veikla, ir šiuos aplinkos apsaugos aspektus reglamentuojantys teisės aktai; </w:t>
            </w:r>
          </w:p>
          <w:p w14:paraId="5DC3B7B6" w14:textId="77777777" w:rsidR="002B2693" w:rsidRDefault="002B2693" w:rsidP="002B2693">
            <w:pPr>
              <w:rPr>
                <w:sz w:val="20"/>
                <w:lang w:eastAsia="lt-LT"/>
              </w:rPr>
            </w:pPr>
            <w:r w:rsidRPr="002B2693">
              <w:rPr>
                <w:sz w:val="20"/>
                <w:lang w:eastAsia="lt-LT"/>
              </w:rPr>
              <w:t>3. nustatyti aplinkosauginiai tikslai, uždaviniai ir priemonės šiems tikslams pasiekti;</w:t>
            </w:r>
          </w:p>
          <w:p w14:paraId="17CA8523" w14:textId="77777777" w:rsidR="002B2693" w:rsidRDefault="002B2693" w:rsidP="002B2693">
            <w:pPr>
              <w:rPr>
                <w:sz w:val="20"/>
                <w:lang w:eastAsia="lt-LT"/>
              </w:rPr>
            </w:pPr>
            <w:r w:rsidRPr="002B2693">
              <w:rPr>
                <w:sz w:val="20"/>
                <w:lang w:eastAsia="lt-LT"/>
              </w:rPr>
              <w:t xml:space="preserve"> 4. numatyta aplinkosauginių tikslų įgyvendinimo stebėsena – paskirti atsakingi asmenys, nustatyta jų atsakomybė, pareigos ir priemonių įgyvendinimo terminai; </w:t>
            </w:r>
          </w:p>
          <w:p w14:paraId="0AAF5E56" w14:textId="77777777" w:rsidR="002B2693" w:rsidRDefault="002B2693" w:rsidP="002B2693">
            <w:pPr>
              <w:rPr>
                <w:sz w:val="20"/>
                <w:lang w:eastAsia="lt-LT"/>
              </w:rPr>
            </w:pPr>
            <w:r w:rsidRPr="002B2693">
              <w:rPr>
                <w:sz w:val="20"/>
                <w:lang w:eastAsia="lt-LT"/>
              </w:rPr>
              <w:t xml:space="preserve">5. parengtas aplinkosauginių ir avarinių situacijų valdymo planas; 6. vykdoma aplinkosauginio gerinimo veiklos kontrolė (pvz., parengiamos metinės ataskaitos, kurios pateikiamos ir pristatomos įmonės vadovybei). </w:t>
            </w:r>
          </w:p>
          <w:p w14:paraId="3BAC8917" w14:textId="77777777" w:rsidR="002B2693" w:rsidRDefault="002B2693" w:rsidP="002B2693">
            <w:pPr>
              <w:rPr>
                <w:sz w:val="20"/>
                <w:lang w:eastAsia="lt-LT"/>
              </w:rPr>
            </w:pPr>
            <w:r w:rsidRPr="002B2693">
              <w:rPr>
                <w:sz w:val="20"/>
                <w:lang w:eastAsia="lt-LT"/>
              </w:rPr>
              <w:t xml:space="preserve">Pirkimo vykdytojas pripažįsta lygiaverčius sertifikatus, išduotus kitose valstybėse narėse įsteigtų nepriklausomų įstaigų. </w:t>
            </w:r>
          </w:p>
          <w:p w14:paraId="4A6F24AB" w14:textId="77777777" w:rsidR="002B2693" w:rsidRDefault="002B2693" w:rsidP="002B2693">
            <w:pPr>
              <w:rPr>
                <w:sz w:val="20"/>
                <w:lang w:eastAsia="lt-LT"/>
              </w:rPr>
            </w:pPr>
            <w:r w:rsidRPr="002B2693">
              <w:rPr>
                <w:sz w:val="20"/>
                <w:lang w:eastAsia="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w:t>
            </w:r>
          </w:p>
          <w:p w14:paraId="09662321" w14:textId="77777777" w:rsidR="002B2693" w:rsidRDefault="002B2693" w:rsidP="002B2693">
            <w:pPr>
              <w:rPr>
                <w:sz w:val="20"/>
                <w:lang w:eastAsia="lt-LT"/>
              </w:rPr>
            </w:pPr>
            <w:r w:rsidRPr="002B2693">
              <w:rPr>
                <w:sz w:val="20"/>
                <w:lang w:eastAsia="lt-LT"/>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w:t>
            </w:r>
          </w:p>
          <w:p w14:paraId="7484191B" w14:textId="77777777" w:rsidR="002B2693" w:rsidRDefault="002B2693" w:rsidP="002B2693">
            <w:pPr>
              <w:rPr>
                <w:sz w:val="20"/>
                <w:lang w:eastAsia="lt-LT"/>
              </w:rPr>
            </w:pPr>
            <w:r w:rsidRPr="002B2693">
              <w:rPr>
                <w:b/>
                <w:bCs/>
                <w:sz w:val="20"/>
                <w:lang w:eastAsia="lt-LT"/>
              </w:rPr>
              <w:t>Dokumentuos nurodyta sertifikavimo sritis</w:t>
            </w:r>
            <w:r w:rsidRPr="002B2693">
              <w:rPr>
                <w:sz w:val="20"/>
                <w:lang w:eastAsia="lt-LT"/>
              </w:rPr>
              <w:t xml:space="preserve"> – statinio šildymo sistemos įrengimas. </w:t>
            </w:r>
          </w:p>
          <w:p w14:paraId="6C09A31F" w14:textId="77777777" w:rsidR="002B2693" w:rsidRDefault="002B2693" w:rsidP="002B2693">
            <w:pPr>
              <w:rPr>
                <w:sz w:val="20"/>
                <w:lang w:eastAsia="lt-LT"/>
              </w:rPr>
            </w:pPr>
            <w:r w:rsidRPr="002B2693">
              <w:rPr>
                <w:sz w:val="20"/>
                <w:lang w:eastAsia="lt-LT"/>
              </w:rPr>
              <w:t>Reikalavimą turi atitikti tiekėjas. Jei pasiūlymą teikia ūkio subjektų grupė – reikalavimą turi atitikti aktyviai pirkimo sutartį vykdysiantys ūkio subjektų grupės narys (-</w:t>
            </w:r>
            <w:proofErr w:type="spellStart"/>
            <w:r w:rsidRPr="002B2693">
              <w:rPr>
                <w:sz w:val="20"/>
                <w:lang w:eastAsia="lt-LT"/>
              </w:rPr>
              <w:t>iai</w:t>
            </w:r>
            <w:proofErr w:type="spellEnd"/>
            <w:r w:rsidRPr="002B2693">
              <w:rPr>
                <w:sz w:val="20"/>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specialiesiems statybos darbams nedetalizuojant darbų rūšies, toks dokumentas bus vertinamas kaip atitinkantis nustatytą reikalavimą. </w:t>
            </w:r>
          </w:p>
          <w:p w14:paraId="1F156E25" w14:textId="48C3D6EB" w:rsidR="002B2693" w:rsidRPr="002B2693" w:rsidRDefault="002B2693" w:rsidP="002B2693">
            <w:pPr>
              <w:jc w:val="center"/>
              <w:rPr>
                <w:sz w:val="20"/>
                <w:lang w:eastAsia="lt-LT"/>
              </w:rPr>
            </w:pPr>
            <w:r w:rsidRPr="002B2693">
              <w:rPr>
                <w:b/>
                <w:bCs/>
                <w:i/>
                <w:iCs/>
                <w:sz w:val="20"/>
                <w:u w:val="single"/>
                <w:lang w:eastAsia="lt-LT"/>
              </w:rPr>
              <w:t>Pateikiamos skaitmeninės dokumentų kopijos.</w:t>
            </w:r>
          </w:p>
          <w:p w14:paraId="3541885D" w14:textId="6415456E" w:rsidR="004110EE" w:rsidRPr="002B2693" w:rsidRDefault="004110EE" w:rsidP="002B2693">
            <w:pPr>
              <w:jc w:val="center"/>
              <w:rPr>
                <w:b/>
                <w:bCs/>
                <w:i/>
                <w:iCs/>
                <w:sz w:val="20"/>
                <w:u w:val="single"/>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lastRenderedPageBreak/>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01156EDF" w14:textId="7CB9112D" w:rsidR="00BA40E0" w:rsidRPr="0060156C" w:rsidRDefault="000B2096" w:rsidP="002B2693">
      <w:pPr>
        <w:spacing w:before="120" w:after="120"/>
      </w:pPr>
      <w:r w:rsidRPr="0060156C">
        <w:t>23. Pasiūlymo galiojimo užtikrinimas nereikalaujamas.</w:t>
      </w:r>
    </w:p>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08878A3" w:rsidR="000B2096" w:rsidRPr="00243644" w:rsidRDefault="000B2096" w:rsidP="006866AE">
      <w:pPr>
        <w:spacing w:line="276" w:lineRule="auto"/>
        <w:rPr>
          <w:b/>
          <w:i/>
        </w:rPr>
      </w:pPr>
      <w:r w:rsidRPr="0060156C">
        <w:rPr>
          <w:szCs w:val="24"/>
        </w:rPr>
        <w:lastRenderedPageBreak/>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2B2693" w:rsidRPr="0081613A">
        <w:rPr>
          <w:b/>
          <w:bCs/>
          <w:i/>
          <w:iCs/>
          <w:szCs w:val="24"/>
          <w:lang w:eastAsia="lt-LT"/>
        </w:rPr>
        <w:t>„</w:t>
      </w:r>
      <w:r w:rsidR="002B2693" w:rsidRPr="0081613A">
        <w:rPr>
          <w:b/>
          <w:bCs/>
          <w:i/>
          <w:iCs/>
          <w:szCs w:val="24"/>
          <w:shd w:val="clear" w:color="auto" w:fill="FFFFFF"/>
        </w:rPr>
        <w:t xml:space="preserve">Pastato Jaunimo g. 1, </w:t>
      </w:r>
      <w:proofErr w:type="spellStart"/>
      <w:r w:rsidR="002B2693" w:rsidRPr="0081613A">
        <w:rPr>
          <w:b/>
          <w:bCs/>
          <w:i/>
          <w:iCs/>
          <w:szCs w:val="24"/>
          <w:shd w:val="clear" w:color="auto" w:fill="FFFFFF"/>
        </w:rPr>
        <w:t>Junkilų</w:t>
      </w:r>
      <w:proofErr w:type="spellEnd"/>
      <w:r w:rsidR="002B2693" w:rsidRPr="0081613A">
        <w:rPr>
          <w:b/>
          <w:bCs/>
          <w:i/>
          <w:iCs/>
          <w:szCs w:val="24"/>
          <w:shd w:val="clear" w:color="auto" w:fill="FFFFFF"/>
        </w:rPr>
        <w:t xml:space="preserve"> k. Užvenčio sen. Šildymo sistemos įrengimo darbai“</w:t>
      </w:r>
      <w:r w:rsidR="002B2693" w:rsidRPr="0081613A">
        <w:rPr>
          <w:szCs w:val="24"/>
          <w:shd w:val="clear" w:color="auto" w:fill="FFFFFF"/>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004546B2" w:rsidRPr="004546B2">
        <w:rPr>
          <w:b/>
          <w:bCs/>
          <w:color w:val="000000" w:themeColor="text1"/>
          <w:szCs w:val="24"/>
        </w:rPr>
        <w:t>Su pasiūlymu pateikiamas įkainotos veiklos sąrašas (priedas Nr. 5).</w:t>
      </w:r>
      <w:r w:rsidR="004546B2" w:rsidRPr="00667BB8">
        <w:rPr>
          <w:b/>
          <w:bCs/>
          <w:i/>
          <w:iCs/>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0ABEFE63" w:rsidR="000B2096" w:rsidRPr="0060156C" w:rsidRDefault="00243DCE" w:rsidP="00243DCE">
      <w:pPr>
        <w:tabs>
          <w:tab w:val="left" w:pos="426"/>
        </w:tabs>
        <w:spacing w:line="276" w:lineRule="auto"/>
        <w:rPr>
          <w:rFonts w:eastAsia="Calibri"/>
          <w:szCs w:val="24"/>
        </w:rPr>
      </w:pPr>
      <w:r>
        <w:rPr>
          <w:rFonts w:eastAsia="Calibri"/>
          <w:szCs w:val="24"/>
        </w:rPr>
        <w:t xml:space="preserve">        32.1.</w:t>
      </w:r>
      <w:r w:rsidR="0076520A">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7D9F7757"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76520A">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7700CB34" w:rsidR="000B2096" w:rsidRPr="0060156C" w:rsidRDefault="000B2096" w:rsidP="000B2096">
      <w:pPr>
        <w:tabs>
          <w:tab w:val="left" w:pos="426"/>
        </w:tabs>
        <w:spacing w:line="276" w:lineRule="auto"/>
        <w:ind w:firstLine="567"/>
        <w:rPr>
          <w:rFonts w:eastAsia="Calibri"/>
          <w:szCs w:val="24"/>
        </w:rPr>
      </w:pPr>
      <w:r w:rsidRPr="0060156C">
        <w:rPr>
          <w:szCs w:val="24"/>
        </w:rPr>
        <w:t>32.1.</w:t>
      </w:r>
      <w:r w:rsidR="0076520A">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lastRenderedPageBreak/>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49CADA69" w:rsidR="000B2096"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 xml:space="preserve">44. Bet kuris paaiškinimas / patikslinimas yra laikomas neatskiriama pirkimo dokumentų dalimi, ir jo nuostatos turi viršenybę prieš ankstesniuose pirkimo dokumentuose išdėstytas nuostatas. Tuo </w:t>
      </w:r>
      <w:r w:rsidRPr="0060156C">
        <w:rPr>
          <w:szCs w:val="24"/>
        </w:rPr>
        <w:lastRenderedPageBreak/>
        <w:t>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 xml:space="preserve">ės – pakeisti kainą arba padaryti </w:t>
      </w:r>
      <w:r w:rsidRPr="0060156C">
        <w:rPr>
          <w:rFonts w:ascii="Times New Roman" w:hAnsi="Times New Roman"/>
          <w:sz w:val="24"/>
          <w:szCs w:val="24"/>
        </w:rPr>
        <w:lastRenderedPageBreak/>
        <w:t>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7EB51520" w:rsidR="000B2096" w:rsidRPr="00AF5A14" w:rsidRDefault="00880763" w:rsidP="00AF5A14">
      <w:pPr>
        <w:pStyle w:val="Betarp"/>
        <w:spacing w:line="276" w:lineRule="auto"/>
        <w:jc w:val="both"/>
        <w:rPr>
          <w:rFonts w:asciiTheme="majorBidi" w:hAnsiTheme="majorBidi" w:cstheme="majorBidi"/>
          <w:strike/>
          <w:color w:val="FF0000"/>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76520A">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pasiūlymas neatitinka pirkimo dokumentuose nustatytų reikalavimų.</w:t>
      </w:r>
    </w:p>
    <w:p w14:paraId="353EFA0B" w14:textId="6B76DE24" w:rsidR="000B2096" w:rsidRPr="00AF5A14" w:rsidRDefault="00880763" w:rsidP="00AF5A14">
      <w:pPr>
        <w:pStyle w:val="Body2"/>
        <w:spacing w:line="276" w:lineRule="auto"/>
        <w:rPr>
          <w:rFonts w:asciiTheme="majorBidi" w:hAnsiTheme="majorBidi" w:cstheme="majorBidi"/>
          <w:i/>
          <w:iCs/>
          <w:color w:val="FF0000"/>
          <w:sz w:val="24"/>
          <w:szCs w:val="24"/>
        </w:rPr>
      </w:pPr>
      <w:r w:rsidRPr="00AF5A14">
        <w:rPr>
          <w:rFonts w:asciiTheme="majorBidi" w:hAnsiTheme="majorBidi" w:cstheme="majorBidi"/>
          <w:sz w:val="24"/>
          <w:szCs w:val="24"/>
        </w:rPr>
        <w:t xml:space="preserve">      </w:t>
      </w:r>
      <w:r w:rsidR="000B2096" w:rsidRPr="00AF5A14">
        <w:rPr>
          <w:rFonts w:asciiTheme="majorBidi" w:hAnsiTheme="majorBidi" w:cstheme="majorBidi"/>
          <w:sz w:val="24"/>
          <w:szCs w:val="24"/>
        </w:rPr>
        <w:t>58.</w:t>
      </w:r>
      <w:r w:rsidR="0076520A">
        <w:rPr>
          <w:rFonts w:asciiTheme="majorBidi" w:hAnsiTheme="majorBidi" w:cstheme="majorBidi"/>
          <w:sz w:val="24"/>
          <w:szCs w:val="24"/>
        </w:rPr>
        <w:t>3</w:t>
      </w:r>
      <w:r w:rsidR="000B2096" w:rsidRPr="00AF5A14">
        <w:rPr>
          <w:rFonts w:asciiTheme="majorBidi" w:hAnsiTheme="majorBidi" w:cstheme="majorBidi"/>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4C680678"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BF054D" w:rsidRPr="00AF5A14">
        <w:rPr>
          <w:rFonts w:asciiTheme="majorBidi" w:hAnsiTheme="majorBidi" w:cstheme="majorBidi"/>
          <w:sz w:val="24"/>
          <w:szCs w:val="24"/>
          <w:lang w:eastAsia="lt-LT"/>
        </w:rPr>
        <w:t>5</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4F624FF7"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BF054D">
        <w:rPr>
          <w:rFonts w:ascii="Times New Roman" w:hAnsi="Times New Roman"/>
          <w:sz w:val="24"/>
          <w:szCs w:val="24"/>
          <w:lang w:eastAsia="lt-LT"/>
        </w:rPr>
        <w:t>6</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3FA77F26"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BF054D">
        <w:rPr>
          <w:rFonts w:ascii="Times New Roman" w:hAnsi="Times New Roman"/>
          <w:sz w:val="24"/>
          <w:szCs w:val="24"/>
          <w:lang w:eastAsia="lt-LT"/>
        </w:rPr>
        <w:t>7</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29C4637"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BF054D">
        <w:rPr>
          <w:rFonts w:eastAsia="Calibri"/>
          <w:szCs w:val="24"/>
        </w:rPr>
        <w:t>8</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461CE371"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BF054D">
        <w:rPr>
          <w:color w:val="000000"/>
          <w:szCs w:val="24"/>
          <w:lang w:eastAsia="lt-LT"/>
        </w:rPr>
        <w:t>9</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43CFBAA6"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sidR="00BF054D">
        <w:rPr>
          <w:color w:val="000000"/>
          <w:szCs w:val="24"/>
          <w:lang w:eastAsia="lt-LT"/>
        </w:rPr>
        <w:t>10</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w:t>
      </w:r>
      <w:r w:rsidRPr="007D27B0">
        <w:rPr>
          <w:color w:val="000000"/>
          <w:szCs w:val="24"/>
          <w:lang w:eastAsia="lt-LT"/>
        </w:rPr>
        <w:lastRenderedPageBreak/>
        <w:t xml:space="preserve">asmenys, nuolat gyvenantys šio įstatymo 92 straipsnio 15 dalyje numatytame sąraše nurodytose valstybėse ar teritorijose arba turintys šių valstybių pilietybę; </w:t>
      </w:r>
    </w:p>
    <w:p w14:paraId="1EEEB0BA" w14:textId="7063C968"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1</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10B326DA"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2</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7D1AEF"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BF054D">
        <w:rPr>
          <w:color w:val="000000"/>
          <w:szCs w:val="24"/>
          <w:lang w:eastAsia="lt-LT"/>
        </w:rPr>
        <w:t>3</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7C3832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BF054D">
        <w:rPr>
          <w:rFonts w:ascii="Times New Roman" w:hAnsi="Times New Roman"/>
          <w:sz w:val="24"/>
          <w:szCs w:val="24"/>
          <w:lang w:eastAsia="lt-LT"/>
        </w:rPr>
        <w:t>4</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xml:space="preserve">. Sudaroma pirkimo sutartis gali būti papildoma ir kitomis sąlygomis, nei nurodyta pirkimo dokumentuose, tačiau šios papildomos sąlygos negali niekaip panaikinti ar suvaržyti galiojimo tų </w:t>
      </w:r>
      <w:r w:rsidRPr="0060156C">
        <w:lastRenderedPageBreak/>
        <w:t>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3A1C59F8" w14:textId="1ECF2A9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p>
    <w:p w14:paraId="6CB456E8" w14:textId="2C17235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68508697"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Pr="00155BD7">
        <w:rPr>
          <w:b/>
          <w:szCs w:val="24"/>
        </w:rPr>
        <w:t xml:space="preserve"> –</w:t>
      </w:r>
      <w:r w:rsidRPr="00155BD7">
        <w:rPr>
          <w:lang w:eastAsia="ar-SA"/>
        </w:rPr>
        <w:t xml:space="preserve"> </w:t>
      </w:r>
      <w:r w:rsidR="0076520A">
        <w:rPr>
          <w:lang w:eastAsia="ar-SA"/>
        </w:rPr>
        <w:t>Linas Mačernius</w:t>
      </w:r>
      <w:r w:rsidR="0076520A" w:rsidRPr="00E16302">
        <w:rPr>
          <w:lang w:eastAsia="ar-SA"/>
        </w:rPr>
        <w:t xml:space="preserve">, Kelmės rajono savivaldybės administracijos </w:t>
      </w:r>
      <w:r w:rsidR="0076520A">
        <w:rPr>
          <w:lang w:eastAsia="ar-SA"/>
        </w:rPr>
        <w:t>Užvenčio seniūnijos seniūnas,</w:t>
      </w:r>
      <w:r w:rsidR="0076520A" w:rsidRPr="00E16302">
        <w:rPr>
          <w:lang w:eastAsia="ar-SA"/>
        </w:rPr>
        <w:t xml:space="preserve"> tel.</w:t>
      </w:r>
      <w:r w:rsidR="0076520A">
        <w:rPr>
          <w:lang w:eastAsia="ar-SA"/>
        </w:rPr>
        <w:t xml:space="preserve"> </w:t>
      </w:r>
      <w:r w:rsidR="0076520A" w:rsidRPr="00E16302">
        <w:rPr>
          <w:lang w:eastAsia="ar-SA"/>
        </w:rPr>
        <w:t>+370 6</w:t>
      </w:r>
      <w:r w:rsidR="0076520A">
        <w:rPr>
          <w:lang w:eastAsia="ar-SA"/>
        </w:rPr>
        <w:t>20 72630</w:t>
      </w:r>
      <w:r w:rsidR="0076520A" w:rsidRPr="00E16302">
        <w:rPr>
          <w:lang w:eastAsia="ar-SA"/>
        </w:rPr>
        <w:t>, el.</w:t>
      </w:r>
      <w:r w:rsidR="0076520A">
        <w:rPr>
          <w:lang w:eastAsia="ar-SA"/>
        </w:rPr>
        <w:t> </w:t>
      </w:r>
      <w:r w:rsidR="0076520A" w:rsidRPr="00E16302">
        <w:rPr>
          <w:lang w:eastAsia="ar-SA"/>
        </w:rPr>
        <w:t xml:space="preserve">p. </w:t>
      </w:r>
      <w:hyperlink r:id="rId15" w:history="1">
        <w:r w:rsidR="0076520A" w:rsidRPr="00C16888">
          <w:rPr>
            <w:rStyle w:val="Hipersaitas"/>
            <w:lang w:eastAsia="ar-SA"/>
          </w:rPr>
          <w:t>linas.macernius@kelme.lt</w:t>
        </w:r>
      </w:hyperlink>
      <w:r w:rsidR="0076520A" w:rsidRPr="00231D04">
        <w:rPr>
          <w:lang w:eastAsia="ar-SA"/>
        </w:rPr>
        <w:t>.</w:t>
      </w:r>
    </w:p>
    <w:p w14:paraId="76876B4E" w14:textId="04A7CC51" w:rsidR="00146D58" w:rsidRPr="0060156C" w:rsidRDefault="00146D58" w:rsidP="00146D58">
      <w:pPr>
        <w:tabs>
          <w:tab w:val="left" w:pos="567"/>
        </w:tabs>
        <w:spacing w:line="276" w:lineRule="auto"/>
        <w:rPr>
          <w:szCs w:val="24"/>
        </w:rPr>
      </w:pPr>
      <w:r>
        <w:rPr>
          <w:szCs w:val="24"/>
        </w:rPr>
        <w:t>69.1.</w:t>
      </w:r>
      <w:r>
        <w:rPr>
          <w:b/>
          <w:i/>
          <w:szCs w:val="24"/>
        </w:rPr>
        <w:t xml:space="preserve"> </w:t>
      </w:r>
      <w:r>
        <w:rPr>
          <w:b/>
          <w:bCs/>
          <w:i/>
          <w:iCs/>
          <w:szCs w:val="24"/>
        </w:rPr>
        <w:t>D</w:t>
      </w:r>
      <w:r w:rsidRPr="00155BD7">
        <w:rPr>
          <w:b/>
          <w:bCs/>
          <w:i/>
          <w:iCs/>
          <w:szCs w:val="24"/>
        </w:rPr>
        <w:t>ėl klausimų, susijusių su viešųjų pirkimų procedūromis</w:t>
      </w:r>
      <w:r w:rsidRPr="00155BD7">
        <w:rPr>
          <w:szCs w:val="24"/>
        </w:rPr>
        <w:t xml:space="preserve"> – Viešųjų pirkimų skyriaus vyriausioji specialistė </w:t>
      </w:r>
      <w:r w:rsidRPr="0060156C">
        <w:rPr>
          <w:szCs w:val="24"/>
        </w:rPr>
        <w:t xml:space="preserve">Ernesta Labanauskienė, tel. (8 427) 69 154, el. paštas </w:t>
      </w:r>
      <w:proofErr w:type="spellStart"/>
      <w:r w:rsidRPr="0060156C">
        <w:rPr>
          <w:szCs w:val="24"/>
        </w:rPr>
        <w:t>ernesta.labanauskiene@kelme.lt</w:t>
      </w:r>
      <w:proofErr w:type="spellEnd"/>
      <w:r w:rsidRPr="0060156C">
        <w:rPr>
          <w:szCs w:val="24"/>
        </w:rPr>
        <w:t>.</w:t>
      </w: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59FAFCFF" w14:textId="31B0BE83" w:rsidR="00B401AB" w:rsidRDefault="005B569F" w:rsidP="00B401AB">
      <w:pPr>
        <w:spacing w:line="276" w:lineRule="auto"/>
      </w:pPr>
      <w:r>
        <w:rPr>
          <w:color w:val="000000" w:themeColor="text1"/>
          <w:szCs w:val="24"/>
        </w:rPr>
        <w:t xml:space="preserve">4. </w:t>
      </w:r>
      <w:r>
        <w:t>D</w:t>
      </w:r>
      <w:r w:rsidR="00243644">
        <w:t>arbų aprašas</w:t>
      </w:r>
      <w:r w:rsidR="00FF2A5E">
        <w:t xml:space="preserve"> – 4 priedas</w:t>
      </w:r>
      <w:r w:rsidR="00B401AB">
        <w:t>;</w:t>
      </w:r>
    </w:p>
    <w:p w14:paraId="34831A51" w14:textId="77777777" w:rsidR="00FF7C1B" w:rsidRDefault="00FF7C1B" w:rsidP="00FF7C1B">
      <w:pPr>
        <w:spacing w:line="276" w:lineRule="auto"/>
        <w:ind w:right="-178"/>
        <w:rPr>
          <w:color w:val="000000" w:themeColor="text1"/>
          <w:szCs w:val="24"/>
        </w:rPr>
      </w:pPr>
    </w:p>
    <w:p w14:paraId="6B2EB467" w14:textId="77777777" w:rsidR="000E5D8C" w:rsidRDefault="000E5D8C"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1D44AF58" w:rsidR="005B569F" w:rsidRPr="00077CEB" w:rsidRDefault="00F70073" w:rsidP="00F70073">
      <w:pPr>
        <w:spacing w:line="276" w:lineRule="auto"/>
        <w:jc w:val="center"/>
        <w:rPr>
          <w:b/>
        </w:rPr>
      </w:pPr>
      <w:r w:rsidRPr="002F5169">
        <w:rPr>
          <w:b/>
          <w:szCs w:val="24"/>
        </w:rPr>
        <w:t xml:space="preserve">DĖL </w:t>
      </w:r>
      <w:r w:rsidR="0076520A" w:rsidRPr="0076520A">
        <w:rPr>
          <w:b/>
          <w:bCs/>
          <w:szCs w:val="24"/>
          <w:lang w:eastAsia="lt-LT"/>
        </w:rPr>
        <w:t>„</w:t>
      </w:r>
      <w:r w:rsidR="0076520A" w:rsidRPr="0076520A">
        <w:rPr>
          <w:b/>
          <w:bCs/>
          <w:szCs w:val="24"/>
          <w:shd w:val="clear" w:color="auto" w:fill="FFFFFF"/>
        </w:rPr>
        <w:t>PASTATO JAUNIMO G. 1, JUNKILŲ K. UŽVENČIO SEN. ŠILDYMO SISTEMOS ĮRENGIMO DARBAI“</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66FD077" w:rsidR="000B2096" w:rsidRPr="00077CEB" w:rsidRDefault="000B2096" w:rsidP="00F70073">
      <w:pPr>
        <w:numPr>
          <w:ilvl w:val="0"/>
          <w:numId w:val="39"/>
        </w:numPr>
        <w:rPr>
          <w:b/>
          <w:i/>
        </w:rPr>
      </w:pPr>
      <w:r w:rsidRPr="00EC387A">
        <w:rPr>
          <w:sz w:val="23"/>
          <w:szCs w:val="23"/>
        </w:rPr>
        <w:t xml:space="preserve">Mes siūlome atlikti šiuos darbus </w:t>
      </w:r>
      <w:r w:rsidR="005B569F" w:rsidRPr="00C1121C">
        <w:rPr>
          <w:b/>
          <w:bCs/>
          <w:i/>
          <w:iCs/>
          <w:szCs w:val="24"/>
        </w:rPr>
        <w:t>„</w:t>
      </w:r>
      <w:r w:rsidR="00F70073" w:rsidRPr="00F70073">
        <w:rPr>
          <w:b/>
          <w:i/>
        </w:rPr>
        <w:t>Administracinio pastato stogo remonto darbai Vytauto Didžiojo g. 23, Kelmė</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0C29C729" w:rsidR="000B2096" w:rsidRPr="00CE4505" w:rsidRDefault="0076520A" w:rsidP="00F70073">
            <w:pPr>
              <w:jc w:val="center"/>
              <w:rPr>
                <w:b/>
                <w:i/>
                <w:szCs w:val="24"/>
              </w:rPr>
            </w:pPr>
            <w:r w:rsidRPr="0081613A">
              <w:rPr>
                <w:b/>
                <w:bCs/>
                <w:i/>
                <w:iCs/>
                <w:szCs w:val="24"/>
                <w:lang w:eastAsia="lt-LT"/>
              </w:rPr>
              <w:t>„</w:t>
            </w:r>
            <w:r w:rsidRPr="0081613A">
              <w:rPr>
                <w:b/>
                <w:bCs/>
                <w:i/>
                <w:iCs/>
                <w:szCs w:val="24"/>
                <w:shd w:val="clear" w:color="auto" w:fill="FFFFFF"/>
              </w:rPr>
              <w:t xml:space="preserve">Pastato Jaunimo g. 1, </w:t>
            </w:r>
            <w:proofErr w:type="spellStart"/>
            <w:r w:rsidRPr="0081613A">
              <w:rPr>
                <w:b/>
                <w:bCs/>
                <w:i/>
                <w:iCs/>
                <w:szCs w:val="24"/>
                <w:shd w:val="clear" w:color="auto" w:fill="FFFFFF"/>
              </w:rPr>
              <w:t>Junkilų</w:t>
            </w:r>
            <w:proofErr w:type="spellEnd"/>
            <w:r w:rsidRPr="0081613A">
              <w:rPr>
                <w:b/>
                <w:bCs/>
                <w:i/>
                <w:iCs/>
                <w:szCs w:val="24"/>
                <w:shd w:val="clear" w:color="auto" w:fill="FFFFFF"/>
              </w:rPr>
              <w:t xml:space="preserve"> k. Užvenčio sen. Šildymo sistemos įrengimo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19125854" w14:textId="6FD33DA5" w:rsidR="0076520A" w:rsidRDefault="000B2096" w:rsidP="0076520A">
      <w:pPr>
        <w:ind w:firstLine="397"/>
        <w:rPr>
          <w:rFonts w:eastAsia="SimSun"/>
          <w:i/>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50F9E5A5" w14:textId="77777777" w:rsidR="0076520A" w:rsidRPr="0076520A" w:rsidRDefault="0076520A" w:rsidP="0076520A">
      <w:pPr>
        <w:ind w:firstLine="397"/>
        <w:rPr>
          <w:rFonts w:eastAsia="SimSun"/>
          <w:i/>
          <w:sz w:val="23"/>
          <w:szCs w:val="23"/>
        </w:rPr>
      </w:pP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0E5D8C">
        <w:trPr>
          <w:trHeight w:val="214"/>
          <w:jc w:val="center"/>
        </w:trPr>
        <w:tc>
          <w:tcPr>
            <w:tcW w:w="879" w:type="dxa"/>
            <w:tcBorders>
              <w:top w:val="single" w:sz="4" w:space="0" w:color="auto"/>
              <w:left w:val="single" w:sz="4" w:space="0" w:color="auto"/>
              <w:bottom w:val="single" w:sz="4" w:space="0" w:color="auto"/>
              <w:right w:val="single" w:sz="4" w:space="0" w:color="auto"/>
            </w:tcBorders>
            <w:vAlign w:val="center"/>
          </w:tcPr>
          <w:p w14:paraId="7C81DDBE" w14:textId="79CBCA2D" w:rsidR="000B2096" w:rsidRPr="0060156C" w:rsidRDefault="000B2096" w:rsidP="00B960F8">
            <w:pPr>
              <w:jc w:val="center"/>
              <w:rPr>
                <w:rFonts w:eastAsia="Batang"/>
                <w:sz w:val="20"/>
              </w:rPr>
            </w:pPr>
            <w:r w:rsidRPr="0060156C">
              <w:rPr>
                <w:rFonts w:eastAsia="Batang"/>
                <w:sz w:val="20"/>
              </w:rPr>
              <w:t>Eil.</w:t>
            </w:r>
            <w:r w:rsidR="000E5D8C">
              <w:rPr>
                <w:rFonts w:eastAsia="Batang"/>
                <w:sz w:val="20"/>
              </w:rPr>
              <w:t xml:space="preserve"> </w:t>
            </w:r>
            <w:r w:rsidRPr="0060156C">
              <w:rPr>
                <w:rFonts w:eastAsia="Batang"/>
                <w:sz w:val="20"/>
              </w:rPr>
              <w:t>Nr.</w:t>
            </w:r>
          </w:p>
        </w:tc>
        <w:tc>
          <w:tcPr>
            <w:tcW w:w="5642"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0E5D8C">
        <w:trPr>
          <w:trHeight w:val="276"/>
          <w:jc w:val="center"/>
        </w:trPr>
        <w:tc>
          <w:tcPr>
            <w:tcW w:w="879" w:type="dxa"/>
            <w:tcBorders>
              <w:top w:val="single" w:sz="4" w:space="0" w:color="auto"/>
              <w:left w:val="single" w:sz="4" w:space="0" w:color="auto"/>
              <w:bottom w:val="single" w:sz="4" w:space="0" w:color="auto"/>
              <w:right w:val="single" w:sz="4" w:space="0" w:color="auto"/>
            </w:tcBorders>
          </w:tcPr>
          <w:p w14:paraId="271CF60B" w14:textId="7A0B099F" w:rsidR="000B2096" w:rsidRPr="0060156C" w:rsidRDefault="000E5D8C" w:rsidP="000E5D8C">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979BAED" w:rsidR="000B2096" w:rsidRPr="0060156C" w:rsidRDefault="000E5D8C" w:rsidP="00B960F8">
            <w:pPr>
              <w:rPr>
                <w:rFonts w:eastAsia="Batang"/>
                <w:sz w:val="20"/>
              </w:rPr>
            </w:pPr>
            <w:r>
              <w:rPr>
                <w:rFonts w:eastAsia="Batang"/>
                <w:sz w:val="20"/>
              </w:rPr>
              <w:t>...</w:t>
            </w:r>
          </w:p>
        </w:tc>
        <w:tc>
          <w:tcPr>
            <w:tcW w:w="3183" w:type="dxa"/>
            <w:tcBorders>
              <w:top w:val="single" w:sz="4" w:space="0" w:color="auto"/>
              <w:left w:val="single" w:sz="4" w:space="0" w:color="auto"/>
              <w:bottom w:val="single" w:sz="4" w:space="0" w:color="auto"/>
              <w:right w:val="single" w:sz="4" w:space="0" w:color="auto"/>
            </w:tcBorders>
          </w:tcPr>
          <w:p w14:paraId="37333197" w14:textId="660BBDD5" w:rsidR="000B2096" w:rsidRPr="0060156C" w:rsidRDefault="000E5D8C" w:rsidP="00B960F8">
            <w:pPr>
              <w:rPr>
                <w:rFonts w:eastAsia="Batang"/>
                <w:sz w:val="20"/>
              </w:rPr>
            </w:pPr>
            <w:r>
              <w:rPr>
                <w:rFonts w:eastAsia="Batang"/>
                <w:sz w:val="20"/>
              </w:rPr>
              <w:t>..</w:t>
            </w:r>
          </w:p>
        </w:tc>
      </w:tr>
      <w:tr w:rsidR="000B2096" w:rsidRPr="0060156C" w14:paraId="03C8B5D6" w14:textId="77777777" w:rsidTr="000E5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jc w:val="center"/>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195"/>
              <w:gridCol w:w="5562"/>
            </w:tblGrid>
            <w:tr w:rsidR="000B2096" w:rsidRPr="0060156C" w14:paraId="1516A065" w14:textId="77777777" w:rsidTr="000E5D8C">
              <w:trPr>
                <w:trHeight w:val="725"/>
              </w:trPr>
              <w:tc>
                <w:tcPr>
                  <w:tcW w:w="853" w:type="dxa"/>
                  <w:vAlign w:val="center"/>
                </w:tcPr>
                <w:p w14:paraId="0409815E" w14:textId="77777777" w:rsidR="000B2096" w:rsidRPr="0060156C" w:rsidRDefault="000B2096" w:rsidP="0060156C">
                  <w:pPr>
                    <w:ind w:right="-108"/>
                    <w:jc w:val="center"/>
                    <w:rPr>
                      <w:sz w:val="20"/>
                    </w:rPr>
                  </w:pPr>
                  <w:proofErr w:type="spellStart"/>
                  <w:r w:rsidRPr="0060156C">
                    <w:rPr>
                      <w:sz w:val="20"/>
                    </w:rPr>
                    <w:t>Eil.Nr</w:t>
                  </w:r>
                  <w:proofErr w:type="spellEnd"/>
                  <w:r w:rsidRPr="0060156C">
                    <w:rPr>
                      <w:sz w:val="20"/>
                    </w:rPr>
                    <w:t>.</w:t>
                  </w:r>
                </w:p>
              </w:tc>
              <w:tc>
                <w:tcPr>
                  <w:tcW w:w="3195"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0E5D8C">
              <w:trPr>
                <w:trHeight w:val="264"/>
              </w:trPr>
              <w:tc>
                <w:tcPr>
                  <w:tcW w:w="853" w:type="dxa"/>
                </w:tcPr>
                <w:p w14:paraId="201402AF" w14:textId="5DBCA842" w:rsidR="000B2096" w:rsidRPr="0060156C" w:rsidRDefault="000E5D8C" w:rsidP="000E5D8C">
                  <w:pPr>
                    <w:ind w:right="-108"/>
                    <w:jc w:val="center"/>
                    <w:rPr>
                      <w:sz w:val="20"/>
                    </w:rPr>
                  </w:pPr>
                  <w:r>
                    <w:rPr>
                      <w:sz w:val="20"/>
                    </w:rPr>
                    <w:t>1.</w:t>
                  </w:r>
                </w:p>
              </w:tc>
              <w:tc>
                <w:tcPr>
                  <w:tcW w:w="3195" w:type="dxa"/>
                </w:tcPr>
                <w:p w14:paraId="3AB7ABB2" w14:textId="3377A242" w:rsidR="000B2096" w:rsidRPr="0060156C" w:rsidRDefault="000E5D8C" w:rsidP="00B960F8">
                  <w:pPr>
                    <w:ind w:right="-108"/>
                    <w:rPr>
                      <w:sz w:val="20"/>
                    </w:rPr>
                  </w:pPr>
                  <w:r>
                    <w:rPr>
                      <w:sz w:val="20"/>
                    </w:rPr>
                    <w:t>..</w:t>
                  </w:r>
                </w:p>
              </w:tc>
              <w:tc>
                <w:tcPr>
                  <w:tcW w:w="5562" w:type="dxa"/>
                </w:tcPr>
                <w:p w14:paraId="3342A761" w14:textId="67C38F9C" w:rsidR="000B2096" w:rsidRPr="0060156C" w:rsidRDefault="000E5D8C" w:rsidP="00B960F8">
                  <w:pPr>
                    <w:ind w:right="-108"/>
                    <w:rPr>
                      <w:sz w:val="20"/>
                    </w:rPr>
                  </w:pPr>
                  <w:r>
                    <w:rPr>
                      <w:sz w:val="20"/>
                    </w:rPr>
                    <w:t>..</w:t>
                  </w: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D170A6A"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16"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17FF6D1A" w14:textId="77777777" w:rsidR="00C6248B" w:rsidRPr="0060156C"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6EC6EFF3" w14:textId="77777777" w:rsidR="000E5D8C" w:rsidRDefault="000E5D8C" w:rsidP="008A2D70">
      <w:pPr>
        <w:spacing w:line="276" w:lineRule="auto"/>
        <w:ind w:right="-178"/>
        <w:jc w:val="right"/>
        <w:rPr>
          <w:b/>
          <w:bCs/>
          <w:szCs w:val="24"/>
        </w:rPr>
      </w:pPr>
    </w:p>
    <w:p w14:paraId="799BFEA3" w14:textId="77777777" w:rsidR="000E5D8C" w:rsidRDefault="000E5D8C" w:rsidP="008A2D70">
      <w:pPr>
        <w:spacing w:line="276" w:lineRule="auto"/>
        <w:ind w:right="-178"/>
        <w:jc w:val="right"/>
        <w:rPr>
          <w:b/>
          <w:bCs/>
          <w:szCs w:val="24"/>
        </w:rPr>
      </w:pPr>
    </w:p>
    <w:p w14:paraId="0B638B9A" w14:textId="60F03131" w:rsidR="00312240" w:rsidRPr="00F70073" w:rsidRDefault="003B5576" w:rsidP="008A2D70">
      <w:pPr>
        <w:spacing w:line="276" w:lineRule="auto"/>
        <w:ind w:right="-178"/>
        <w:jc w:val="right"/>
        <w:rPr>
          <w:b/>
          <w:bCs/>
          <w:szCs w:val="24"/>
        </w:rPr>
      </w:pPr>
      <w:r w:rsidRPr="00F70073">
        <w:rPr>
          <w:b/>
          <w:bCs/>
          <w:szCs w:val="24"/>
        </w:rPr>
        <w:lastRenderedPageBreak/>
        <w:t>Konkurso sąlygų 2 priedas</w:t>
      </w:r>
    </w:p>
    <w:p w14:paraId="1A64A003" w14:textId="77777777" w:rsidR="00077CEB" w:rsidRPr="00F70073" w:rsidRDefault="00077CEB" w:rsidP="00077CEB">
      <w:pPr>
        <w:pStyle w:val="Punktas1"/>
        <w:jc w:val="right"/>
        <w:rPr>
          <w:b/>
          <w:bCs w:val="0"/>
          <w:color w:val="FF0000"/>
          <w:u w:val="single"/>
        </w:rPr>
      </w:pPr>
      <w:bookmarkStart w:id="14" w:name="_Hlk160719019"/>
    </w:p>
    <w:p w14:paraId="14C64BBD" w14:textId="77777777" w:rsidR="00690C9A" w:rsidRPr="00F70073" w:rsidRDefault="00690C9A" w:rsidP="00F70073">
      <w:pPr>
        <w:pStyle w:val="Punktas1"/>
        <w:ind w:firstLine="0"/>
        <w:rPr>
          <w:b/>
          <w:bCs w:val="0"/>
          <w:color w:val="auto"/>
        </w:rPr>
      </w:pPr>
    </w:p>
    <w:p w14:paraId="633474E1" w14:textId="77777777" w:rsidR="00077CEB" w:rsidRPr="00F70073" w:rsidRDefault="00077CEB" w:rsidP="00077CEB">
      <w:pPr>
        <w:pStyle w:val="Punktas1"/>
        <w:ind w:firstLine="0"/>
        <w:jc w:val="center"/>
        <w:rPr>
          <w:b/>
          <w:bCs w:val="0"/>
          <w:color w:val="auto"/>
        </w:rPr>
      </w:pPr>
    </w:p>
    <w:p w14:paraId="274C1CD7" w14:textId="4D021034" w:rsidR="00077CEB" w:rsidRPr="00F70073" w:rsidRDefault="00077CEB" w:rsidP="00077CEB">
      <w:pPr>
        <w:pStyle w:val="Punktas1"/>
        <w:ind w:firstLine="0"/>
        <w:jc w:val="center"/>
        <w:rPr>
          <w:b/>
          <w:bCs w:val="0"/>
          <w:color w:val="auto"/>
        </w:rPr>
      </w:pPr>
      <w:r w:rsidRPr="00F70073">
        <w:rPr>
          <w:b/>
          <w:bCs w:val="0"/>
          <w:color w:val="auto"/>
        </w:rPr>
        <w:t>Sutarties projektas</w:t>
      </w:r>
    </w:p>
    <w:p w14:paraId="0B6BF97C"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484ECE62" w14:textId="77777777" w:rsidR="00077CEB" w:rsidRPr="00F70073" w:rsidRDefault="00077CEB" w:rsidP="00077CEB">
      <w:pPr>
        <w:pBdr>
          <w:bottom w:val="single" w:sz="12" w:space="1" w:color="auto"/>
        </w:pBdr>
        <w:jc w:val="center"/>
        <w:rPr>
          <w:i/>
          <w:color w:val="000000"/>
          <w:szCs w:val="24"/>
        </w:rPr>
      </w:pPr>
    </w:p>
    <w:p w14:paraId="28F33C35" w14:textId="77777777" w:rsidR="00690C9A" w:rsidRPr="00F70073" w:rsidRDefault="00690C9A" w:rsidP="00077CEB">
      <w:pPr>
        <w:pBdr>
          <w:bottom w:val="single" w:sz="12" w:space="1" w:color="auto"/>
        </w:pBdr>
        <w:jc w:val="center"/>
        <w:rPr>
          <w:i/>
          <w:color w:val="000000"/>
          <w:szCs w:val="24"/>
        </w:rPr>
      </w:pPr>
    </w:p>
    <w:p w14:paraId="054B6DCD" w14:textId="77777777" w:rsidR="00690C9A" w:rsidRPr="00F70073" w:rsidRDefault="00690C9A" w:rsidP="00077CEB">
      <w:pPr>
        <w:pBdr>
          <w:bottom w:val="single" w:sz="12" w:space="1" w:color="auto"/>
        </w:pBdr>
        <w:jc w:val="center"/>
        <w:rPr>
          <w:i/>
          <w:color w:val="000000"/>
          <w:szCs w:val="24"/>
        </w:rPr>
      </w:pPr>
    </w:p>
    <w:p w14:paraId="12505242" w14:textId="77777777" w:rsidR="00077CEB" w:rsidRPr="00F70073" w:rsidRDefault="00077CEB" w:rsidP="00077CEB">
      <w:pPr>
        <w:pBdr>
          <w:bottom w:val="single" w:sz="12" w:space="1" w:color="auto"/>
        </w:pBdr>
        <w:jc w:val="center"/>
        <w:rPr>
          <w:i/>
          <w:color w:val="000000"/>
          <w:szCs w:val="24"/>
        </w:rPr>
      </w:pPr>
    </w:p>
    <w:p w14:paraId="253534C5" w14:textId="77777777" w:rsidR="00077CEB" w:rsidRPr="00F70073" w:rsidRDefault="00077CEB" w:rsidP="00EC387A">
      <w:pPr>
        <w:pStyle w:val="Punktas1"/>
        <w:jc w:val="right"/>
        <w:rPr>
          <w:b/>
          <w:bCs w:val="0"/>
          <w:color w:val="FF0000"/>
          <w:u w:val="single"/>
        </w:rPr>
      </w:pPr>
    </w:p>
    <w:p w14:paraId="23A226C3" w14:textId="77777777" w:rsidR="00EC387A" w:rsidRPr="00F70073" w:rsidRDefault="00EC387A" w:rsidP="00EC387A">
      <w:pPr>
        <w:pStyle w:val="Punktas1"/>
        <w:jc w:val="right"/>
        <w:rPr>
          <w:b/>
          <w:bCs w:val="0"/>
          <w:color w:val="auto"/>
          <w:u w:val="single"/>
        </w:rPr>
      </w:pPr>
    </w:p>
    <w:bookmarkEnd w:id="14"/>
    <w:p w14:paraId="2E3590A4" w14:textId="61E4848D" w:rsidR="003B5576" w:rsidRPr="00F70073" w:rsidRDefault="003B5576" w:rsidP="00F2472C">
      <w:pPr>
        <w:spacing w:line="276" w:lineRule="auto"/>
        <w:ind w:right="-178"/>
        <w:jc w:val="right"/>
        <w:rPr>
          <w:b/>
          <w:bCs/>
          <w:szCs w:val="24"/>
        </w:rPr>
      </w:pPr>
      <w:r w:rsidRPr="00F70073">
        <w:rPr>
          <w:b/>
          <w:bCs/>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5" w:name="_Hlk77162888"/>
      <w:bookmarkStart w:id="16" w:name="_Hlk132805222"/>
      <w:bookmarkEnd w:id="15"/>
      <w:bookmarkEnd w:id="16"/>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Pr="00F70073" w:rsidRDefault="00690C9A" w:rsidP="00F70073">
      <w:pPr>
        <w:pBdr>
          <w:bottom w:val="single" w:sz="12" w:space="1" w:color="auto"/>
        </w:pBd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p w14:paraId="3DBC4D07" w14:textId="77777777" w:rsidR="00F2472C" w:rsidRPr="00F70073" w:rsidRDefault="00F2472C" w:rsidP="002F0985">
      <w:pPr>
        <w:pStyle w:val="Punktas1"/>
        <w:spacing w:line="276" w:lineRule="auto"/>
        <w:jc w:val="center"/>
        <w:rPr>
          <w:b/>
          <w:bCs w:val="0"/>
          <w:color w:val="000000" w:themeColor="text1"/>
          <w:u w:val="single"/>
        </w:rPr>
      </w:pPr>
    </w:p>
    <w:p w14:paraId="4332B17B" w14:textId="434366F9" w:rsidR="002F0985" w:rsidRPr="00F70073" w:rsidRDefault="00077CEB" w:rsidP="00077CEB">
      <w:pPr>
        <w:pStyle w:val="Punktas1"/>
        <w:spacing w:line="276" w:lineRule="auto"/>
        <w:jc w:val="right"/>
        <w:rPr>
          <w:color w:val="000000" w:themeColor="text1"/>
        </w:rPr>
      </w:pPr>
      <w:r w:rsidRPr="00F70073">
        <w:rPr>
          <w:b/>
        </w:rPr>
        <w:t>Konkurso sąlygų 4 priedas</w:t>
      </w:r>
    </w:p>
    <w:p w14:paraId="29F1F23F" w14:textId="77777777" w:rsidR="00690C9A" w:rsidRPr="00F70073" w:rsidRDefault="00690C9A" w:rsidP="00F70073">
      <w:pPr>
        <w:pStyle w:val="Punktas1"/>
        <w:spacing w:line="276" w:lineRule="auto"/>
        <w:ind w:firstLine="0"/>
        <w:rPr>
          <w:b/>
          <w:bCs w:val="0"/>
          <w:color w:val="auto"/>
          <w:u w:val="single"/>
        </w:rPr>
      </w:pPr>
    </w:p>
    <w:p w14:paraId="5A18C0B2" w14:textId="77777777" w:rsidR="00690C9A" w:rsidRPr="00F70073" w:rsidRDefault="00690C9A" w:rsidP="00077CEB">
      <w:pPr>
        <w:pStyle w:val="Punktas1"/>
        <w:spacing w:line="276" w:lineRule="auto"/>
        <w:jc w:val="right"/>
        <w:rPr>
          <w:b/>
          <w:bCs w:val="0"/>
          <w:color w:val="auto"/>
          <w:u w:val="single"/>
        </w:rPr>
      </w:pPr>
    </w:p>
    <w:p w14:paraId="6D730B78" w14:textId="49A7A24B" w:rsidR="00077CEB" w:rsidRPr="00F70073" w:rsidRDefault="00077CEB" w:rsidP="00077CEB">
      <w:pPr>
        <w:pStyle w:val="Punktas1"/>
        <w:spacing w:line="276" w:lineRule="auto"/>
        <w:ind w:firstLine="0"/>
        <w:jc w:val="center"/>
        <w:rPr>
          <w:b/>
          <w:bCs w:val="0"/>
          <w:color w:val="000000" w:themeColor="text1"/>
        </w:rPr>
      </w:pPr>
      <w:r w:rsidRPr="00F70073">
        <w:rPr>
          <w:b/>
          <w:bCs w:val="0"/>
          <w:color w:val="000000" w:themeColor="text1"/>
        </w:rPr>
        <w:t>Darbų aprašas</w:t>
      </w:r>
    </w:p>
    <w:p w14:paraId="718BEBCF"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2D9128B6" w14:textId="77777777" w:rsidR="00F70073" w:rsidRPr="00F70073" w:rsidRDefault="00F70073" w:rsidP="002B2693">
      <w:pPr>
        <w:pBdr>
          <w:bottom w:val="single" w:sz="12" w:space="1" w:color="auto"/>
        </w:pBdr>
        <w:rPr>
          <w:i/>
          <w:color w:val="000000"/>
          <w:szCs w:val="24"/>
        </w:rPr>
      </w:pPr>
    </w:p>
    <w:p w14:paraId="34D12B58" w14:textId="77777777" w:rsidR="00F70073" w:rsidRPr="00F70073" w:rsidRDefault="00F70073" w:rsidP="00F70073">
      <w:pPr>
        <w:pBdr>
          <w:bottom w:val="single" w:sz="12" w:space="1" w:color="auto"/>
        </w:pBdr>
        <w:jc w:val="center"/>
        <w:rPr>
          <w:i/>
          <w:color w:val="000000"/>
          <w:szCs w:val="24"/>
        </w:rPr>
      </w:pPr>
    </w:p>
    <w:p w14:paraId="48E89647" w14:textId="77777777" w:rsidR="00F70073" w:rsidRPr="00F70073" w:rsidRDefault="00F70073" w:rsidP="00F70073">
      <w:pPr>
        <w:pBdr>
          <w:bottom w:val="single" w:sz="12" w:space="1" w:color="auto"/>
        </w:pBdr>
        <w:jc w:val="center"/>
        <w:rPr>
          <w:i/>
          <w:color w:val="000000"/>
          <w:szCs w:val="24"/>
        </w:rPr>
      </w:pPr>
    </w:p>
    <w:p w14:paraId="52EA328D" w14:textId="77777777" w:rsidR="00F70073" w:rsidRPr="0060156C" w:rsidRDefault="00F70073" w:rsidP="00F70073">
      <w:pPr>
        <w:pStyle w:val="Punktas1"/>
        <w:spacing w:line="276" w:lineRule="auto"/>
        <w:jc w:val="right"/>
        <w:rPr>
          <w:color w:val="000000" w:themeColor="text1"/>
        </w:rPr>
      </w:pPr>
    </w:p>
    <w:p w14:paraId="5A517436" w14:textId="77777777" w:rsidR="002F0985" w:rsidRPr="0060156C" w:rsidRDefault="002F0985" w:rsidP="002F0985">
      <w:pPr>
        <w:pStyle w:val="Punktas1"/>
        <w:spacing w:line="276" w:lineRule="auto"/>
        <w:jc w:val="center"/>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64A56"/>
    <w:rsid w:val="00077CEB"/>
    <w:rsid w:val="000B2096"/>
    <w:rsid w:val="000E5D8C"/>
    <w:rsid w:val="00100249"/>
    <w:rsid w:val="00146D58"/>
    <w:rsid w:val="0016156A"/>
    <w:rsid w:val="001652D8"/>
    <w:rsid w:val="001935E8"/>
    <w:rsid w:val="001B0980"/>
    <w:rsid w:val="001B5660"/>
    <w:rsid w:val="001F34B8"/>
    <w:rsid w:val="00230D1A"/>
    <w:rsid w:val="00243644"/>
    <w:rsid w:val="00243DCE"/>
    <w:rsid w:val="002B2693"/>
    <w:rsid w:val="002F0985"/>
    <w:rsid w:val="002F39BD"/>
    <w:rsid w:val="002F5169"/>
    <w:rsid w:val="00312240"/>
    <w:rsid w:val="003414ED"/>
    <w:rsid w:val="00372DA5"/>
    <w:rsid w:val="00386C76"/>
    <w:rsid w:val="003B5576"/>
    <w:rsid w:val="003C57D0"/>
    <w:rsid w:val="003E0D21"/>
    <w:rsid w:val="004110EE"/>
    <w:rsid w:val="00436649"/>
    <w:rsid w:val="004546B2"/>
    <w:rsid w:val="004F6AB4"/>
    <w:rsid w:val="0058374E"/>
    <w:rsid w:val="005A7935"/>
    <w:rsid w:val="005B0976"/>
    <w:rsid w:val="005B569F"/>
    <w:rsid w:val="005C67C8"/>
    <w:rsid w:val="0060156C"/>
    <w:rsid w:val="006215CC"/>
    <w:rsid w:val="006225AA"/>
    <w:rsid w:val="006866AE"/>
    <w:rsid w:val="00690C9A"/>
    <w:rsid w:val="007155DC"/>
    <w:rsid w:val="0076520A"/>
    <w:rsid w:val="0077120A"/>
    <w:rsid w:val="007720B1"/>
    <w:rsid w:val="007C1EE7"/>
    <w:rsid w:val="007C698B"/>
    <w:rsid w:val="007E0BCF"/>
    <w:rsid w:val="008075D9"/>
    <w:rsid w:val="0085202C"/>
    <w:rsid w:val="00876F63"/>
    <w:rsid w:val="00880763"/>
    <w:rsid w:val="008A2D70"/>
    <w:rsid w:val="008D16B0"/>
    <w:rsid w:val="00902B1B"/>
    <w:rsid w:val="00934476"/>
    <w:rsid w:val="00963C4A"/>
    <w:rsid w:val="00983461"/>
    <w:rsid w:val="009947F8"/>
    <w:rsid w:val="009D2115"/>
    <w:rsid w:val="00A5470D"/>
    <w:rsid w:val="00A622B2"/>
    <w:rsid w:val="00A65926"/>
    <w:rsid w:val="00A659C3"/>
    <w:rsid w:val="00A73E23"/>
    <w:rsid w:val="00A826DB"/>
    <w:rsid w:val="00A84EDB"/>
    <w:rsid w:val="00AA4CD8"/>
    <w:rsid w:val="00AF5A14"/>
    <w:rsid w:val="00B363FE"/>
    <w:rsid w:val="00B401AB"/>
    <w:rsid w:val="00B66C88"/>
    <w:rsid w:val="00B77543"/>
    <w:rsid w:val="00BA40E0"/>
    <w:rsid w:val="00BA4534"/>
    <w:rsid w:val="00BE25D1"/>
    <w:rsid w:val="00BF054D"/>
    <w:rsid w:val="00BF0B7F"/>
    <w:rsid w:val="00C06B2A"/>
    <w:rsid w:val="00C1121C"/>
    <w:rsid w:val="00C31358"/>
    <w:rsid w:val="00C523EC"/>
    <w:rsid w:val="00C6248B"/>
    <w:rsid w:val="00C92696"/>
    <w:rsid w:val="00CB0128"/>
    <w:rsid w:val="00CE4089"/>
    <w:rsid w:val="00CE4505"/>
    <w:rsid w:val="00D43DBB"/>
    <w:rsid w:val="00D460B6"/>
    <w:rsid w:val="00DD0368"/>
    <w:rsid w:val="00E863EE"/>
    <w:rsid w:val="00EC387A"/>
    <w:rsid w:val="00F01D71"/>
    <w:rsid w:val="00F2472C"/>
    <w:rsid w:val="00F70073"/>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customStyle="1" w:styleId="cf01">
    <w:name w:val="cf01"/>
    <w:basedOn w:val="Numatytasispastraiposriftas"/>
    <w:rsid w:val="002B26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t/legalAct/3956df62a73311ef90b5ee8931e5ce5e" TargetMode="Externa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mailto:linas.macernius@kelme.lt"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inas.macernius@kelme.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13</Pages>
  <Words>22903</Words>
  <Characters>13055</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58</cp:revision>
  <cp:lastPrinted>2025-03-31T10:02:00Z</cp:lastPrinted>
  <dcterms:created xsi:type="dcterms:W3CDTF">2023-10-26T07:47:00Z</dcterms:created>
  <dcterms:modified xsi:type="dcterms:W3CDTF">2026-05-27T06:13:00Z</dcterms:modified>
</cp:coreProperties>
</file>