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D17B" w14:textId="2DC1382A" w:rsidR="009D799E" w:rsidRDefault="009D799E" w:rsidP="009D799E">
      <w:pPr>
        <w:ind w:left="4320" w:firstLine="720"/>
        <w:jc w:val="right"/>
        <w:textAlignment w:val="baseline"/>
        <w:rPr>
          <w:sz w:val="22"/>
          <w:szCs w:val="22"/>
        </w:rPr>
      </w:pPr>
      <w:r>
        <w:rPr>
          <w:sz w:val="22"/>
          <w:szCs w:val="22"/>
        </w:rPr>
        <w:t>4 priedas</w:t>
      </w:r>
    </w:p>
    <w:p w14:paraId="57AF7648" w14:textId="77777777" w:rsidR="009D799E" w:rsidRDefault="009D799E" w:rsidP="00E855D1">
      <w:pPr>
        <w:ind w:left="4320" w:firstLine="720"/>
        <w:textAlignment w:val="baseline"/>
        <w:rPr>
          <w:sz w:val="22"/>
          <w:szCs w:val="22"/>
        </w:rPr>
      </w:pPr>
    </w:p>
    <w:p w14:paraId="55A60B5C" w14:textId="1A2D51F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678C9E53" w:rsidR="00111C94" w:rsidRPr="00F363F7" w:rsidRDefault="009A248F" w:rsidP="002E3C91">
            <w:pPr>
              <w:jc w:val="both"/>
              <w:rPr>
                <w:i/>
                <w:iCs/>
                <w:kern w:val="2"/>
                <w:szCs w:val="24"/>
              </w:rPr>
            </w:pPr>
            <w:proofErr w:type="spellStart"/>
            <w:r>
              <w:rPr>
                <w:i/>
                <w:iCs/>
                <w:color w:val="000000" w:themeColor="text1"/>
                <w:kern w:val="2"/>
                <w:szCs w:val="24"/>
              </w:rPr>
              <w:t>Nanodalelių</w:t>
            </w:r>
            <w:proofErr w:type="spellEnd"/>
            <w:r>
              <w:rPr>
                <w:i/>
                <w:iCs/>
                <w:color w:val="000000" w:themeColor="text1"/>
                <w:kern w:val="2"/>
                <w:szCs w:val="24"/>
              </w:rPr>
              <w:t xml:space="preserve"> analizatoriaus</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lastRenderedPageBreak/>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435670B7"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Pr="004C273D">
              <w:rPr>
                <w:kern w:val="2"/>
                <w:szCs w:val="24"/>
                <w:highlight w:val="yellow"/>
              </w:rPr>
              <w:t xml:space="preserve">perduoti Pirkėjui Prekes </w:t>
            </w:r>
            <w:r w:rsidR="00B269FE" w:rsidRPr="004C273D">
              <w:rPr>
                <w:kern w:val="2"/>
                <w:szCs w:val="24"/>
                <w:highlight w:val="yellow"/>
              </w:rPr>
              <w:t xml:space="preserve">– </w:t>
            </w:r>
            <w:proofErr w:type="spellStart"/>
            <w:r w:rsidR="00D4699F" w:rsidRPr="00D4699F">
              <w:rPr>
                <w:i/>
                <w:iCs/>
                <w:kern w:val="2"/>
                <w:szCs w:val="24"/>
                <w:highlight w:val="yellow"/>
              </w:rPr>
              <w:t>n</w:t>
            </w:r>
            <w:r w:rsidR="00D4699F" w:rsidRPr="00D4699F">
              <w:rPr>
                <w:i/>
                <w:iCs/>
                <w:color w:val="000000" w:themeColor="text1"/>
                <w:kern w:val="2"/>
                <w:szCs w:val="24"/>
                <w:highlight w:val="yellow"/>
              </w:rPr>
              <w:t>anodalelių</w:t>
            </w:r>
            <w:proofErr w:type="spellEnd"/>
            <w:r w:rsidR="00D4699F" w:rsidRPr="00D4699F">
              <w:rPr>
                <w:i/>
                <w:iCs/>
                <w:color w:val="000000" w:themeColor="text1"/>
                <w:kern w:val="2"/>
                <w:szCs w:val="24"/>
                <w:highlight w:val="yellow"/>
              </w:rPr>
              <w:t xml:space="preserve"> analizatori</w:t>
            </w:r>
            <w:r w:rsidR="00D4699F">
              <w:rPr>
                <w:i/>
                <w:iCs/>
                <w:color w:val="000000" w:themeColor="text1"/>
                <w:kern w:val="2"/>
                <w:szCs w:val="24"/>
                <w:highlight w:val="yellow"/>
              </w:rPr>
              <w:t>ų</w:t>
            </w:r>
            <w:r w:rsidR="00D4699F" w:rsidRPr="00D4699F">
              <w:rPr>
                <w:kern w:val="2"/>
                <w:szCs w:val="24"/>
                <w:highlight w:val="yellow"/>
              </w:rPr>
              <w:t xml:space="preserve"> </w:t>
            </w:r>
            <w:r w:rsidR="00572D2A">
              <w:rPr>
                <w:kern w:val="2"/>
                <w:szCs w:val="24"/>
                <w:highlight w:val="yellow"/>
              </w:rPr>
              <w:t xml:space="preserve">– </w:t>
            </w:r>
            <w:r w:rsidR="00572D2A" w:rsidRPr="00572D2A">
              <w:rPr>
                <w:i/>
                <w:iCs/>
                <w:kern w:val="2"/>
                <w:szCs w:val="24"/>
                <w:highlight w:val="yellow"/>
              </w:rPr>
              <w:t xml:space="preserve">1 </w:t>
            </w:r>
            <w:proofErr w:type="spellStart"/>
            <w:r w:rsidR="00572D2A" w:rsidRPr="00572D2A">
              <w:rPr>
                <w:i/>
                <w:iCs/>
                <w:kern w:val="2"/>
                <w:szCs w:val="24"/>
                <w:highlight w:val="yellow"/>
              </w:rPr>
              <w:t>kompl</w:t>
            </w:r>
            <w:proofErr w:type="spellEnd"/>
            <w:r w:rsidR="00572D2A" w:rsidRPr="00572D2A">
              <w:rPr>
                <w:i/>
                <w:iCs/>
                <w:kern w:val="2"/>
                <w:szCs w:val="24"/>
                <w:highlight w:val="yellow"/>
              </w:rPr>
              <w:t>.</w:t>
            </w:r>
            <w:r w:rsidR="00572D2A">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D4699F">
              <w:rPr>
                <w:color w:val="000000"/>
                <w:kern w:val="2"/>
                <w:szCs w:val="24"/>
                <w:highlight w:val="yellow"/>
              </w:rPr>
              <w:t>, įskaitant instaliavimą, paleidimą</w:t>
            </w:r>
            <w:r w:rsidR="00572D2A">
              <w:rPr>
                <w:color w:val="000000"/>
                <w:kern w:val="2"/>
                <w:szCs w:val="24"/>
                <w:highlight w:val="yellow"/>
              </w:rPr>
              <w:t xml:space="preserve"> ir darbuotojų naudojimosi Prekėmis apmokymą</w:t>
            </w:r>
            <w:r w:rsidR="00B527D5" w:rsidRPr="00E8394F">
              <w:rPr>
                <w:color w:val="000000"/>
                <w:kern w:val="2"/>
                <w:szCs w:val="24"/>
                <w:highlight w:val="yellow"/>
              </w:rPr>
              <w:t>.</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743B7947" w14:textId="0C005177" w:rsidR="00111C94" w:rsidRDefault="00DA7DF7" w:rsidP="00231C2E">
            <w:pPr>
              <w:jc w:val="both"/>
              <w:rPr>
                <w:kern w:val="2"/>
                <w:szCs w:val="24"/>
              </w:rPr>
            </w:pPr>
            <w:r w:rsidRPr="00DA7DF7">
              <w:rPr>
                <w:kern w:val="2"/>
                <w:szCs w:val="24"/>
              </w:rPr>
              <w:t>Pirkimas finansuojamas iš projektui „</w:t>
            </w:r>
            <w:r w:rsidRPr="00DA7DF7">
              <w:rPr>
                <w:i/>
                <w:iCs/>
                <w:kern w:val="2"/>
                <w:szCs w:val="24"/>
              </w:rPr>
              <w:t>LSMU Kardiologijos instituto laboratorijų įrangos ir MTEP infrastruktūros atnaujinimas vykdyti su amžiumi susijusius širdies ir kraujagyslių sistemos tyrimus</w:t>
            </w:r>
            <w:r w:rsidRPr="00DA7DF7">
              <w:rPr>
                <w:kern w:val="2"/>
                <w:szCs w:val="24"/>
              </w:rPr>
              <w:t>“ skirto finansavimo lėšų pagal kvietimą „Parama laboratorijų įrangai ir MTEP infrastruktūrai atnaujinti“, Nr. 10-093-K</w:t>
            </w:r>
            <w:r w:rsidR="00AA771F">
              <w:rPr>
                <w:kern w:val="2"/>
                <w:szCs w:val="24"/>
              </w:rPr>
              <w:t xml:space="preserve">. </w:t>
            </w:r>
            <w:r w:rsidR="00AA771F" w:rsidRPr="00AA771F">
              <w:rPr>
                <w:kern w:val="2"/>
                <w:szCs w:val="24"/>
              </w:rPr>
              <w:t>Projektai, pagal kvietimą Nr. 10-093-K, finansuojami iš Ekonomikos gaivinimo ir atsparumo didinimo priemonės (EGADP) lėšų ir Lietuvos Respublikos valstybės biudžeto lėšų netinkamam finansuoti pridėtinės vertės mokesčiui (PVM) apmokėti</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lastRenderedPageBreak/>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58B25415" w:rsidR="002F1248" w:rsidRDefault="00F363F7" w:rsidP="009B3DBD">
            <w:pPr>
              <w:jc w:val="both"/>
              <w:rPr>
                <w:color w:val="000000"/>
                <w:kern w:val="2"/>
                <w:szCs w:val="24"/>
                <w:highlight w:val="yellow"/>
              </w:rPr>
            </w:pPr>
            <w:r w:rsidRPr="008B178F">
              <w:rPr>
                <w:kern w:val="2"/>
                <w:szCs w:val="24"/>
                <w:highlight w:val="yellow"/>
              </w:rPr>
              <w:t xml:space="preserve">Tiekėjas </w:t>
            </w:r>
            <w:r w:rsidR="00572D2A">
              <w:rPr>
                <w:kern w:val="2"/>
                <w:szCs w:val="24"/>
                <w:highlight w:val="yellow"/>
              </w:rPr>
              <w:t>Prekes</w:t>
            </w:r>
            <w:r w:rsidRPr="008B178F">
              <w:rPr>
                <w:kern w:val="2"/>
                <w:szCs w:val="24"/>
                <w:highlight w:val="yellow"/>
              </w:rPr>
              <w:t xml:space="preserve"> </w:t>
            </w:r>
            <w:r w:rsidR="00572D2A" w:rsidRPr="00572D2A">
              <w:rPr>
                <w:kern w:val="2"/>
                <w:szCs w:val="24"/>
                <w:highlight w:val="yellow"/>
              </w:rPr>
              <w:t>(visą Prekių kiekį)</w:t>
            </w:r>
            <w:r w:rsidR="00572D2A">
              <w:rPr>
                <w:kern w:val="2"/>
                <w:szCs w:val="24"/>
                <w:highlight w:val="yellow"/>
              </w:rPr>
              <w:t xml:space="preserve"> </w:t>
            </w:r>
            <w:r w:rsidR="00572D2A" w:rsidRPr="00572D2A">
              <w:rPr>
                <w:kern w:val="2"/>
                <w:szCs w:val="24"/>
                <w:highlight w:val="yellow"/>
              </w:rPr>
              <w:t>įsipareigoja pristatyti</w:t>
            </w:r>
            <w:r w:rsidR="008906FA">
              <w:rPr>
                <w:kern w:val="2"/>
                <w:szCs w:val="24"/>
              </w:rPr>
              <w:t xml:space="preserve"> </w:t>
            </w:r>
            <w:r w:rsidR="00111C94" w:rsidRPr="00A838BD">
              <w:rPr>
                <w:b/>
                <w:bCs/>
                <w:kern w:val="2"/>
                <w:szCs w:val="24"/>
                <w:highlight w:val="yellow"/>
              </w:rPr>
              <w:t>ne vėliau kaip per</w:t>
            </w:r>
            <w:r w:rsidR="00111C94" w:rsidRPr="00A838BD">
              <w:rPr>
                <w:kern w:val="2"/>
                <w:szCs w:val="24"/>
                <w:highlight w:val="yellow"/>
              </w:rPr>
              <w:t xml:space="preserve"> </w:t>
            </w:r>
            <w:r w:rsidR="00D4699F">
              <w:rPr>
                <w:kern w:val="2"/>
                <w:szCs w:val="24"/>
                <w:highlight w:val="yellow"/>
              </w:rPr>
              <w:t>3</w:t>
            </w:r>
            <w:r w:rsidR="00D34F9F" w:rsidRPr="00A838BD">
              <w:rPr>
                <w:kern w:val="2"/>
                <w:szCs w:val="24"/>
                <w:highlight w:val="yellow"/>
              </w:rPr>
              <w:t xml:space="preserve"> (</w:t>
            </w:r>
            <w:r w:rsidR="00D4699F" w:rsidRPr="00D11249">
              <w:rPr>
                <w:i/>
                <w:iCs/>
                <w:kern w:val="2"/>
                <w:szCs w:val="24"/>
                <w:highlight w:val="yellow"/>
              </w:rPr>
              <w:t>tris</w:t>
            </w:r>
            <w:r w:rsidR="00D34F9F" w:rsidRPr="00A838BD">
              <w:rPr>
                <w:kern w:val="2"/>
                <w:szCs w:val="24"/>
                <w:highlight w:val="yellow"/>
              </w:rPr>
              <w:t>)</w:t>
            </w:r>
            <w:r w:rsidR="008B178F">
              <w:rPr>
                <w:kern w:val="2"/>
                <w:szCs w:val="24"/>
                <w:highlight w:val="yellow"/>
              </w:rPr>
              <w:t xml:space="preserve"> </w:t>
            </w:r>
            <w:r w:rsidR="00D4699F">
              <w:rPr>
                <w:kern w:val="2"/>
                <w:szCs w:val="24"/>
                <w:highlight w:val="yellow"/>
              </w:rPr>
              <w:t>mėnesius</w:t>
            </w:r>
            <w:r w:rsidR="00D34F9F" w:rsidRPr="00A838BD">
              <w:rPr>
                <w:kern w:val="2"/>
                <w:szCs w:val="24"/>
                <w:highlight w:val="yellow"/>
              </w:rPr>
              <w:t xml:space="preserve"> </w:t>
            </w:r>
            <w:r w:rsidR="00AA47B5" w:rsidRPr="00A838BD">
              <w:rPr>
                <w:color w:val="000000"/>
                <w:kern w:val="2"/>
                <w:szCs w:val="24"/>
                <w:highlight w:val="yellow"/>
              </w:rPr>
              <w:t xml:space="preserve">nuo </w:t>
            </w:r>
            <w:r w:rsidR="00366E35">
              <w:rPr>
                <w:color w:val="000000"/>
                <w:kern w:val="2"/>
                <w:szCs w:val="24"/>
                <w:highlight w:val="yellow"/>
              </w:rPr>
              <w:t>Sutarties įsigaliojimo dienos</w:t>
            </w:r>
            <w:r w:rsidR="00572D2A">
              <w:rPr>
                <w:color w:val="000000"/>
                <w:kern w:val="2"/>
                <w:szCs w:val="24"/>
                <w:highlight w:val="yellow"/>
              </w:rPr>
              <w:t xml:space="preserve"> šiuo adresu:</w:t>
            </w:r>
            <w:r w:rsidR="004E64DD">
              <w:rPr>
                <w:color w:val="000000"/>
                <w:kern w:val="2"/>
                <w:szCs w:val="24"/>
                <w:highlight w:val="yellow"/>
              </w:rPr>
              <w:t xml:space="preserve"> </w:t>
            </w:r>
            <w:r w:rsidR="00113F9C">
              <w:rPr>
                <w:color w:val="000000"/>
                <w:kern w:val="2"/>
                <w:szCs w:val="24"/>
                <w:highlight w:val="yellow"/>
              </w:rPr>
              <w:t>Sukilėlių pr. 15, Kaunas.</w:t>
            </w:r>
          </w:p>
          <w:p w14:paraId="26C9A119" w14:textId="77777777" w:rsidR="00DA7DF7" w:rsidRDefault="00DA7DF7" w:rsidP="009B3DBD">
            <w:pPr>
              <w:jc w:val="both"/>
              <w:rPr>
                <w:color w:val="000000"/>
                <w:kern w:val="2"/>
                <w:szCs w:val="24"/>
                <w:highlight w:val="yellow"/>
              </w:rPr>
            </w:pPr>
          </w:p>
          <w:p w14:paraId="1C42C5FB" w14:textId="6B1BE2ED" w:rsidR="00DA7DF7" w:rsidRPr="004E64DD" w:rsidRDefault="00DA7DF7" w:rsidP="009B3DBD">
            <w:pPr>
              <w:jc w:val="both"/>
              <w:rPr>
                <w:color w:val="000000"/>
                <w:kern w:val="2"/>
                <w:szCs w:val="24"/>
                <w:highlight w:val="yellow"/>
              </w:rPr>
            </w:pPr>
            <w:r w:rsidRPr="00DA7DF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Default="00113F9C" w:rsidP="008B178F">
            <w:pPr>
              <w:jc w:val="both"/>
              <w:rPr>
                <w:kern w:val="2"/>
                <w:szCs w:val="24"/>
              </w:rPr>
            </w:pPr>
            <w:r w:rsidRPr="00113F9C">
              <w:rPr>
                <w:kern w:val="2"/>
                <w:szCs w:val="24"/>
                <w:highlight w:val="yellow"/>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1D163B1B" w14:textId="0F37311E" w:rsidR="00AC73C5"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r w:rsidR="00113F9C" w:rsidRPr="00113F9C">
              <w:rPr>
                <w:kern w:val="2"/>
                <w:szCs w:val="24"/>
                <w:highlight w:val="yellow"/>
              </w:rPr>
              <w:t>Prekių perdavimo-priėmimo aktas ir Sąskaita</w:t>
            </w:r>
            <w:r w:rsidR="00405ED2">
              <w:rPr>
                <w:kern w:val="2"/>
                <w:szCs w:val="24"/>
              </w:rPr>
              <w:t>.</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lastRenderedPageBreak/>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3B5879">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31C2E" w:rsidRDefault="000A1BDA" w:rsidP="00231C2E">
            <w:pPr>
              <w:rPr>
                <w:kern w:val="2"/>
                <w:szCs w:val="24"/>
              </w:rPr>
            </w:pPr>
            <w:r>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Default="001D57F7" w:rsidP="000A1BDA">
            <w:pPr>
              <w:jc w:val="both"/>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6CCFFDC" w:rsidR="000A1BDA" w:rsidRDefault="001D57F7" w:rsidP="00D11249">
            <w:pPr>
              <w:jc w:val="both"/>
              <w:rPr>
                <w:kern w:val="2"/>
                <w:szCs w:val="24"/>
              </w:rPr>
            </w:pPr>
            <w:r w:rsidRPr="001F53AC">
              <w:rPr>
                <w:kern w:val="2"/>
                <w:szCs w:val="24"/>
                <w:highlight w:val="yellow"/>
              </w:rPr>
              <w:t>Prekių trūkumų nustatymo bei šalinimo tvarka nustatyta Bendrųjų sąlygų 7 skyriuje.</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 xml:space="preserve">Sutarties vykdymui pasitelkiami </w:t>
            </w:r>
            <w:r>
              <w:rPr>
                <w:b/>
                <w:bCs/>
                <w:kern w:val="2"/>
                <w:szCs w:val="24"/>
              </w:rPr>
              <w:lastRenderedPageBreak/>
              <w:t>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lastRenderedPageBreak/>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lastRenderedPageBreak/>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lastRenderedPageBreak/>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7970A1BA"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1D57F7">
              <w:rPr>
                <w:kern w:val="2"/>
                <w:szCs w:val="24"/>
              </w:rPr>
              <w:t>5</w:t>
            </w:r>
            <w:r w:rsidRPr="005123EA">
              <w:rPr>
                <w:kern w:val="2"/>
                <w:szCs w:val="24"/>
              </w:rPr>
              <w:t xml:space="preserve"> (</w:t>
            </w:r>
            <w:r w:rsidR="001D57F7" w:rsidRPr="001D57F7">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w:t>
            </w:r>
            <w:r>
              <w:rPr>
                <w:b/>
                <w:bCs/>
                <w:kern w:val="2"/>
                <w:szCs w:val="24"/>
              </w:rPr>
              <w:lastRenderedPageBreak/>
              <w:t xml:space="preserve">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lastRenderedPageBreak/>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lastRenderedPageBreak/>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13E5CE63" w:rsidR="000A1BDA" w:rsidRDefault="000A1BDA" w:rsidP="00231C2E">
            <w:pPr>
              <w:jc w:val="both"/>
              <w:rPr>
                <w:color w:val="4472C4"/>
                <w:kern w:val="2"/>
                <w:szCs w:val="24"/>
              </w:rPr>
            </w:pPr>
            <w:r>
              <w:rPr>
                <w:color w:val="000000"/>
                <w:kern w:val="2"/>
                <w:szCs w:val="24"/>
              </w:rPr>
              <w:t>Sutartis galioja iki visiško prievolių įvykdymo (kol bus išnaudota Pradinės Sutarties vertė</w:t>
            </w:r>
            <w:r w:rsidR="00366E35">
              <w:rPr>
                <w:color w:val="000000"/>
                <w:kern w:val="2"/>
                <w:szCs w:val="24"/>
              </w:rPr>
              <w:t>)</w:t>
            </w:r>
            <w:r>
              <w:rPr>
                <w:color w:val="000000"/>
                <w:kern w:val="2"/>
                <w:szCs w:val="24"/>
              </w:rPr>
              <w:t xml:space="preserve">, bet jos terminas negali būti ilgesnis </w:t>
            </w:r>
            <w:r w:rsidRPr="008B3050">
              <w:rPr>
                <w:color w:val="000000"/>
                <w:kern w:val="2"/>
                <w:szCs w:val="24"/>
                <w:highlight w:val="yellow"/>
              </w:rPr>
              <w:t xml:space="preserve">kaip </w:t>
            </w:r>
            <w:r w:rsidR="001D57F7">
              <w:rPr>
                <w:color w:val="000000"/>
                <w:kern w:val="2"/>
                <w:szCs w:val="24"/>
                <w:highlight w:val="yellow"/>
              </w:rPr>
              <w:t>4</w:t>
            </w:r>
            <w:r>
              <w:rPr>
                <w:color w:val="000000"/>
                <w:kern w:val="2"/>
                <w:szCs w:val="24"/>
                <w:highlight w:val="yellow"/>
              </w:rPr>
              <w:t xml:space="preserve"> </w:t>
            </w:r>
            <w:r w:rsidRPr="00243A84">
              <w:rPr>
                <w:color w:val="000000"/>
                <w:kern w:val="2"/>
                <w:szCs w:val="24"/>
                <w:highlight w:val="yellow"/>
              </w:rPr>
              <w:t>(</w:t>
            </w:r>
            <w:r w:rsidR="001D57F7" w:rsidRPr="001D57F7">
              <w:rPr>
                <w:i/>
                <w:iCs/>
                <w:color w:val="000000"/>
                <w:kern w:val="2"/>
                <w:szCs w:val="24"/>
                <w:highlight w:val="yellow"/>
              </w:rPr>
              <w:t>keturi</w:t>
            </w:r>
            <w:r w:rsidRPr="00243A84">
              <w:rPr>
                <w:color w:val="000000"/>
                <w:kern w:val="2"/>
                <w:szCs w:val="24"/>
                <w:highlight w:val="yellow"/>
              </w:rPr>
              <w:t>) mėnesi</w:t>
            </w:r>
            <w:r w:rsidR="001D57F7">
              <w:rPr>
                <w:color w:val="000000"/>
                <w:kern w:val="2"/>
                <w:szCs w:val="24"/>
              </w:rPr>
              <w:t>ai</w:t>
            </w:r>
            <w:r>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2B4FDC97" w14:textId="721A24D9" w:rsidR="000A1BDA" w:rsidRDefault="000A1BDA" w:rsidP="00DB5B74">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kriterijų taikymo, vykdant žaliuosius pirkimus, tvarkos aprašo patvirtinimo“ (toliau – Tvarkos aprašas</w:t>
            </w:r>
            <w:r w:rsidRPr="00243A84">
              <w:rPr>
                <w:kern w:val="2"/>
                <w:szCs w:val="24"/>
                <w:highlight w:val="yellow"/>
                <w:shd w:val="clear" w:color="auto" w:fill="FFFFFF"/>
              </w:rPr>
              <w:t xml:space="preserve">) </w:t>
            </w:r>
            <w:r w:rsidR="00820F37">
              <w:rPr>
                <w:kern w:val="2"/>
                <w:szCs w:val="24"/>
                <w:highlight w:val="yellow"/>
                <w:shd w:val="clear" w:color="auto" w:fill="FFFFFF"/>
              </w:rPr>
              <w:t xml:space="preserve">4.4.4.2 ir </w:t>
            </w:r>
            <w:r>
              <w:rPr>
                <w:kern w:val="2"/>
                <w:szCs w:val="24"/>
                <w:highlight w:val="yellow"/>
                <w:shd w:val="clear" w:color="auto" w:fill="FFFFFF"/>
              </w:rPr>
              <w:t>4.</w:t>
            </w:r>
            <w:r w:rsidR="00366E35">
              <w:rPr>
                <w:kern w:val="2"/>
                <w:szCs w:val="24"/>
                <w:highlight w:val="yellow"/>
                <w:shd w:val="clear" w:color="auto" w:fill="FFFFFF"/>
              </w:rPr>
              <w:t>4.</w:t>
            </w:r>
            <w:r w:rsidR="00113F9C">
              <w:rPr>
                <w:kern w:val="2"/>
                <w:szCs w:val="24"/>
                <w:highlight w:val="yellow"/>
                <w:shd w:val="clear" w:color="auto" w:fill="FFFFFF"/>
              </w:rPr>
              <w:t>4</w:t>
            </w:r>
            <w:r>
              <w:rPr>
                <w:kern w:val="2"/>
                <w:szCs w:val="24"/>
                <w:highlight w:val="yellow"/>
                <w:shd w:val="clear" w:color="auto" w:fill="FFFFFF"/>
              </w:rPr>
              <w:t>.</w:t>
            </w:r>
            <w:r w:rsidR="00113F9C">
              <w:rPr>
                <w:kern w:val="2"/>
                <w:szCs w:val="24"/>
                <w:highlight w:val="yellow"/>
                <w:shd w:val="clear" w:color="auto" w:fill="FFFFFF"/>
              </w:rPr>
              <w:t xml:space="preserve">4 </w:t>
            </w:r>
            <w:r w:rsidRPr="00243A84">
              <w:rPr>
                <w:kern w:val="2"/>
                <w:szCs w:val="24"/>
                <w:highlight w:val="yellow"/>
                <w:shd w:val="clear" w:color="auto" w:fill="FFFFFF"/>
              </w:rPr>
              <w:t xml:space="preserve"> </w:t>
            </w:r>
            <w:r w:rsidR="00820F37">
              <w:rPr>
                <w:kern w:val="2"/>
                <w:szCs w:val="24"/>
                <w:highlight w:val="yellow"/>
                <w:shd w:val="clear" w:color="auto" w:fill="FFFFFF"/>
              </w:rPr>
              <w:t>pa</w:t>
            </w:r>
            <w:r w:rsidR="00DB5B74">
              <w:rPr>
                <w:kern w:val="2"/>
                <w:szCs w:val="24"/>
                <w:highlight w:val="yellow"/>
                <w:shd w:val="clear" w:color="auto" w:fill="FFFFFF"/>
              </w:rPr>
              <w:t>punk</w:t>
            </w:r>
            <w:r w:rsidR="00820F37">
              <w:rPr>
                <w:kern w:val="2"/>
                <w:szCs w:val="24"/>
                <w:highlight w:val="yellow"/>
                <w:shd w:val="clear" w:color="auto" w:fill="FFFFFF"/>
              </w:rPr>
              <w:t>čiais</w:t>
            </w:r>
            <w:r w:rsidR="00820F37">
              <w:rPr>
                <w:kern w:val="2"/>
                <w:szCs w:val="24"/>
                <w:shd w:val="clear" w:color="auto" w:fill="FFFFFF"/>
              </w:rPr>
              <w:t>:</w:t>
            </w:r>
          </w:p>
          <w:p w14:paraId="7BC047EE" w14:textId="5987ADE6" w:rsidR="00820F37" w:rsidRPr="00F80198" w:rsidRDefault="00820F37" w:rsidP="00820F37">
            <w:pPr>
              <w:pStyle w:val="ListParagraph"/>
              <w:numPr>
                <w:ilvl w:val="0"/>
                <w:numId w:val="1"/>
              </w:numPr>
              <w:jc w:val="both"/>
              <w:rPr>
                <w:kern w:val="2"/>
                <w:szCs w:val="24"/>
                <w:highlight w:val="yellow"/>
              </w:rPr>
            </w:pPr>
            <w:r w:rsidRPr="00F80198">
              <w:rPr>
                <w:kern w:val="2"/>
                <w:szCs w:val="24"/>
                <w:highlight w:val="yellow"/>
              </w:rPr>
              <w:t xml:space="preserve">Tiekėjas </w:t>
            </w:r>
            <w:r w:rsidR="00F80198" w:rsidRPr="00F80198">
              <w:rPr>
                <w:kern w:val="2"/>
                <w:szCs w:val="24"/>
                <w:highlight w:val="yellow"/>
              </w:rPr>
              <w:t xml:space="preserve">Sutarties galiojimo laikotarpiu </w:t>
            </w:r>
            <w:r w:rsidRPr="00F80198">
              <w:rPr>
                <w:kern w:val="2"/>
                <w:szCs w:val="24"/>
                <w:highlight w:val="yellow"/>
              </w:rPr>
              <w:t xml:space="preserve">įsipareigoja </w:t>
            </w:r>
            <w:r w:rsidR="00F80198" w:rsidRPr="00F80198">
              <w:rPr>
                <w:kern w:val="2"/>
                <w:szCs w:val="24"/>
                <w:highlight w:val="yellow"/>
              </w:rPr>
              <w:t>su</w:t>
            </w:r>
            <w:r w:rsidRPr="00F80198">
              <w:rPr>
                <w:kern w:val="2"/>
                <w:szCs w:val="24"/>
                <w:highlight w:val="yellow"/>
              </w:rPr>
              <w:t>rengti</w:t>
            </w:r>
            <w:r w:rsidR="00F80198" w:rsidRPr="00F80198">
              <w:rPr>
                <w:kern w:val="2"/>
                <w:szCs w:val="24"/>
                <w:highlight w:val="yellow"/>
              </w:rPr>
              <w:t xml:space="preserve"> ne trumpesnius kaip 4 val.</w:t>
            </w:r>
            <w:r w:rsidRPr="00F80198">
              <w:rPr>
                <w:kern w:val="2"/>
                <w:szCs w:val="24"/>
                <w:highlight w:val="yellow"/>
              </w:rPr>
              <w:t xml:space="preserve"> mokymus </w:t>
            </w:r>
            <w:r w:rsidR="00F80198" w:rsidRPr="00F80198">
              <w:rPr>
                <w:kern w:val="2"/>
                <w:szCs w:val="24"/>
                <w:highlight w:val="yellow"/>
              </w:rPr>
              <w:t>Pirkėjo</w:t>
            </w:r>
            <w:r w:rsidRPr="00F80198">
              <w:rPr>
                <w:kern w:val="2"/>
                <w:szCs w:val="24"/>
                <w:highlight w:val="yellow"/>
              </w:rPr>
              <w:t xml:space="preserve"> darbuotojams, kuriuose būtų aptarti </w:t>
            </w:r>
            <w:r w:rsidRPr="00F80198">
              <w:rPr>
                <w:b/>
                <w:bCs/>
                <w:kern w:val="2"/>
                <w:szCs w:val="24"/>
                <w:highlight w:val="yellow"/>
              </w:rPr>
              <w:t>įrangos elektros energijos</w:t>
            </w:r>
            <w:r w:rsidRPr="00F80198">
              <w:rPr>
                <w:kern w:val="2"/>
                <w:szCs w:val="24"/>
                <w:highlight w:val="yellow"/>
              </w:rPr>
              <w:t xml:space="preserve"> vartojimo efektyvumo didinimo aspektai (parametrų reguliavimas, tikslinimas, režimų pasirinkimas ir kt.). Tiekėjas </w:t>
            </w:r>
            <w:r w:rsidR="00F80198" w:rsidRPr="00F80198">
              <w:rPr>
                <w:kern w:val="2"/>
                <w:szCs w:val="24"/>
                <w:highlight w:val="yellow"/>
              </w:rPr>
              <w:t>iki mokymų pradžios pateikia ir su Pirkėju raštu suderina mokymų datą ir dalyvių skaičių</w:t>
            </w:r>
            <w:r w:rsidRPr="00F80198">
              <w:rPr>
                <w:kern w:val="2"/>
                <w:szCs w:val="24"/>
                <w:highlight w:val="yellow"/>
              </w:rPr>
              <w:t>;</w:t>
            </w:r>
          </w:p>
          <w:p w14:paraId="40DBA3ED" w14:textId="5E6B4B26" w:rsidR="00820F37" w:rsidRDefault="00820F37" w:rsidP="00820F37">
            <w:pPr>
              <w:pStyle w:val="ListParagraph"/>
              <w:numPr>
                <w:ilvl w:val="0"/>
                <w:numId w:val="1"/>
              </w:numPr>
              <w:jc w:val="both"/>
              <w:rPr>
                <w:kern w:val="2"/>
                <w:szCs w:val="24"/>
                <w:highlight w:val="yellow"/>
              </w:rPr>
            </w:pPr>
            <w:r w:rsidRPr="00B26ABA">
              <w:rPr>
                <w:kern w:val="2"/>
                <w:szCs w:val="24"/>
                <w:highlight w:val="yellow"/>
              </w:rPr>
              <w:t>Tiekėjas užtikrina</w:t>
            </w:r>
            <w:r w:rsidR="00ED3C95">
              <w:rPr>
                <w:kern w:val="2"/>
                <w:szCs w:val="24"/>
                <w:highlight w:val="yellow"/>
              </w:rPr>
              <w:t>, kad Prekės yra ilgaamžės, t. y. tinkamos naudoti daug kartų, o jų sudedamosios dalys,</w:t>
            </w:r>
            <w:r w:rsidR="00B26ABA" w:rsidRPr="00B26ABA">
              <w:rPr>
                <w:kern w:val="2"/>
                <w:szCs w:val="24"/>
                <w:highlight w:val="yellow"/>
              </w:rPr>
              <w:t xml:space="preserve"> įvardint</w:t>
            </w:r>
            <w:r w:rsidR="00ED3C95">
              <w:rPr>
                <w:kern w:val="2"/>
                <w:szCs w:val="24"/>
                <w:highlight w:val="yellow"/>
              </w:rPr>
              <w:t>o</w:t>
            </w:r>
            <w:r w:rsidR="00B26ABA" w:rsidRPr="00B26ABA">
              <w:rPr>
                <w:kern w:val="2"/>
                <w:szCs w:val="24"/>
                <w:highlight w:val="yellow"/>
              </w:rPr>
              <w:t xml:space="preserve">s Sutarties priedo Nr. 1 10, 11 ir 17 punktuose, </w:t>
            </w:r>
            <w:r w:rsidR="00ED3C95">
              <w:rPr>
                <w:kern w:val="2"/>
                <w:szCs w:val="24"/>
                <w:highlight w:val="yellow"/>
              </w:rPr>
              <w:t>lengvai pataisomos ir pakeičiamos</w:t>
            </w:r>
            <w:r w:rsidR="00B26ABA" w:rsidRPr="00B26ABA">
              <w:rPr>
                <w:kern w:val="2"/>
                <w:szCs w:val="24"/>
                <w:highlight w:val="yellow"/>
              </w:rPr>
              <w:t>.</w:t>
            </w:r>
          </w:p>
          <w:p w14:paraId="03625C9A" w14:textId="77777777" w:rsidR="00ED3C95" w:rsidRPr="00B26ABA" w:rsidRDefault="00ED3C95" w:rsidP="00ED3C95">
            <w:pPr>
              <w:pStyle w:val="ListParagraph"/>
              <w:jc w:val="both"/>
              <w:rPr>
                <w:kern w:val="2"/>
                <w:szCs w:val="24"/>
                <w:highlight w:val="yellow"/>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lastRenderedPageBreak/>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25FD98AF" w:rsidR="000A1BDA" w:rsidRDefault="00366E35" w:rsidP="000A1BDA">
            <w:pPr>
              <w:rPr>
                <w:kern w:val="2"/>
                <w:szCs w:val="24"/>
              </w:rPr>
            </w:pPr>
            <w:r>
              <w:rPr>
                <w:kern w:val="2"/>
                <w:szCs w:val="24"/>
              </w:rPr>
              <w:t>Netaikoma</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68D69FA6" w:rsidR="000A1BDA" w:rsidRDefault="00366E35" w:rsidP="000A1BDA">
            <w:pPr>
              <w:rPr>
                <w:kern w:val="2"/>
                <w:szCs w:val="24"/>
              </w:rPr>
            </w:pPr>
            <w:r>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lastRenderedPageBreak/>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lastRenderedPageBreak/>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BCE6" w14:textId="77777777" w:rsidR="00EF479F" w:rsidRDefault="00EF479F">
      <w:pPr>
        <w:rPr>
          <w:kern w:val="2"/>
          <w:sz w:val="22"/>
          <w:szCs w:val="22"/>
          <w:lang w:val="en-US"/>
        </w:rPr>
      </w:pPr>
      <w:r>
        <w:rPr>
          <w:kern w:val="2"/>
          <w:sz w:val="22"/>
          <w:szCs w:val="22"/>
          <w:lang w:val="en-US"/>
        </w:rPr>
        <w:separator/>
      </w:r>
    </w:p>
  </w:endnote>
  <w:endnote w:type="continuationSeparator" w:id="0">
    <w:p w14:paraId="30A25B92" w14:textId="77777777" w:rsidR="00EF479F" w:rsidRDefault="00EF479F">
      <w:pPr>
        <w:rPr>
          <w:kern w:val="2"/>
          <w:sz w:val="22"/>
          <w:szCs w:val="22"/>
          <w:lang w:val="en-US"/>
        </w:rPr>
      </w:pPr>
      <w:r>
        <w:rPr>
          <w:kern w:val="2"/>
          <w:sz w:val="22"/>
          <w:szCs w:val="22"/>
          <w:lang w:val="en-US"/>
        </w:rPr>
        <w:continuationSeparator/>
      </w:r>
    </w:p>
  </w:endnote>
  <w:endnote w:type="continuationNotice" w:id="1">
    <w:p w14:paraId="0E19850C" w14:textId="77777777" w:rsidR="00EF479F" w:rsidRDefault="00EF47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9401" w14:textId="77777777" w:rsidR="00EF479F" w:rsidRDefault="00EF479F">
      <w:pPr>
        <w:rPr>
          <w:kern w:val="2"/>
          <w:sz w:val="22"/>
          <w:szCs w:val="22"/>
          <w:lang w:val="en-US"/>
        </w:rPr>
      </w:pPr>
      <w:r>
        <w:rPr>
          <w:kern w:val="2"/>
          <w:sz w:val="22"/>
          <w:szCs w:val="22"/>
          <w:lang w:val="en-US"/>
        </w:rPr>
        <w:separator/>
      </w:r>
    </w:p>
  </w:footnote>
  <w:footnote w:type="continuationSeparator" w:id="0">
    <w:p w14:paraId="38E32EF0" w14:textId="77777777" w:rsidR="00EF479F" w:rsidRDefault="00EF479F">
      <w:pPr>
        <w:rPr>
          <w:kern w:val="2"/>
          <w:sz w:val="22"/>
          <w:szCs w:val="22"/>
          <w:lang w:val="en-US"/>
        </w:rPr>
      </w:pPr>
      <w:r>
        <w:rPr>
          <w:kern w:val="2"/>
          <w:sz w:val="22"/>
          <w:szCs w:val="22"/>
          <w:lang w:val="en-US"/>
        </w:rPr>
        <w:continuationSeparator/>
      </w:r>
    </w:p>
  </w:footnote>
  <w:footnote w:type="continuationNotice" w:id="1">
    <w:p w14:paraId="707B2555" w14:textId="77777777" w:rsidR="00EF479F" w:rsidRDefault="00EF47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E1176"/>
    <w:rsid w:val="000E21A4"/>
    <w:rsid w:val="00101219"/>
    <w:rsid w:val="00111C94"/>
    <w:rsid w:val="00113F9C"/>
    <w:rsid w:val="00156ADD"/>
    <w:rsid w:val="0016675B"/>
    <w:rsid w:val="00193C40"/>
    <w:rsid w:val="001A230C"/>
    <w:rsid w:val="001C02DC"/>
    <w:rsid w:val="001C0C41"/>
    <w:rsid w:val="001C4772"/>
    <w:rsid w:val="001D02C7"/>
    <w:rsid w:val="001D57F7"/>
    <w:rsid w:val="001D5D28"/>
    <w:rsid w:val="001E225C"/>
    <w:rsid w:val="001E2B0E"/>
    <w:rsid w:val="001E4029"/>
    <w:rsid w:val="00231C2E"/>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33D42"/>
    <w:rsid w:val="00366E35"/>
    <w:rsid w:val="003874F5"/>
    <w:rsid w:val="003A3810"/>
    <w:rsid w:val="003B5879"/>
    <w:rsid w:val="003D5D74"/>
    <w:rsid w:val="003F3EC7"/>
    <w:rsid w:val="00405ED2"/>
    <w:rsid w:val="00441D09"/>
    <w:rsid w:val="0044239D"/>
    <w:rsid w:val="00442B5D"/>
    <w:rsid w:val="004779BB"/>
    <w:rsid w:val="004C273D"/>
    <w:rsid w:val="004C3D1E"/>
    <w:rsid w:val="004C5B9E"/>
    <w:rsid w:val="004E4252"/>
    <w:rsid w:val="004E64DD"/>
    <w:rsid w:val="004E7562"/>
    <w:rsid w:val="004F37D2"/>
    <w:rsid w:val="005123EA"/>
    <w:rsid w:val="005358A7"/>
    <w:rsid w:val="00572D2A"/>
    <w:rsid w:val="0057658B"/>
    <w:rsid w:val="005816DD"/>
    <w:rsid w:val="0058507F"/>
    <w:rsid w:val="00587DDD"/>
    <w:rsid w:val="00595778"/>
    <w:rsid w:val="005A5832"/>
    <w:rsid w:val="005B4B90"/>
    <w:rsid w:val="005B581E"/>
    <w:rsid w:val="005C01C9"/>
    <w:rsid w:val="005C2246"/>
    <w:rsid w:val="005E0500"/>
    <w:rsid w:val="005F5B23"/>
    <w:rsid w:val="006020F4"/>
    <w:rsid w:val="006128A4"/>
    <w:rsid w:val="00613853"/>
    <w:rsid w:val="0062790A"/>
    <w:rsid w:val="00636190"/>
    <w:rsid w:val="00646C42"/>
    <w:rsid w:val="00663955"/>
    <w:rsid w:val="00664B7F"/>
    <w:rsid w:val="00683588"/>
    <w:rsid w:val="00687356"/>
    <w:rsid w:val="00687518"/>
    <w:rsid w:val="006A62E5"/>
    <w:rsid w:val="006B2884"/>
    <w:rsid w:val="006C340F"/>
    <w:rsid w:val="006E0A84"/>
    <w:rsid w:val="006F31F7"/>
    <w:rsid w:val="006F775F"/>
    <w:rsid w:val="00725CF5"/>
    <w:rsid w:val="00763DE1"/>
    <w:rsid w:val="0076651B"/>
    <w:rsid w:val="007708DB"/>
    <w:rsid w:val="00793BE0"/>
    <w:rsid w:val="007B4B4E"/>
    <w:rsid w:val="007C2BEA"/>
    <w:rsid w:val="007D0CBF"/>
    <w:rsid w:val="007D4FA0"/>
    <w:rsid w:val="007E47CE"/>
    <w:rsid w:val="00807670"/>
    <w:rsid w:val="00815078"/>
    <w:rsid w:val="00820F37"/>
    <w:rsid w:val="008234DA"/>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A248F"/>
    <w:rsid w:val="009B03BB"/>
    <w:rsid w:val="009B3DBD"/>
    <w:rsid w:val="009D56C9"/>
    <w:rsid w:val="009D799E"/>
    <w:rsid w:val="009E2F7A"/>
    <w:rsid w:val="00A10867"/>
    <w:rsid w:val="00A12CE8"/>
    <w:rsid w:val="00A14E8D"/>
    <w:rsid w:val="00A32D2F"/>
    <w:rsid w:val="00A401C8"/>
    <w:rsid w:val="00A44BC7"/>
    <w:rsid w:val="00A80F6F"/>
    <w:rsid w:val="00A838BD"/>
    <w:rsid w:val="00A90BFB"/>
    <w:rsid w:val="00A963D8"/>
    <w:rsid w:val="00AA1919"/>
    <w:rsid w:val="00AA47B5"/>
    <w:rsid w:val="00AA771F"/>
    <w:rsid w:val="00AB0C94"/>
    <w:rsid w:val="00AB49B6"/>
    <w:rsid w:val="00AC6AF5"/>
    <w:rsid w:val="00AC73C5"/>
    <w:rsid w:val="00AF531A"/>
    <w:rsid w:val="00AF7FFC"/>
    <w:rsid w:val="00B04786"/>
    <w:rsid w:val="00B269FE"/>
    <w:rsid w:val="00B26ABA"/>
    <w:rsid w:val="00B527D5"/>
    <w:rsid w:val="00B63E30"/>
    <w:rsid w:val="00C1775A"/>
    <w:rsid w:val="00C238FD"/>
    <w:rsid w:val="00C37B87"/>
    <w:rsid w:val="00C402C2"/>
    <w:rsid w:val="00C54C7E"/>
    <w:rsid w:val="00C81086"/>
    <w:rsid w:val="00C81806"/>
    <w:rsid w:val="00C84071"/>
    <w:rsid w:val="00C917B3"/>
    <w:rsid w:val="00CA1F36"/>
    <w:rsid w:val="00CB7FD1"/>
    <w:rsid w:val="00CF4849"/>
    <w:rsid w:val="00D02C7A"/>
    <w:rsid w:val="00D11249"/>
    <w:rsid w:val="00D14938"/>
    <w:rsid w:val="00D16058"/>
    <w:rsid w:val="00D26016"/>
    <w:rsid w:val="00D34F9F"/>
    <w:rsid w:val="00D4699F"/>
    <w:rsid w:val="00D46AC5"/>
    <w:rsid w:val="00D50104"/>
    <w:rsid w:val="00D57348"/>
    <w:rsid w:val="00D74CF7"/>
    <w:rsid w:val="00D76523"/>
    <w:rsid w:val="00D8017F"/>
    <w:rsid w:val="00D87963"/>
    <w:rsid w:val="00DA7DF7"/>
    <w:rsid w:val="00DB5B74"/>
    <w:rsid w:val="00DE0A57"/>
    <w:rsid w:val="00DF3773"/>
    <w:rsid w:val="00E14CEA"/>
    <w:rsid w:val="00E20810"/>
    <w:rsid w:val="00E30F53"/>
    <w:rsid w:val="00E452C2"/>
    <w:rsid w:val="00E47B60"/>
    <w:rsid w:val="00E505C5"/>
    <w:rsid w:val="00E56737"/>
    <w:rsid w:val="00E74456"/>
    <w:rsid w:val="00E74752"/>
    <w:rsid w:val="00E8394F"/>
    <w:rsid w:val="00E855D1"/>
    <w:rsid w:val="00EB0B52"/>
    <w:rsid w:val="00EB3E92"/>
    <w:rsid w:val="00ED3C95"/>
    <w:rsid w:val="00ED55C2"/>
    <w:rsid w:val="00EE1E3D"/>
    <w:rsid w:val="00EF479F"/>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62822</Words>
  <Characters>35809</Characters>
  <Application>Microsoft Office Word</Application>
  <DocSecurity>0</DocSecurity>
  <Lines>298</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2026-05-27T07:57:00Z</dcterms:created>
  <dcterms:modified xsi:type="dcterms:W3CDTF">2026-05-27T07:57:00Z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