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1681" w14:textId="77777777" w:rsidR="008930D2" w:rsidRPr="00902088" w:rsidRDefault="008930D2" w:rsidP="008930D2">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43621925" w14:textId="46D1AB05" w:rsidR="00360B55" w:rsidRDefault="008930D2" w:rsidP="00817B3C">
      <w:pPr>
        <w:spacing w:line="360" w:lineRule="auto"/>
        <w:ind w:left="1296" w:firstLine="1296"/>
        <w:rPr>
          <w:rFonts w:ascii="Times New Roman" w:hAnsi="Times New Roman" w:cs="Times New Roman"/>
          <w:b/>
          <w:bCs/>
          <w:sz w:val="24"/>
          <w:szCs w:val="24"/>
        </w:rPr>
      </w:pPr>
      <w:r w:rsidRPr="00817B3C">
        <w:rPr>
          <w:rFonts w:ascii="Times New Roman" w:hAnsi="Times New Roman" w:cs="Times New Roman"/>
          <w:b/>
          <w:bCs/>
          <w:sz w:val="24"/>
          <w:szCs w:val="24"/>
        </w:rPr>
        <w:t>TECHNINĖ SPECIFIKACIJA</w:t>
      </w:r>
    </w:p>
    <w:p w14:paraId="2CB76F86" w14:textId="77BEC314" w:rsidR="00424F33" w:rsidRPr="00424F33" w:rsidRDefault="00424F33" w:rsidP="00424F33">
      <w:pPr>
        <w:jc w:val="both"/>
        <w:rPr>
          <w:rFonts w:ascii="Times New Roman" w:eastAsia="Aptos" w:hAnsi="Times New Roman" w:cs="Times New Roman"/>
          <w:b/>
          <w:bCs/>
          <w:sz w:val="24"/>
          <w:szCs w:val="24"/>
          <w:lang w:eastAsia="lt-LT"/>
        </w:rPr>
      </w:pPr>
      <w:r w:rsidRPr="00424F33">
        <w:rPr>
          <w:rFonts w:ascii="Times New Roman" w:eastAsia="Aptos" w:hAnsi="Times New Roman" w:cs="Times New Roman"/>
          <w:b/>
          <w:bCs/>
          <w:sz w:val="24"/>
          <w:szCs w:val="24"/>
          <w:lang w:eastAsia="lt-LT"/>
        </w:rPr>
        <w:t>Bendrieji reikalavimai</w:t>
      </w:r>
    </w:p>
    <w:p w14:paraId="307BDE7C" w14:textId="30A6F2C4" w:rsidR="00424F33" w:rsidRPr="00424F33" w:rsidRDefault="00424F33" w:rsidP="00424F33">
      <w:pPr>
        <w:jc w:val="both"/>
        <w:rPr>
          <w:rFonts w:ascii="Times New Roman" w:eastAsia="Aptos" w:hAnsi="Times New Roman" w:cs="Times New Roman"/>
          <w:sz w:val="24"/>
          <w:szCs w:val="24"/>
          <w:lang w:eastAsia="lt-LT"/>
        </w:rPr>
      </w:pPr>
      <w:r w:rsidRPr="00424F33">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424F33">
        <w:rPr>
          <w:rFonts w:ascii="Times New Roman" w:eastAsia="Aptos" w:hAnsi="Times New Roman" w:cs="Times New Roman"/>
          <w:sz w:val="24"/>
          <w:szCs w:val="24"/>
          <w:lang w:eastAsia="lt-LT"/>
        </w:rPr>
        <w:t>pdf</w:t>
      </w:r>
      <w:proofErr w:type="spellEnd"/>
      <w:r w:rsidRPr="00424F33">
        <w:rPr>
          <w:rFonts w:ascii="Times New Roman" w:eastAsia="Aptos" w:hAnsi="Times New Roman" w:cs="Times New Roman"/>
          <w:sz w:val="24"/>
          <w:szCs w:val="24"/>
          <w:lang w:eastAsia="lt-LT"/>
        </w:rPr>
        <w:t xml:space="preserve"> formatu) </w:t>
      </w:r>
      <w:r w:rsidRPr="00424F33">
        <w:rPr>
          <w:rFonts w:ascii="Times New Roman" w:eastAsia="Aptos" w:hAnsi="Times New Roman" w:cs="Times New Roman"/>
          <w:b/>
          <w:bCs/>
          <w:sz w:val="24"/>
          <w:szCs w:val="24"/>
          <w:lang w:eastAsia="lt-LT"/>
        </w:rPr>
        <w:t>su vertimu į lietuvių kalbą</w:t>
      </w:r>
      <w:r w:rsidRPr="00424F33">
        <w:rPr>
          <w:rFonts w:ascii="Times New Roman" w:eastAsia="Aptos" w:hAnsi="Times New Roman" w:cs="Times New Roman"/>
          <w:color w:val="0078D4"/>
          <w:sz w:val="24"/>
          <w:szCs w:val="24"/>
          <w:lang w:eastAsia="lt-LT"/>
        </w:rPr>
        <w:t xml:space="preserve"> </w:t>
      </w:r>
      <w:r w:rsidRPr="00424F33">
        <w:rPr>
          <w:rFonts w:ascii="Times New Roman" w:eastAsia="Aptos" w:hAnsi="Times New Roman" w:cs="Times New Roman"/>
          <w:sz w:val="24"/>
          <w:szCs w:val="24"/>
          <w:lang w:eastAsia="lt-LT"/>
        </w:rPr>
        <w:t>(kiek tai susiję su atitiktimi techninės specifikacijos reikalavimams).</w:t>
      </w:r>
      <w:r w:rsidRPr="00424F33">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424F33">
        <w:rPr>
          <w:rFonts w:ascii="Times New Roman" w:eastAsia="Aptos" w:hAnsi="Times New Roman" w:cs="Times New Roman"/>
          <w:sz w:val="24"/>
          <w:szCs w:val="24"/>
          <w:lang w:eastAsia="lt-LT"/>
        </w:rPr>
        <w:t xml:space="preserve">. </w:t>
      </w:r>
      <w:r w:rsidRPr="00424F33">
        <w:rPr>
          <w:rFonts w:ascii="Times New Roman" w:eastAsia="Aptos" w:hAnsi="Times New Roman" w:cs="Times New Roman"/>
          <w:color w:val="EE0000"/>
          <w:sz w:val="24"/>
          <w:szCs w:val="24"/>
          <w:lang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bl>
      <w:tblPr>
        <w:tblStyle w:val="TableGrid"/>
        <w:tblW w:w="0" w:type="auto"/>
        <w:tblInd w:w="-1139" w:type="dxa"/>
        <w:tblLook w:val="04A0" w:firstRow="1" w:lastRow="0" w:firstColumn="1" w:lastColumn="0" w:noHBand="0" w:noVBand="1"/>
      </w:tblPr>
      <w:tblGrid>
        <w:gridCol w:w="696"/>
        <w:gridCol w:w="2626"/>
        <w:gridCol w:w="4226"/>
        <w:gridCol w:w="3219"/>
      </w:tblGrid>
      <w:tr w:rsidR="00EA7830" w:rsidRPr="00817B3C" w14:paraId="73CD54A7" w14:textId="79AA09CB" w:rsidTr="00EA7830">
        <w:tc>
          <w:tcPr>
            <w:tcW w:w="696" w:type="dxa"/>
          </w:tcPr>
          <w:p w14:paraId="57D6AD5D" w14:textId="77777777" w:rsidR="00EA7830" w:rsidRPr="00424F33" w:rsidRDefault="00EA7830" w:rsidP="00817B3C">
            <w:pPr>
              <w:spacing w:line="360" w:lineRule="auto"/>
              <w:rPr>
                <w:rFonts w:ascii="Times New Roman" w:hAnsi="Times New Roman" w:cs="Times New Roman"/>
                <w:b/>
                <w:bCs/>
                <w:sz w:val="24"/>
                <w:szCs w:val="24"/>
              </w:rPr>
            </w:pPr>
            <w:r w:rsidRPr="00424F33">
              <w:rPr>
                <w:rFonts w:ascii="Times New Roman" w:hAnsi="Times New Roman" w:cs="Times New Roman"/>
                <w:b/>
                <w:bCs/>
                <w:sz w:val="24"/>
                <w:szCs w:val="24"/>
              </w:rPr>
              <w:t>Eil. Nr.</w:t>
            </w:r>
          </w:p>
        </w:tc>
        <w:tc>
          <w:tcPr>
            <w:tcW w:w="2626" w:type="dxa"/>
          </w:tcPr>
          <w:p w14:paraId="61C5ACE3" w14:textId="77777777" w:rsidR="00EA7830" w:rsidRPr="00424F33" w:rsidRDefault="00EA7830" w:rsidP="00817B3C">
            <w:pPr>
              <w:spacing w:line="360" w:lineRule="auto"/>
              <w:rPr>
                <w:rFonts w:ascii="Times New Roman" w:hAnsi="Times New Roman" w:cs="Times New Roman"/>
                <w:b/>
                <w:bCs/>
                <w:sz w:val="24"/>
                <w:szCs w:val="24"/>
              </w:rPr>
            </w:pPr>
            <w:r w:rsidRPr="00424F33">
              <w:rPr>
                <w:rFonts w:ascii="Times New Roman" w:hAnsi="Times New Roman" w:cs="Times New Roman"/>
                <w:b/>
                <w:bCs/>
                <w:sz w:val="24"/>
                <w:szCs w:val="24"/>
              </w:rPr>
              <w:t>Techninis parametras</w:t>
            </w:r>
          </w:p>
        </w:tc>
        <w:tc>
          <w:tcPr>
            <w:tcW w:w="4226" w:type="dxa"/>
          </w:tcPr>
          <w:p w14:paraId="77867413" w14:textId="77777777" w:rsidR="00EA7830" w:rsidRPr="00424F33" w:rsidRDefault="00EA7830" w:rsidP="00817B3C">
            <w:pPr>
              <w:spacing w:line="360" w:lineRule="auto"/>
              <w:rPr>
                <w:rFonts w:ascii="Times New Roman" w:hAnsi="Times New Roman" w:cs="Times New Roman"/>
                <w:b/>
                <w:bCs/>
                <w:sz w:val="24"/>
                <w:szCs w:val="24"/>
              </w:rPr>
            </w:pPr>
            <w:r w:rsidRPr="00424F33">
              <w:rPr>
                <w:rFonts w:ascii="Times New Roman" w:hAnsi="Times New Roman" w:cs="Times New Roman"/>
                <w:b/>
                <w:bCs/>
                <w:sz w:val="24"/>
                <w:szCs w:val="24"/>
              </w:rPr>
              <w:t>Techninio parametro reikalavimas</w:t>
            </w:r>
          </w:p>
        </w:tc>
        <w:tc>
          <w:tcPr>
            <w:tcW w:w="3219" w:type="dxa"/>
          </w:tcPr>
          <w:p w14:paraId="67303089" w14:textId="77777777" w:rsidR="00E513DC" w:rsidRPr="00424F33" w:rsidRDefault="00E513DC" w:rsidP="00E513DC">
            <w:pPr>
              <w:spacing w:line="252" w:lineRule="auto"/>
              <w:ind w:left="342"/>
              <w:jc w:val="center"/>
              <w:rPr>
                <w:rFonts w:ascii="Times New Roman" w:hAnsi="Times New Roman" w:cs="Times New Roman"/>
                <w:b/>
                <w:bCs/>
                <w:sz w:val="24"/>
                <w:szCs w:val="24"/>
                <w:lang w:val="en-US"/>
              </w:rPr>
            </w:pPr>
            <w:proofErr w:type="spellStart"/>
            <w:r w:rsidRPr="00424F33">
              <w:rPr>
                <w:rFonts w:ascii="Times New Roman" w:hAnsi="Times New Roman" w:cs="Times New Roman"/>
                <w:b/>
                <w:bCs/>
                <w:sz w:val="24"/>
                <w:szCs w:val="24"/>
                <w:lang w:val="en-US"/>
              </w:rPr>
              <w:t>Siūlomos</w:t>
            </w:r>
            <w:proofErr w:type="spellEnd"/>
            <w:r w:rsidRPr="00424F33">
              <w:rPr>
                <w:rFonts w:ascii="Times New Roman" w:hAnsi="Times New Roman" w:cs="Times New Roman"/>
                <w:b/>
                <w:bCs/>
                <w:sz w:val="24"/>
                <w:szCs w:val="24"/>
                <w:lang w:val="en-US"/>
              </w:rPr>
              <w:t xml:space="preserve"> </w:t>
            </w:r>
            <w:proofErr w:type="spellStart"/>
            <w:r w:rsidRPr="00424F33">
              <w:rPr>
                <w:rFonts w:ascii="Times New Roman" w:hAnsi="Times New Roman" w:cs="Times New Roman"/>
                <w:b/>
                <w:bCs/>
                <w:sz w:val="24"/>
                <w:szCs w:val="24"/>
                <w:lang w:val="en-US"/>
              </w:rPr>
              <w:t>parametrų</w:t>
            </w:r>
            <w:proofErr w:type="spellEnd"/>
            <w:r w:rsidRPr="00424F33">
              <w:rPr>
                <w:rFonts w:ascii="Times New Roman" w:hAnsi="Times New Roman" w:cs="Times New Roman"/>
                <w:b/>
                <w:bCs/>
                <w:sz w:val="24"/>
                <w:szCs w:val="24"/>
                <w:lang w:val="en-US"/>
              </w:rPr>
              <w:t xml:space="preserve"> </w:t>
            </w:r>
            <w:proofErr w:type="spellStart"/>
            <w:r w:rsidRPr="00424F33">
              <w:rPr>
                <w:rFonts w:ascii="Times New Roman" w:hAnsi="Times New Roman" w:cs="Times New Roman"/>
                <w:b/>
                <w:bCs/>
                <w:sz w:val="24"/>
                <w:szCs w:val="24"/>
                <w:lang w:val="en-US"/>
              </w:rPr>
              <w:t>reikšmės</w:t>
            </w:r>
            <w:proofErr w:type="spellEnd"/>
          </w:p>
          <w:p w14:paraId="3EC2D8F4" w14:textId="77777777" w:rsidR="00E513DC" w:rsidRPr="00424F33" w:rsidRDefault="00E513DC" w:rsidP="00E513DC">
            <w:pPr>
              <w:spacing w:line="252" w:lineRule="auto"/>
              <w:ind w:left="342"/>
              <w:jc w:val="center"/>
              <w:rPr>
                <w:rFonts w:ascii="Times New Roman" w:hAnsi="Times New Roman" w:cs="Times New Roman"/>
                <w:b/>
                <w:bCs/>
                <w:sz w:val="24"/>
                <w:szCs w:val="24"/>
                <w:lang w:val="en-US"/>
              </w:rPr>
            </w:pPr>
          </w:p>
          <w:p w14:paraId="5409D2AB" w14:textId="77777777" w:rsidR="00E513DC" w:rsidRDefault="00E513DC" w:rsidP="00E513DC">
            <w:pPr>
              <w:jc w:val="center"/>
              <w:rPr>
                <w:rFonts w:ascii="Times New Roman" w:hAnsi="Times New Roman" w:cs="Times New Roman"/>
                <w:b/>
                <w:bCs/>
                <w:lang w:eastAsia="lt-LT"/>
              </w:rPr>
            </w:pPr>
            <w:r w:rsidRPr="00424F33">
              <w:rPr>
                <w:rFonts w:ascii="Times New Roman" w:hAnsi="Times New Roman" w:cs="Times New Roman"/>
                <w:b/>
                <w:bCs/>
                <w:lang w:val="sv-SE" w:eastAsia="lt-LT"/>
              </w:rPr>
              <w:t>*Tiekėjas pildo kiekvien</w:t>
            </w:r>
            <w:r w:rsidRPr="00424F33">
              <w:rPr>
                <w:rFonts w:ascii="Times New Roman" w:hAnsi="Times New Roman" w:cs="Times New Roman"/>
                <w:b/>
                <w:bCs/>
                <w:lang w:eastAsia="lt-LT"/>
              </w:rPr>
              <w:t>ą reikalavimą su atitinkama siūloma reikšme.</w:t>
            </w:r>
          </w:p>
          <w:p w14:paraId="5C5DA914" w14:textId="77777777" w:rsidR="006B74E1" w:rsidRPr="00424F33" w:rsidRDefault="006B74E1" w:rsidP="00E513DC">
            <w:pPr>
              <w:jc w:val="center"/>
              <w:rPr>
                <w:rFonts w:ascii="Times New Roman" w:hAnsi="Times New Roman" w:cs="Times New Roman"/>
                <w:b/>
                <w:bCs/>
                <w:lang w:eastAsia="lt-LT"/>
              </w:rPr>
            </w:pPr>
          </w:p>
          <w:p w14:paraId="0C79E1EF" w14:textId="77777777" w:rsidR="00EA7830" w:rsidRDefault="00E513DC" w:rsidP="00E513DC">
            <w:pPr>
              <w:rPr>
                <w:rFonts w:ascii="Times New Roman" w:hAnsi="Times New Roman" w:cs="Times New Roman"/>
                <w:color w:val="EE0000"/>
                <w:lang w:eastAsia="lt-LT"/>
              </w:rPr>
            </w:pPr>
            <w:r w:rsidRPr="006B74E1">
              <w:rPr>
                <w:rFonts w:ascii="Times New Roman" w:hAnsi="Times New Roman" w:cs="Times New Roman"/>
                <w:color w:val="EE0000"/>
                <w:lang w:eastAsia="lt-LT"/>
              </w:rPr>
              <w:t xml:space="preserve">Prie kiekvieno reikalavimo pateikiamas  techninę charakteristiką pagrindžiantis dokumentas </w:t>
            </w:r>
            <w:r w:rsidRPr="006B74E1">
              <w:rPr>
                <w:rFonts w:ascii="Times New Roman" w:hAnsi="Times New Roman" w:cs="Times New Roman"/>
                <w:color w:val="EE0000"/>
                <w:highlight w:val="yellow"/>
                <w:lang w:eastAsia="lt-LT"/>
              </w:rPr>
              <w:t>_______</w:t>
            </w:r>
            <w:r w:rsidRPr="006B74E1">
              <w:rPr>
                <w:rFonts w:ascii="Times New Roman" w:hAnsi="Times New Roman" w:cs="Times New Roman"/>
                <w:color w:val="EE0000"/>
                <w:lang w:eastAsia="lt-LT"/>
              </w:rPr>
              <w:t xml:space="preserve"> (</w:t>
            </w:r>
            <w:r w:rsidRPr="006B74E1">
              <w:rPr>
                <w:rFonts w:ascii="Times New Roman" w:hAnsi="Times New Roman" w:cs="Times New Roman"/>
                <w:i/>
                <w:iCs/>
                <w:color w:val="EE0000"/>
                <w:lang w:eastAsia="lt-LT"/>
              </w:rPr>
              <w:t>nurodyti pateikiamą dokumentą</w:t>
            </w:r>
            <w:r w:rsidRPr="006B74E1">
              <w:rPr>
                <w:rFonts w:ascii="Times New Roman" w:hAnsi="Times New Roman" w:cs="Times New Roman"/>
                <w:color w:val="EE0000"/>
                <w:lang w:eastAsia="lt-LT"/>
              </w:rPr>
              <w:t xml:space="preserve">), kurio </w:t>
            </w:r>
            <w:r w:rsidRPr="006B74E1">
              <w:rPr>
                <w:rFonts w:ascii="Times New Roman" w:hAnsi="Times New Roman" w:cs="Times New Roman"/>
                <w:color w:val="EE0000"/>
                <w:highlight w:val="yellow"/>
                <w:lang w:eastAsia="lt-LT"/>
              </w:rPr>
              <w:t>_____</w:t>
            </w:r>
            <w:r w:rsidRPr="006B74E1">
              <w:rPr>
                <w:rFonts w:ascii="Times New Roman" w:hAnsi="Times New Roman" w:cs="Times New Roman"/>
                <w:color w:val="EE0000"/>
                <w:lang w:eastAsia="lt-LT"/>
              </w:rPr>
              <w:t xml:space="preserve"> (</w:t>
            </w:r>
            <w:r w:rsidRPr="006B74E1">
              <w:rPr>
                <w:rFonts w:ascii="Times New Roman" w:hAnsi="Times New Roman" w:cs="Times New Roman"/>
                <w:i/>
                <w:iCs/>
                <w:color w:val="EE0000"/>
                <w:lang w:eastAsia="lt-LT"/>
              </w:rPr>
              <w:t>nurodyti</w:t>
            </w:r>
            <w:r w:rsidRPr="006B74E1">
              <w:rPr>
                <w:rFonts w:ascii="Times New Roman" w:hAnsi="Times New Roman" w:cs="Times New Roman"/>
                <w:color w:val="EE0000"/>
                <w:lang w:eastAsia="lt-LT"/>
              </w:rPr>
              <w:t>) puslapyje pateikta atžyma apie parametro reikšmę</w:t>
            </w:r>
          </w:p>
          <w:p w14:paraId="53644C8F" w14:textId="77777777" w:rsidR="006B74E1" w:rsidRDefault="006B74E1" w:rsidP="00E513DC">
            <w:pPr>
              <w:rPr>
                <w:rFonts w:ascii="Times New Roman" w:hAnsi="Times New Roman" w:cs="Times New Roman"/>
                <w:b/>
                <w:bCs/>
                <w:color w:val="EE0000"/>
                <w:sz w:val="24"/>
                <w:szCs w:val="24"/>
                <w:lang w:eastAsia="lt-LT"/>
              </w:rPr>
            </w:pPr>
          </w:p>
          <w:p w14:paraId="0B46B213" w14:textId="0BDC521B" w:rsidR="006B74E1" w:rsidRPr="006B74E1" w:rsidRDefault="006B74E1" w:rsidP="006B74E1">
            <w:pPr>
              <w:jc w:val="center"/>
              <w:rPr>
                <w:rFonts w:ascii="Times New Roman" w:hAnsi="Times New Roman" w:cs="Times New Roman"/>
                <w:sz w:val="24"/>
                <w:szCs w:val="24"/>
              </w:rPr>
            </w:pPr>
            <w:r w:rsidRPr="006B74E1">
              <w:rPr>
                <w:rFonts w:ascii="Times New Roman" w:hAnsi="Times New Roman" w:cs="Times New Roman"/>
                <w:color w:val="EE0000"/>
                <w:sz w:val="24"/>
                <w:szCs w:val="24"/>
                <w:lang w:eastAsia="lt-LT"/>
              </w:rPr>
              <w:t>(pildo tiekėjas)</w:t>
            </w:r>
          </w:p>
        </w:tc>
      </w:tr>
      <w:tr w:rsidR="00424F33" w:rsidRPr="00817B3C" w14:paraId="7489D1EE" w14:textId="77777777" w:rsidTr="00424F33">
        <w:trPr>
          <w:trHeight w:val="262"/>
        </w:trPr>
        <w:tc>
          <w:tcPr>
            <w:tcW w:w="696" w:type="dxa"/>
          </w:tcPr>
          <w:p w14:paraId="44EE7AF8" w14:textId="66478860" w:rsidR="00424F33" w:rsidRPr="00893174" w:rsidRDefault="00424F33" w:rsidP="00424F33">
            <w:pPr>
              <w:spacing w:line="360" w:lineRule="auto"/>
              <w:jc w:val="center"/>
              <w:rPr>
                <w:rFonts w:ascii="Times New Roman" w:hAnsi="Times New Roman" w:cs="Times New Roman"/>
                <w:b/>
                <w:bCs/>
              </w:rPr>
            </w:pPr>
            <w:r>
              <w:rPr>
                <w:rFonts w:ascii="Times New Roman" w:hAnsi="Times New Roman" w:cs="Times New Roman"/>
                <w:b/>
                <w:bCs/>
              </w:rPr>
              <w:t>1</w:t>
            </w:r>
          </w:p>
        </w:tc>
        <w:tc>
          <w:tcPr>
            <w:tcW w:w="2626" w:type="dxa"/>
          </w:tcPr>
          <w:p w14:paraId="0BF067EB" w14:textId="6147C0E3" w:rsidR="00424F33" w:rsidRPr="00893174" w:rsidRDefault="00424F33" w:rsidP="00424F33">
            <w:pPr>
              <w:spacing w:line="360" w:lineRule="auto"/>
              <w:jc w:val="center"/>
              <w:rPr>
                <w:rFonts w:ascii="Times New Roman" w:hAnsi="Times New Roman" w:cs="Times New Roman"/>
                <w:b/>
                <w:bCs/>
              </w:rPr>
            </w:pPr>
            <w:r>
              <w:rPr>
                <w:rFonts w:ascii="Times New Roman" w:hAnsi="Times New Roman" w:cs="Times New Roman"/>
                <w:b/>
                <w:bCs/>
              </w:rPr>
              <w:t>2</w:t>
            </w:r>
          </w:p>
        </w:tc>
        <w:tc>
          <w:tcPr>
            <w:tcW w:w="4226" w:type="dxa"/>
          </w:tcPr>
          <w:p w14:paraId="20CF6476" w14:textId="18BFA187" w:rsidR="00424F33" w:rsidRPr="00893174" w:rsidRDefault="00424F33" w:rsidP="00424F33">
            <w:pPr>
              <w:spacing w:line="360" w:lineRule="auto"/>
              <w:jc w:val="center"/>
              <w:rPr>
                <w:rFonts w:ascii="Times New Roman" w:hAnsi="Times New Roman" w:cs="Times New Roman"/>
                <w:b/>
                <w:bCs/>
              </w:rPr>
            </w:pPr>
            <w:r>
              <w:rPr>
                <w:rFonts w:ascii="Times New Roman" w:hAnsi="Times New Roman" w:cs="Times New Roman"/>
                <w:b/>
                <w:bCs/>
              </w:rPr>
              <w:t>3</w:t>
            </w:r>
          </w:p>
        </w:tc>
        <w:tc>
          <w:tcPr>
            <w:tcW w:w="3219" w:type="dxa"/>
          </w:tcPr>
          <w:p w14:paraId="4F4DBE49" w14:textId="35B3BBD8" w:rsidR="00424F33" w:rsidRPr="00893174" w:rsidRDefault="00424F33" w:rsidP="00424F33">
            <w:pPr>
              <w:spacing w:line="252" w:lineRule="auto"/>
              <w:ind w:left="342"/>
              <w:jc w:val="center"/>
              <w:rPr>
                <w:rFonts w:ascii="Times New Roman" w:hAnsi="Times New Roman" w:cs="Times New Roman"/>
                <w:b/>
                <w:bCs/>
                <w:lang w:val="en-US"/>
              </w:rPr>
            </w:pPr>
            <w:r>
              <w:rPr>
                <w:rFonts w:ascii="Times New Roman" w:hAnsi="Times New Roman" w:cs="Times New Roman"/>
                <w:b/>
                <w:bCs/>
                <w:lang w:val="en-US"/>
              </w:rPr>
              <w:t>4</w:t>
            </w:r>
          </w:p>
        </w:tc>
      </w:tr>
      <w:tr w:rsidR="00EA7830" w:rsidRPr="00817B3C" w14:paraId="3A9DB2BD" w14:textId="131B0F2C" w:rsidTr="00EA7830">
        <w:tc>
          <w:tcPr>
            <w:tcW w:w="696" w:type="dxa"/>
          </w:tcPr>
          <w:p w14:paraId="273574B1"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w:t>
            </w:r>
          </w:p>
        </w:tc>
        <w:tc>
          <w:tcPr>
            <w:tcW w:w="2626" w:type="dxa"/>
          </w:tcPr>
          <w:p w14:paraId="48CA850A" w14:textId="499E9026" w:rsidR="00EA7830" w:rsidRPr="00817B3C" w:rsidRDefault="00EA7830" w:rsidP="00817B3C">
            <w:pPr>
              <w:spacing w:line="360" w:lineRule="auto"/>
              <w:rPr>
                <w:rFonts w:ascii="Times New Roman" w:hAnsi="Times New Roman" w:cs="Times New Roman"/>
                <w:sz w:val="24"/>
                <w:szCs w:val="24"/>
              </w:rPr>
            </w:pPr>
            <w:r>
              <w:rPr>
                <w:rFonts w:ascii="Times New Roman" w:hAnsi="Times New Roman" w:cs="Times New Roman"/>
                <w:sz w:val="24"/>
                <w:szCs w:val="24"/>
              </w:rPr>
              <w:t>Gelių dokumentavimo s</w:t>
            </w:r>
            <w:r w:rsidRPr="00817B3C">
              <w:rPr>
                <w:rFonts w:ascii="Times New Roman" w:hAnsi="Times New Roman" w:cs="Times New Roman"/>
                <w:sz w:val="24"/>
                <w:szCs w:val="24"/>
              </w:rPr>
              <w:t>istemos paskirtis</w:t>
            </w:r>
          </w:p>
        </w:tc>
        <w:tc>
          <w:tcPr>
            <w:tcW w:w="4226" w:type="dxa"/>
          </w:tcPr>
          <w:p w14:paraId="14C5374C" w14:textId="77777777" w:rsidR="00EA7830" w:rsidRDefault="00EA7830" w:rsidP="00817B3C">
            <w:pPr>
              <w:spacing w:line="360" w:lineRule="auto"/>
              <w:rPr>
                <w:rFonts w:ascii="Times New Roman" w:hAnsi="Times New Roman" w:cs="Times New Roman"/>
                <w:sz w:val="24"/>
                <w:szCs w:val="24"/>
              </w:rPr>
            </w:pPr>
            <w:proofErr w:type="spellStart"/>
            <w:r w:rsidRPr="00817B3C">
              <w:rPr>
                <w:rFonts w:ascii="Times New Roman" w:hAnsi="Times New Roman" w:cs="Times New Roman"/>
                <w:sz w:val="24"/>
                <w:szCs w:val="24"/>
              </w:rPr>
              <w:t>Chemiliuminescencinis</w:t>
            </w:r>
            <w:proofErr w:type="spellEnd"/>
            <w:r w:rsidRPr="00817B3C">
              <w:rPr>
                <w:rFonts w:ascii="Times New Roman" w:hAnsi="Times New Roman" w:cs="Times New Roman"/>
                <w:sz w:val="24"/>
                <w:szCs w:val="24"/>
              </w:rPr>
              <w:t xml:space="preserve"> ir fluorescencinis </w:t>
            </w:r>
            <w:proofErr w:type="spellStart"/>
            <w:r w:rsidRPr="00817B3C">
              <w:rPr>
                <w:rFonts w:ascii="Times New Roman" w:hAnsi="Times New Roman" w:cs="Times New Roman"/>
                <w:sz w:val="24"/>
                <w:szCs w:val="24"/>
              </w:rPr>
              <w:t>imunoblotų</w:t>
            </w:r>
            <w:proofErr w:type="spellEnd"/>
            <w:r w:rsidRPr="00817B3C">
              <w:rPr>
                <w:rFonts w:ascii="Times New Roman" w:hAnsi="Times New Roman" w:cs="Times New Roman"/>
                <w:sz w:val="24"/>
                <w:szCs w:val="24"/>
              </w:rPr>
              <w:t xml:space="preserve"> membranų vaizdinimas</w:t>
            </w:r>
            <w:r>
              <w:rPr>
                <w:rFonts w:ascii="Times New Roman" w:hAnsi="Times New Roman" w:cs="Times New Roman"/>
                <w:sz w:val="24"/>
                <w:szCs w:val="24"/>
              </w:rPr>
              <w:t>.</w:t>
            </w:r>
          </w:p>
          <w:p w14:paraId="1C5EA933" w14:textId="28C32E9B"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Fluorescencinis ir kolorimetrinis gelių vaizdinimas</w:t>
            </w:r>
          </w:p>
        </w:tc>
        <w:tc>
          <w:tcPr>
            <w:tcW w:w="3219" w:type="dxa"/>
          </w:tcPr>
          <w:p w14:paraId="1021C907" w14:textId="77777777" w:rsidR="00EA7830" w:rsidRPr="00817B3C" w:rsidRDefault="00EA7830" w:rsidP="006A3AF4">
            <w:pPr>
              <w:spacing w:line="360" w:lineRule="auto"/>
              <w:ind w:left="1296" w:hanging="1296"/>
              <w:rPr>
                <w:rFonts w:ascii="Times New Roman" w:hAnsi="Times New Roman" w:cs="Times New Roman"/>
                <w:sz w:val="24"/>
                <w:szCs w:val="24"/>
              </w:rPr>
            </w:pPr>
          </w:p>
        </w:tc>
      </w:tr>
      <w:tr w:rsidR="00EA7830" w:rsidRPr="00817B3C" w14:paraId="724FCFF5" w14:textId="57EC50A5" w:rsidTr="00EA7830">
        <w:tc>
          <w:tcPr>
            <w:tcW w:w="696" w:type="dxa"/>
          </w:tcPr>
          <w:p w14:paraId="4EDEC484"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2.</w:t>
            </w:r>
          </w:p>
        </w:tc>
        <w:tc>
          <w:tcPr>
            <w:tcW w:w="2626" w:type="dxa"/>
          </w:tcPr>
          <w:p w14:paraId="5325DD36"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Sistemos valdymas </w:t>
            </w:r>
          </w:p>
        </w:tc>
        <w:tc>
          <w:tcPr>
            <w:tcW w:w="4226" w:type="dxa"/>
          </w:tcPr>
          <w:p w14:paraId="6EA4319D" w14:textId="0CC5D0D1"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Įrenginys su integruotu kompiuteriu (ne planšetiniu).</w:t>
            </w:r>
          </w:p>
          <w:p w14:paraId="2C103B70" w14:textId="568D3D84"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Integruotas kompiuteris ne mažesnės kaip 128 GB atminties.</w:t>
            </w:r>
          </w:p>
        </w:tc>
        <w:tc>
          <w:tcPr>
            <w:tcW w:w="3219" w:type="dxa"/>
          </w:tcPr>
          <w:p w14:paraId="1FDEA5CE"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3A9CB794" w14:textId="1C5F23FC" w:rsidTr="00EA7830">
        <w:tc>
          <w:tcPr>
            <w:tcW w:w="696" w:type="dxa"/>
          </w:tcPr>
          <w:p w14:paraId="7AE9D5AC"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3.</w:t>
            </w:r>
          </w:p>
        </w:tc>
        <w:tc>
          <w:tcPr>
            <w:tcW w:w="2626" w:type="dxa"/>
          </w:tcPr>
          <w:p w14:paraId="77B7286F"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Sistemos parametrai</w:t>
            </w:r>
          </w:p>
        </w:tc>
        <w:tc>
          <w:tcPr>
            <w:tcW w:w="4226" w:type="dxa"/>
          </w:tcPr>
          <w:p w14:paraId="50D6486E" w14:textId="21001764"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Sudaro 2 dėklų lygiai: (apatinis lygis UV stalui ir viršutinis lygis mėlynam</w:t>
            </w:r>
            <w:r>
              <w:rPr>
                <w:rFonts w:ascii="Times New Roman" w:hAnsi="Times New Roman" w:cs="Times New Roman"/>
                <w:sz w:val="24"/>
                <w:szCs w:val="24"/>
              </w:rPr>
              <w:t>,</w:t>
            </w:r>
            <w:r w:rsidRPr="00817B3C">
              <w:rPr>
                <w:rFonts w:ascii="Times New Roman" w:hAnsi="Times New Roman" w:cs="Times New Roman"/>
                <w:sz w:val="24"/>
                <w:szCs w:val="24"/>
              </w:rPr>
              <w:t xml:space="preserve"> arba baltam stalui</w:t>
            </w:r>
            <w:r>
              <w:rPr>
                <w:rFonts w:ascii="Times New Roman" w:hAnsi="Times New Roman" w:cs="Times New Roman"/>
                <w:sz w:val="24"/>
                <w:szCs w:val="24"/>
              </w:rPr>
              <w:t>,</w:t>
            </w:r>
            <w:r w:rsidRPr="00817B3C">
              <w:rPr>
                <w:rFonts w:ascii="Times New Roman" w:hAnsi="Times New Roman" w:cs="Times New Roman"/>
                <w:sz w:val="24"/>
                <w:szCs w:val="24"/>
              </w:rPr>
              <w:t xml:space="preserve"> arba</w:t>
            </w:r>
            <w:r>
              <w:rPr>
                <w:rFonts w:ascii="Times New Roman" w:hAnsi="Times New Roman" w:cs="Times New Roman"/>
                <w:sz w:val="24"/>
                <w:szCs w:val="24"/>
              </w:rPr>
              <w:t xml:space="preserve"> </w:t>
            </w:r>
            <w:proofErr w:type="spellStart"/>
            <w:r>
              <w:rPr>
                <w:rFonts w:ascii="Times New Roman" w:hAnsi="Times New Roman" w:cs="Times New Roman"/>
                <w:sz w:val="24"/>
                <w:szCs w:val="24"/>
              </w:rPr>
              <w:t>chemiliuminescenciniams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lastRenderedPageBreak/>
              <w:t>epifluorescenciniams</w:t>
            </w:r>
            <w:proofErr w:type="spellEnd"/>
            <w:r w:rsidRPr="00817B3C">
              <w:rPr>
                <w:rFonts w:ascii="Times New Roman" w:hAnsi="Times New Roman" w:cs="Times New Roman"/>
                <w:sz w:val="24"/>
                <w:szCs w:val="24"/>
              </w:rPr>
              <w:t xml:space="preserve"> Western </w:t>
            </w:r>
            <w:proofErr w:type="spellStart"/>
            <w:r w:rsidRPr="00817B3C">
              <w:rPr>
                <w:rFonts w:ascii="Times New Roman" w:hAnsi="Times New Roman" w:cs="Times New Roman"/>
                <w:sz w:val="24"/>
                <w:szCs w:val="24"/>
              </w:rPr>
              <w:t>blotams</w:t>
            </w:r>
            <w:proofErr w:type="spellEnd"/>
            <w:r>
              <w:rPr>
                <w:rFonts w:ascii="Times New Roman" w:hAnsi="Times New Roman" w:cs="Times New Roman"/>
                <w:sz w:val="24"/>
                <w:szCs w:val="24"/>
              </w:rPr>
              <w:t xml:space="preserve"> arba lygiavertis</w:t>
            </w:r>
            <w:r w:rsidRPr="00817B3C">
              <w:rPr>
                <w:rFonts w:ascii="Times New Roman" w:hAnsi="Times New Roman" w:cs="Times New Roman"/>
                <w:sz w:val="24"/>
                <w:szCs w:val="24"/>
              </w:rPr>
              <w:t>).</w:t>
            </w:r>
          </w:p>
          <w:p w14:paraId="4916EDD4" w14:textId="2AAE05ED"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Sistema turi automatiškai atpažinti įdėtą stalą ir automatiškai rodyti atitinkamą protokolą (UV, baltas, mėlynas) bei nustatyti filtro nustatymą atitinkamoje padėtyje.</w:t>
            </w:r>
          </w:p>
        </w:tc>
        <w:tc>
          <w:tcPr>
            <w:tcW w:w="3219" w:type="dxa"/>
          </w:tcPr>
          <w:p w14:paraId="08F43405"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0E361C43" w14:textId="05B1E1F1" w:rsidTr="00EA7830">
        <w:tc>
          <w:tcPr>
            <w:tcW w:w="696" w:type="dxa"/>
          </w:tcPr>
          <w:p w14:paraId="293B8441"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4.</w:t>
            </w:r>
          </w:p>
        </w:tc>
        <w:tc>
          <w:tcPr>
            <w:tcW w:w="2626" w:type="dxa"/>
          </w:tcPr>
          <w:p w14:paraId="6B4D8322" w14:textId="77777777" w:rsidR="00EA7830" w:rsidRPr="00817B3C" w:rsidRDefault="00EA7830" w:rsidP="00817B3C">
            <w:pPr>
              <w:spacing w:line="360" w:lineRule="auto"/>
              <w:rPr>
                <w:rFonts w:ascii="Times New Roman" w:hAnsi="Times New Roman" w:cs="Times New Roman"/>
                <w:sz w:val="24"/>
                <w:szCs w:val="24"/>
              </w:rPr>
            </w:pPr>
            <w:proofErr w:type="spellStart"/>
            <w:r w:rsidRPr="00817B3C">
              <w:rPr>
                <w:rFonts w:ascii="Times New Roman" w:hAnsi="Times New Roman" w:cs="Times New Roman"/>
                <w:sz w:val="24"/>
                <w:szCs w:val="24"/>
              </w:rPr>
              <w:t>Transiliuminatorius</w:t>
            </w:r>
            <w:proofErr w:type="spellEnd"/>
          </w:p>
        </w:tc>
        <w:tc>
          <w:tcPr>
            <w:tcW w:w="4226" w:type="dxa"/>
          </w:tcPr>
          <w:p w14:paraId="5EC7E2A1" w14:textId="77777777" w:rsidR="00EA7830" w:rsidRPr="00817B3C" w:rsidRDefault="00EA7830" w:rsidP="00817B3C">
            <w:pPr>
              <w:spacing w:line="360" w:lineRule="auto"/>
              <w:rPr>
                <w:rFonts w:ascii="Times New Roman" w:hAnsi="Times New Roman" w:cs="Times New Roman"/>
                <w:sz w:val="24"/>
                <w:szCs w:val="24"/>
              </w:rPr>
            </w:pPr>
            <w:proofErr w:type="spellStart"/>
            <w:r w:rsidRPr="00817B3C">
              <w:rPr>
                <w:rFonts w:ascii="Times New Roman" w:hAnsi="Times New Roman" w:cs="Times New Roman"/>
                <w:sz w:val="24"/>
                <w:szCs w:val="24"/>
              </w:rPr>
              <w:t>Transiliuminatoriaus</w:t>
            </w:r>
            <w:proofErr w:type="spellEnd"/>
            <w:r w:rsidRPr="00817B3C">
              <w:rPr>
                <w:rFonts w:ascii="Times New Roman" w:hAnsi="Times New Roman" w:cs="Times New Roman"/>
                <w:sz w:val="24"/>
                <w:szCs w:val="24"/>
              </w:rPr>
              <w:t xml:space="preserve"> darbinio ploto išmatavimai ne mažesni nei 24 x 20 cm; </w:t>
            </w:r>
          </w:p>
          <w:p w14:paraId="354E29D5" w14:textId="56F6A0CD"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ir ne mažiau nei 312</w:t>
            </w:r>
            <w:r>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nm</w:t>
            </w:r>
            <w:proofErr w:type="spellEnd"/>
            <w:r w:rsidRPr="00817B3C">
              <w:rPr>
                <w:rFonts w:ascii="Times New Roman" w:hAnsi="Times New Roman" w:cs="Times New Roman"/>
                <w:sz w:val="24"/>
                <w:szCs w:val="24"/>
              </w:rPr>
              <w:t xml:space="preserve"> bangos .</w:t>
            </w:r>
          </w:p>
          <w:p w14:paraId="24300C26" w14:textId="71262604"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Transiliuminatorius</w:t>
            </w:r>
            <w:proofErr w:type="spellEnd"/>
            <w:r w:rsidRPr="00817B3C">
              <w:rPr>
                <w:rFonts w:ascii="Times New Roman" w:hAnsi="Times New Roman" w:cs="Times New Roman"/>
                <w:sz w:val="24"/>
                <w:szCs w:val="24"/>
              </w:rPr>
              <w:t xml:space="preserve"> su LED</w:t>
            </w:r>
            <w:r>
              <w:rPr>
                <w:rFonts w:ascii="Times New Roman" w:hAnsi="Times New Roman" w:cs="Times New Roman"/>
                <w:sz w:val="24"/>
                <w:szCs w:val="24"/>
              </w:rPr>
              <w:t xml:space="preserve"> arba lygiaverte</w:t>
            </w:r>
            <w:r w:rsidRPr="00817B3C">
              <w:rPr>
                <w:rFonts w:ascii="Times New Roman" w:hAnsi="Times New Roman" w:cs="Times New Roman"/>
                <w:sz w:val="24"/>
                <w:szCs w:val="24"/>
              </w:rPr>
              <w:t xml:space="preserve"> šviesos sistema.</w:t>
            </w:r>
          </w:p>
          <w:p w14:paraId="762BAE3A" w14:textId="624ED210"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Automatinis UV išjungimas atidarius dureles.</w:t>
            </w:r>
          </w:p>
          <w:p w14:paraId="025C8D10" w14:textId="3EE1550C"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UV rankinio perjungimo mygtukas gelio ar juostelių pašalinimui. Magnetinis apsauginis ekranas.</w:t>
            </w:r>
          </w:p>
        </w:tc>
        <w:tc>
          <w:tcPr>
            <w:tcW w:w="3219" w:type="dxa"/>
          </w:tcPr>
          <w:p w14:paraId="1435991E"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6F63EA8B" w14:textId="5E11D7BF" w:rsidTr="00EA7830">
        <w:tc>
          <w:tcPr>
            <w:tcW w:w="696" w:type="dxa"/>
          </w:tcPr>
          <w:p w14:paraId="4CE6DC2E"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5.</w:t>
            </w:r>
          </w:p>
        </w:tc>
        <w:tc>
          <w:tcPr>
            <w:tcW w:w="2626" w:type="dxa"/>
          </w:tcPr>
          <w:p w14:paraId="4F99A022"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Kameros parametras</w:t>
            </w:r>
          </w:p>
        </w:tc>
        <w:tc>
          <w:tcPr>
            <w:tcW w:w="4226" w:type="dxa"/>
          </w:tcPr>
          <w:p w14:paraId="44B11DEA" w14:textId="5F8D6E3F"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Integruota ne mažesnė nei 16 bitų CCD kamera</w:t>
            </w:r>
            <w:r>
              <w:rPr>
                <w:rFonts w:ascii="Times New Roman" w:hAnsi="Times New Roman" w:cs="Times New Roman"/>
                <w:sz w:val="24"/>
                <w:szCs w:val="24"/>
              </w:rPr>
              <w:t>.</w:t>
            </w:r>
          </w:p>
          <w:p w14:paraId="73584980"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Ne mažesnis nei 65 536 pilkos spalvos lygių pikselių tankis.</w:t>
            </w:r>
          </w:p>
          <w:p w14:paraId="12BE4C14" w14:textId="3A790656" w:rsidR="00EA7830" w:rsidRPr="00817B3C" w:rsidRDefault="00EA7830" w:rsidP="00817B3C">
            <w:pPr>
              <w:spacing w:line="360" w:lineRule="auto"/>
              <w:rPr>
                <w:rFonts w:ascii="Times New Roman" w:hAnsi="Times New Roman" w:cs="Times New Roman"/>
                <w:sz w:val="24"/>
                <w:szCs w:val="24"/>
              </w:rPr>
            </w:pPr>
            <w:proofErr w:type="spellStart"/>
            <w:r w:rsidRPr="00817B3C">
              <w:rPr>
                <w:rFonts w:ascii="Times New Roman" w:hAnsi="Times New Roman" w:cs="Times New Roman"/>
                <w:sz w:val="24"/>
                <w:szCs w:val="24"/>
              </w:rPr>
              <w:t>Natyvinė</w:t>
            </w:r>
            <w:proofErr w:type="spellEnd"/>
            <w:r w:rsidRPr="00817B3C">
              <w:rPr>
                <w:rFonts w:ascii="Times New Roman" w:hAnsi="Times New Roman" w:cs="Times New Roman"/>
                <w:sz w:val="24"/>
                <w:szCs w:val="24"/>
              </w:rPr>
              <w:t xml:space="preserve"> kamera su ne mažiau nei 30 </w:t>
            </w:r>
            <w:proofErr w:type="spellStart"/>
            <w:r w:rsidRPr="00817B3C">
              <w:rPr>
                <w:rFonts w:ascii="Times New Roman" w:hAnsi="Times New Roman" w:cs="Times New Roman"/>
                <w:sz w:val="24"/>
                <w:szCs w:val="24"/>
              </w:rPr>
              <w:t>megapikselių</w:t>
            </w:r>
            <w:proofErr w:type="spellEnd"/>
            <w:r w:rsidRPr="00817B3C">
              <w:rPr>
                <w:rFonts w:ascii="Times New Roman" w:hAnsi="Times New Roman" w:cs="Times New Roman"/>
                <w:sz w:val="24"/>
                <w:szCs w:val="24"/>
              </w:rPr>
              <w:t>.</w:t>
            </w:r>
          </w:p>
          <w:p w14:paraId="545AB9A0" w14:textId="1C1F9C5A" w:rsidR="00EA7830"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Ne mažesnis nei 3 lygių</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termoelektrinis</w:t>
            </w:r>
            <w:proofErr w:type="spellEnd"/>
            <w:r w:rsidRPr="00817B3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17B3C">
              <w:rPr>
                <w:rFonts w:ascii="Times New Roman" w:hAnsi="Times New Roman" w:cs="Times New Roman"/>
                <w:sz w:val="24"/>
                <w:szCs w:val="24"/>
              </w:rPr>
              <w:t>Peltier</w:t>
            </w:r>
            <w:proofErr w:type="spellEnd"/>
            <w:r>
              <w:rPr>
                <w:rFonts w:ascii="Times New Roman" w:hAnsi="Times New Roman" w:cs="Times New Roman"/>
                <w:sz w:val="24"/>
                <w:szCs w:val="24"/>
              </w:rPr>
              <w:t xml:space="preserve"> tipo) arba lygiavertis</w:t>
            </w:r>
            <w:r w:rsidRPr="00817B3C">
              <w:rPr>
                <w:rFonts w:ascii="Times New Roman" w:hAnsi="Times New Roman" w:cs="Times New Roman"/>
                <w:sz w:val="24"/>
                <w:szCs w:val="24"/>
              </w:rPr>
              <w:t xml:space="preserve"> aušinimas.</w:t>
            </w:r>
          </w:p>
          <w:p w14:paraId="27325686" w14:textId="51701822"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 Temperatūra ne aukštesnė nei -30 </w:t>
            </w:r>
            <w:proofErr w:type="spellStart"/>
            <w:r w:rsidRPr="00817B3C">
              <w:rPr>
                <w:rFonts w:ascii="Times New Roman" w:hAnsi="Times New Roman" w:cs="Times New Roman"/>
                <w:sz w:val="24"/>
                <w:szCs w:val="24"/>
                <w:vertAlign w:val="superscript"/>
              </w:rPr>
              <w:t>o</w:t>
            </w:r>
            <w:r w:rsidRPr="00817B3C">
              <w:rPr>
                <w:rFonts w:ascii="Times New Roman" w:hAnsi="Times New Roman" w:cs="Times New Roman"/>
                <w:sz w:val="24"/>
                <w:szCs w:val="24"/>
              </w:rPr>
              <w:t>C</w:t>
            </w:r>
            <w:proofErr w:type="spellEnd"/>
            <w:r w:rsidRPr="00817B3C">
              <w:rPr>
                <w:rFonts w:ascii="Times New Roman" w:hAnsi="Times New Roman" w:cs="Times New Roman"/>
                <w:sz w:val="24"/>
                <w:szCs w:val="24"/>
              </w:rPr>
              <w:t>.</w:t>
            </w:r>
          </w:p>
        </w:tc>
        <w:tc>
          <w:tcPr>
            <w:tcW w:w="3219" w:type="dxa"/>
          </w:tcPr>
          <w:p w14:paraId="6D8E9606"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37D98ED4" w14:textId="10BEB558" w:rsidTr="00EA7830">
        <w:tc>
          <w:tcPr>
            <w:tcW w:w="696" w:type="dxa"/>
          </w:tcPr>
          <w:p w14:paraId="6729C9A9"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6.</w:t>
            </w:r>
          </w:p>
        </w:tc>
        <w:tc>
          <w:tcPr>
            <w:tcW w:w="2626" w:type="dxa"/>
          </w:tcPr>
          <w:p w14:paraId="492A3947"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Optika</w:t>
            </w:r>
          </w:p>
        </w:tc>
        <w:tc>
          <w:tcPr>
            <w:tcW w:w="4226" w:type="dxa"/>
          </w:tcPr>
          <w:p w14:paraId="13AB2BB5" w14:textId="4D43D6A2"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Optika motorizuota,  automatiškai fokusuojanti turinti galimybę fokusuoti ir rankiniu būdu.</w:t>
            </w:r>
          </w:p>
          <w:p w14:paraId="4A8F6A3D" w14:textId="073D6A7F"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Objektyvo diafragmos židinio nuotolis (f reikšmė) ne daugiau nei  f/0,75. Dinaminis diapazonas ne mažesnis nei  4,8 OD.</w:t>
            </w:r>
          </w:p>
        </w:tc>
        <w:tc>
          <w:tcPr>
            <w:tcW w:w="3219" w:type="dxa"/>
          </w:tcPr>
          <w:p w14:paraId="7F3FACAF"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26452881" w14:textId="57A4F821" w:rsidTr="00EA7830">
        <w:tc>
          <w:tcPr>
            <w:tcW w:w="696" w:type="dxa"/>
          </w:tcPr>
          <w:p w14:paraId="30492678"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7.</w:t>
            </w:r>
          </w:p>
        </w:tc>
        <w:tc>
          <w:tcPr>
            <w:tcW w:w="2626" w:type="dxa"/>
          </w:tcPr>
          <w:p w14:paraId="0155A011" w14:textId="77777777" w:rsidR="00EA7830" w:rsidRPr="00817B3C" w:rsidRDefault="00EA7830" w:rsidP="00817B3C">
            <w:pPr>
              <w:spacing w:line="360" w:lineRule="auto"/>
              <w:rPr>
                <w:rFonts w:ascii="Times New Roman" w:hAnsi="Times New Roman" w:cs="Times New Roman"/>
                <w:sz w:val="24"/>
                <w:szCs w:val="24"/>
              </w:rPr>
            </w:pPr>
            <w:proofErr w:type="spellStart"/>
            <w:r w:rsidRPr="00817B3C">
              <w:rPr>
                <w:rFonts w:ascii="Times New Roman" w:hAnsi="Times New Roman" w:cs="Times New Roman"/>
                <w:sz w:val="24"/>
                <w:szCs w:val="24"/>
              </w:rPr>
              <w:t>Epifluorescencinis</w:t>
            </w:r>
            <w:proofErr w:type="spellEnd"/>
            <w:r w:rsidRPr="00817B3C">
              <w:rPr>
                <w:rFonts w:ascii="Times New Roman" w:hAnsi="Times New Roman" w:cs="Times New Roman"/>
                <w:sz w:val="24"/>
                <w:szCs w:val="24"/>
              </w:rPr>
              <w:t xml:space="preserve"> apšvietimas</w:t>
            </w:r>
          </w:p>
        </w:tc>
        <w:tc>
          <w:tcPr>
            <w:tcW w:w="4226" w:type="dxa"/>
          </w:tcPr>
          <w:p w14:paraId="4E7EC4B4" w14:textId="67ECD8B9"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Viršutinis (</w:t>
            </w:r>
            <w:proofErr w:type="spellStart"/>
            <w:r w:rsidRPr="00817B3C">
              <w:rPr>
                <w:rFonts w:ascii="Times New Roman" w:hAnsi="Times New Roman" w:cs="Times New Roman"/>
                <w:sz w:val="24"/>
                <w:szCs w:val="24"/>
              </w:rPr>
              <w:t>epi</w:t>
            </w:r>
            <w:proofErr w:type="spellEnd"/>
            <w:r w:rsidRPr="00817B3C">
              <w:rPr>
                <w:rFonts w:ascii="Times New Roman" w:hAnsi="Times New Roman" w:cs="Times New Roman"/>
                <w:sz w:val="24"/>
                <w:szCs w:val="24"/>
              </w:rPr>
              <w:t>) apšvietimas – baltos šviesos LED</w:t>
            </w:r>
            <w:r>
              <w:rPr>
                <w:rFonts w:ascii="Times New Roman" w:hAnsi="Times New Roman" w:cs="Times New Roman"/>
                <w:sz w:val="24"/>
                <w:szCs w:val="24"/>
              </w:rPr>
              <w:t xml:space="preserve"> arba lygiavertis</w:t>
            </w:r>
            <w:r w:rsidRPr="00817B3C">
              <w:rPr>
                <w:rFonts w:ascii="Times New Roman" w:hAnsi="Times New Roman" w:cs="Times New Roman"/>
                <w:sz w:val="24"/>
                <w:szCs w:val="24"/>
              </w:rPr>
              <w:t xml:space="preserve">, automatiškai įsijungiantis atidarius </w:t>
            </w:r>
            <w:r w:rsidRPr="00817B3C">
              <w:rPr>
                <w:rFonts w:ascii="Times New Roman" w:hAnsi="Times New Roman" w:cs="Times New Roman"/>
                <w:sz w:val="24"/>
                <w:szCs w:val="24"/>
              </w:rPr>
              <w:lastRenderedPageBreak/>
              <w:t xml:space="preserve">dureles. Sistema turi spalvinį žymeklį. Numatytas automatinis spalvinio arba juodo žymeklio sujungimo (merge) protokolas. </w:t>
            </w:r>
          </w:p>
          <w:p w14:paraId="3C7FD1AF" w14:textId="4FCB5E66" w:rsidR="00EA7830"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Galimybė vienu metu įdiegti ne mažiau kaip 8 pasirenkamų </w:t>
            </w:r>
            <w:proofErr w:type="spellStart"/>
            <w:r w:rsidRPr="00817B3C">
              <w:rPr>
                <w:rFonts w:ascii="Times New Roman" w:hAnsi="Times New Roman" w:cs="Times New Roman"/>
                <w:sz w:val="24"/>
                <w:szCs w:val="24"/>
              </w:rPr>
              <w:t>epifluorescencijos</w:t>
            </w:r>
            <w:proofErr w:type="spellEnd"/>
            <w:r w:rsidRPr="00817B3C">
              <w:rPr>
                <w:rFonts w:ascii="Times New Roman" w:hAnsi="Times New Roman" w:cs="Times New Roman"/>
                <w:sz w:val="24"/>
                <w:szCs w:val="24"/>
              </w:rPr>
              <w:t xml:space="preserve"> sužadinimo šviesos šaltinių ir pasirinkti iš ne mažiau kaip 12 galimų apšvietimo (sužadinimo</w:t>
            </w:r>
            <w:r>
              <w:rPr>
                <w:rFonts w:ascii="Times New Roman" w:hAnsi="Times New Roman" w:cs="Times New Roman"/>
                <w:sz w:val="24"/>
                <w:szCs w:val="24"/>
              </w:rPr>
              <w:t xml:space="preserve"> ir</w:t>
            </w:r>
            <w:r w:rsidRPr="00817B3C">
              <w:rPr>
                <w:rFonts w:ascii="Times New Roman" w:hAnsi="Times New Roman" w:cs="Times New Roman"/>
                <w:sz w:val="24"/>
                <w:szCs w:val="24"/>
              </w:rPr>
              <w:t xml:space="preserve"> išspinduliavimo) kombinacijų:</w:t>
            </w:r>
          </w:p>
          <w:p w14:paraId="21A67A09" w14:textId="47F13E07" w:rsidR="00EA7830" w:rsidRPr="00817B3C" w:rsidRDefault="00EA7830" w:rsidP="00817B3C">
            <w:pPr>
              <w:spacing w:line="360" w:lineRule="auto"/>
              <w:rPr>
                <w:rFonts w:ascii="Times New Roman" w:hAnsi="Times New Roman" w:cs="Times New Roman"/>
                <w:sz w:val="24"/>
                <w:szCs w:val="24"/>
              </w:rPr>
            </w:pPr>
            <w:proofErr w:type="spellStart"/>
            <w:r w:rsidRPr="00817B3C">
              <w:rPr>
                <w:rFonts w:ascii="Times New Roman" w:hAnsi="Times New Roman" w:cs="Times New Roman"/>
                <w:sz w:val="24"/>
                <w:szCs w:val="24"/>
              </w:rPr>
              <w:t>Epi</w:t>
            </w:r>
            <w:proofErr w:type="spellEnd"/>
            <w:r w:rsidRPr="00817B3C">
              <w:rPr>
                <w:rFonts w:ascii="Times New Roman" w:hAnsi="Times New Roman" w:cs="Times New Roman"/>
                <w:sz w:val="24"/>
                <w:szCs w:val="24"/>
              </w:rPr>
              <w:t xml:space="preserve"> UV 365, šviesiai mėlyna, mėlyna, tamsiai mėlyna, žalia, tamsiai žalia, oranžinė, raudona, NIR, šviesus IR, IR </w:t>
            </w:r>
            <w:proofErr w:type="spellStart"/>
            <w:r w:rsidRPr="00817B3C">
              <w:rPr>
                <w:rFonts w:ascii="Times New Roman" w:hAnsi="Times New Roman" w:cs="Times New Roman"/>
                <w:sz w:val="24"/>
                <w:szCs w:val="24"/>
              </w:rPr>
              <w:t>ir</w:t>
            </w:r>
            <w:proofErr w:type="spellEnd"/>
            <w:r w:rsidRPr="00817B3C">
              <w:rPr>
                <w:rFonts w:ascii="Times New Roman" w:hAnsi="Times New Roman" w:cs="Times New Roman"/>
                <w:sz w:val="24"/>
                <w:szCs w:val="24"/>
              </w:rPr>
              <w:t xml:space="preserve"> tolimasis IR.</w:t>
            </w:r>
          </w:p>
          <w:p w14:paraId="189B171C" w14:textId="547609BB"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Fluorescencinių </w:t>
            </w:r>
            <w:proofErr w:type="spellStart"/>
            <w:r w:rsidRPr="00817B3C">
              <w:rPr>
                <w:rFonts w:ascii="Times New Roman" w:hAnsi="Times New Roman" w:cs="Times New Roman"/>
                <w:sz w:val="24"/>
                <w:szCs w:val="24"/>
              </w:rPr>
              <w:t>imunoblotų</w:t>
            </w:r>
            <w:proofErr w:type="spellEnd"/>
            <w:r w:rsidRPr="00817B3C">
              <w:rPr>
                <w:rFonts w:ascii="Times New Roman" w:hAnsi="Times New Roman" w:cs="Times New Roman"/>
                <w:sz w:val="24"/>
                <w:szCs w:val="24"/>
              </w:rPr>
              <w:t xml:space="preserve"> vaizdų </w:t>
            </w:r>
            <w:proofErr w:type="spellStart"/>
            <w:r w:rsidRPr="00817B3C">
              <w:rPr>
                <w:rFonts w:ascii="Times New Roman" w:hAnsi="Times New Roman" w:cs="Times New Roman"/>
                <w:sz w:val="24"/>
                <w:szCs w:val="24"/>
              </w:rPr>
              <w:t>multipleksavimas</w:t>
            </w:r>
            <w:proofErr w:type="spellEnd"/>
            <w:r w:rsidRPr="00817B3C">
              <w:rPr>
                <w:rFonts w:ascii="Times New Roman" w:hAnsi="Times New Roman" w:cs="Times New Roman"/>
                <w:sz w:val="24"/>
                <w:szCs w:val="24"/>
              </w:rPr>
              <w:t>.</w:t>
            </w:r>
          </w:p>
          <w:p w14:paraId="70374D3F" w14:textId="1F580EFD"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Pasirenkami </w:t>
            </w:r>
            <w:proofErr w:type="spellStart"/>
            <w:r w:rsidRPr="00817B3C">
              <w:rPr>
                <w:rFonts w:ascii="Times New Roman" w:hAnsi="Times New Roman" w:cs="Times New Roman"/>
                <w:sz w:val="24"/>
                <w:szCs w:val="24"/>
              </w:rPr>
              <w:t>epifluorescencijos</w:t>
            </w:r>
            <w:proofErr w:type="spellEnd"/>
            <w:r w:rsidRPr="00817B3C">
              <w:rPr>
                <w:rFonts w:ascii="Times New Roman" w:hAnsi="Times New Roman" w:cs="Times New Roman"/>
                <w:sz w:val="24"/>
                <w:szCs w:val="24"/>
              </w:rPr>
              <w:t xml:space="preserve"> šviesos šaltiniai turi naudoti „</w:t>
            </w:r>
            <w:proofErr w:type="spellStart"/>
            <w:r w:rsidRPr="00817B3C">
              <w:rPr>
                <w:rFonts w:ascii="Times New Roman" w:hAnsi="Times New Roman" w:cs="Times New Roman"/>
                <w:sz w:val="24"/>
                <w:szCs w:val="24"/>
              </w:rPr>
              <w:t>Chromascan</w:t>
            </w:r>
            <w:proofErr w:type="spellEnd"/>
            <w:r w:rsidRPr="00817B3C">
              <w:rPr>
                <w:rFonts w:ascii="Times New Roman" w:hAnsi="Times New Roman" w:cs="Times New Roman"/>
                <w:sz w:val="24"/>
                <w:szCs w:val="24"/>
              </w:rPr>
              <w:t>“ arba lygiavertę technologiją.</w:t>
            </w:r>
          </w:p>
        </w:tc>
        <w:tc>
          <w:tcPr>
            <w:tcW w:w="3219" w:type="dxa"/>
          </w:tcPr>
          <w:p w14:paraId="6ECFF85B"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1A36393F" w14:textId="29A4264D" w:rsidTr="00EA7830">
        <w:tc>
          <w:tcPr>
            <w:tcW w:w="696" w:type="dxa"/>
          </w:tcPr>
          <w:p w14:paraId="462FACE3"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8.</w:t>
            </w:r>
          </w:p>
        </w:tc>
        <w:tc>
          <w:tcPr>
            <w:tcW w:w="2626" w:type="dxa"/>
          </w:tcPr>
          <w:p w14:paraId="2E085A01"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Filtrų rinkinys dažams</w:t>
            </w:r>
          </w:p>
        </w:tc>
        <w:tc>
          <w:tcPr>
            <w:tcW w:w="4226" w:type="dxa"/>
          </w:tcPr>
          <w:p w14:paraId="1171B487" w14:textId="41A9ABAE"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Chromascan</w:t>
            </w:r>
            <w:proofErr w:type="spellEnd"/>
            <w:r w:rsidRPr="00817B3C">
              <w:rPr>
                <w:rFonts w:ascii="Times New Roman" w:hAnsi="Times New Roman" w:cs="Times New Roman"/>
                <w:sz w:val="24"/>
                <w:szCs w:val="24"/>
              </w:rPr>
              <w:t>“ tipo arba lygiaverčiai moduliai, ne mažiau 2 vnt.</w:t>
            </w:r>
          </w:p>
          <w:p w14:paraId="525BDC01" w14:textId="77777777" w:rsidR="00EA7830"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Sužadinimas 480</w:t>
            </w:r>
            <w:r>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nm</w:t>
            </w:r>
            <w:proofErr w:type="spellEnd"/>
            <w:r w:rsidRPr="00817B3C">
              <w:rPr>
                <w:rFonts w:ascii="Times New Roman" w:hAnsi="Times New Roman" w:cs="Times New Roman"/>
                <w:sz w:val="24"/>
                <w:szCs w:val="24"/>
              </w:rPr>
              <w:t xml:space="preserve"> – tinkami dažams:</w:t>
            </w:r>
          </w:p>
          <w:p w14:paraId="4BFCAE50" w14:textId="57FEB793"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FITC, </w:t>
            </w:r>
            <w:proofErr w:type="spellStart"/>
            <w:r w:rsidRPr="00817B3C">
              <w:rPr>
                <w:rFonts w:ascii="Times New Roman" w:hAnsi="Times New Roman" w:cs="Times New Roman"/>
                <w:sz w:val="24"/>
                <w:szCs w:val="24"/>
              </w:rPr>
              <w:t>Alexa</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Fluor</w:t>
            </w:r>
            <w:proofErr w:type="spellEnd"/>
            <w:r w:rsidRPr="00817B3C">
              <w:rPr>
                <w:rFonts w:ascii="Times New Roman" w:hAnsi="Times New Roman" w:cs="Times New Roman"/>
                <w:sz w:val="24"/>
                <w:szCs w:val="24"/>
              </w:rPr>
              <w:t xml:space="preserve"> 488, GFP, SYTOX </w:t>
            </w:r>
            <w:proofErr w:type="spellStart"/>
            <w:r w:rsidRPr="00817B3C">
              <w:rPr>
                <w:rFonts w:ascii="Times New Roman" w:hAnsi="Times New Roman" w:cs="Times New Roman"/>
                <w:sz w:val="24"/>
                <w:szCs w:val="24"/>
              </w:rPr>
              <w:t>Green</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Fluorescein</w:t>
            </w:r>
            <w:proofErr w:type="spellEnd"/>
            <w:r w:rsidRPr="00817B3C">
              <w:rPr>
                <w:rFonts w:ascii="Times New Roman" w:hAnsi="Times New Roman" w:cs="Times New Roman"/>
                <w:sz w:val="24"/>
                <w:szCs w:val="24"/>
              </w:rPr>
              <w:t xml:space="preserve">, Cy2, </w:t>
            </w:r>
            <w:proofErr w:type="spellStart"/>
            <w:r w:rsidRPr="00817B3C">
              <w:rPr>
                <w:rFonts w:ascii="Times New Roman" w:hAnsi="Times New Roman" w:cs="Times New Roman"/>
                <w:sz w:val="24"/>
                <w:szCs w:val="24"/>
              </w:rPr>
              <w:t>Sypro</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Ruby</w:t>
            </w:r>
            <w:proofErr w:type="spellEnd"/>
            <w:r w:rsidRPr="00817B3C">
              <w:rPr>
                <w:rFonts w:ascii="Times New Roman" w:hAnsi="Times New Roman" w:cs="Times New Roman"/>
                <w:sz w:val="24"/>
                <w:szCs w:val="24"/>
              </w:rPr>
              <w:t>, DyLight488filtrų rinkinys F-550.</w:t>
            </w:r>
          </w:p>
          <w:p w14:paraId="37B80CE7" w14:textId="5947387B"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Sužadinimas 640</w:t>
            </w:r>
            <w:r>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nm</w:t>
            </w:r>
            <w:proofErr w:type="spellEnd"/>
            <w:r w:rsidRPr="00817B3C">
              <w:rPr>
                <w:rFonts w:ascii="Times New Roman" w:hAnsi="Times New Roman" w:cs="Times New Roman"/>
                <w:sz w:val="24"/>
                <w:szCs w:val="24"/>
              </w:rPr>
              <w:t xml:space="preserve"> – tinkami dažams: </w:t>
            </w:r>
            <w:proofErr w:type="spellStart"/>
            <w:r w:rsidRPr="00817B3C">
              <w:rPr>
                <w:rFonts w:ascii="Times New Roman" w:hAnsi="Times New Roman" w:cs="Times New Roman"/>
                <w:sz w:val="24"/>
                <w:szCs w:val="24"/>
              </w:rPr>
              <w:t>Alexa</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Fluor</w:t>
            </w:r>
            <w:proofErr w:type="spellEnd"/>
            <w:r w:rsidRPr="00817B3C">
              <w:rPr>
                <w:rFonts w:ascii="Times New Roman" w:hAnsi="Times New Roman" w:cs="Times New Roman"/>
                <w:sz w:val="24"/>
                <w:szCs w:val="24"/>
              </w:rPr>
              <w:t xml:space="preserve"> 647, Cy5, APC, Atto633, </w:t>
            </w:r>
            <w:proofErr w:type="spellStart"/>
            <w:r w:rsidRPr="00817B3C">
              <w:rPr>
                <w:rFonts w:ascii="Times New Roman" w:hAnsi="Times New Roman" w:cs="Times New Roman"/>
                <w:sz w:val="24"/>
                <w:szCs w:val="24"/>
              </w:rPr>
              <w:t>Atto</w:t>
            </w:r>
            <w:proofErr w:type="spellEnd"/>
            <w:r w:rsidRPr="00817B3C">
              <w:rPr>
                <w:rFonts w:ascii="Times New Roman" w:hAnsi="Times New Roman" w:cs="Times New Roman"/>
                <w:sz w:val="24"/>
                <w:szCs w:val="24"/>
              </w:rPr>
              <w:t xml:space="preserve"> 647N, </w:t>
            </w:r>
            <w:proofErr w:type="spellStart"/>
            <w:r w:rsidRPr="00817B3C">
              <w:rPr>
                <w:rFonts w:ascii="Times New Roman" w:hAnsi="Times New Roman" w:cs="Times New Roman"/>
                <w:sz w:val="24"/>
                <w:szCs w:val="24"/>
              </w:rPr>
              <w:t>DyLight</w:t>
            </w:r>
            <w:proofErr w:type="spellEnd"/>
            <w:r w:rsidRPr="00817B3C">
              <w:rPr>
                <w:rFonts w:ascii="Times New Roman" w:hAnsi="Times New Roman" w:cs="Times New Roman"/>
                <w:sz w:val="24"/>
                <w:szCs w:val="24"/>
              </w:rPr>
              <w:t xml:space="preserve"> 633, </w:t>
            </w:r>
            <w:proofErr w:type="spellStart"/>
            <w:r w:rsidRPr="00817B3C">
              <w:rPr>
                <w:rFonts w:ascii="Times New Roman" w:hAnsi="Times New Roman" w:cs="Times New Roman"/>
                <w:sz w:val="24"/>
                <w:szCs w:val="24"/>
              </w:rPr>
              <w:t>DyLight</w:t>
            </w:r>
            <w:proofErr w:type="spellEnd"/>
            <w:r w:rsidRPr="00817B3C">
              <w:rPr>
                <w:rFonts w:ascii="Times New Roman" w:hAnsi="Times New Roman" w:cs="Times New Roman"/>
                <w:sz w:val="24"/>
                <w:szCs w:val="24"/>
              </w:rPr>
              <w:t xml:space="preserve"> 650; filtrų rinkinys F-700. </w:t>
            </w:r>
          </w:p>
        </w:tc>
        <w:tc>
          <w:tcPr>
            <w:tcW w:w="3219" w:type="dxa"/>
          </w:tcPr>
          <w:p w14:paraId="195E1E09"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38FCC9B4" w14:textId="53ABFF22" w:rsidTr="00EA7830">
        <w:tc>
          <w:tcPr>
            <w:tcW w:w="696" w:type="dxa"/>
          </w:tcPr>
          <w:p w14:paraId="2D3EF41D"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9.</w:t>
            </w:r>
          </w:p>
        </w:tc>
        <w:tc>
          <w:tcPr>
            <w:tcW w:w="2626" w:type="dxa"/>
          </w:tcPr>
          <w:p w14:paraId="6327C849"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Emisijos filtrai</w:t>
            </w:r>
          </w:p>
        </w:tc>
        <w:tc>
          <w:tcPr>
            <w:tcW w:w="4226" w:type="dxa"/>
          </w:tcPr>
          <w:p w14:paraId="5BCE8202"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Ne mažesnis nei 8 padėčių motorizuotas filtrų ratas (+1 laisva padėtis </w:t>
            </w:r>
            <w:proofErr w:type="spellStart"/>
            <w:r w:rsidRPr="00817B3C">
              <w:rPr>
                <w:rFonts w:ascii="Times New Roman" w:hAnsi="Times New Roman" w:cs="Times New Roman"/>
                <w:sz w:val="24"/>
                <w:szCs w:val="24"/>
              </w:rPr>
              <w:t>chemiluminescencijai</w:t>
            </w:r>
            <w:proofErr w:type="spellEnd"/>
            <w:r w:rsidRPr="00817B3C">
              <w:rPr>
                <w:rFonts w:ascii="Times New Roman" w:hAnsi="Times New Roman" w:cs="Times New Roman"/>
                <w:sz w:val="24"/>
                <w:szCs w:val="24"/>
              </w:rPr>
              <w:t>).</w:t>
            </w:r>
          </w:p>
          <w:p w14:paraId="6F4AFACD" w14:textId="1C5E714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 Emisijos filtruose naudojama konfokalinio disko arba lygiavertė technologija.</w:t>
            </w:r>
          </w:p>
        </w:tc>
        <w:tc>
          <w:tcPr>
            <w:tcW w:w="3219" w:type="dxa"/>
          </w:tcPr>
          <w:p w14:paraId="08679019" w14:textId="77777777" w:rsidR="00EA7830" w:rsidRPr="00817B3C" w:rsidRDefault="00EA7830" w:rsidP="00817B3C">
            <w:pPr>
              <w:spacing w:line="360" w:lineRule="auto"/>
              <w:rPr>
                <w:rFonts w:ascii="Times New Roman" w:hAnsi="Times New Roman" w:cs="Times New Roman"/>
                <w:sz w:val="24"/>
                <w:szCs w:val="24"/>
              </w:rPr>
            </w:pPr>
          </w:p>
        </w:tc>
      </w:tr>
      <w:tr w:rsidR="00EA7830" w:rsidRPr="00817B3C" w14:paraId="4890D82C" w14:textId="4FDF1FC5" w:rsidTr="00EA7830">
        <w:tc>
          <w:tcPr>
            <w:tcW w:w="696" w:type="dxa"/>
          </w:tcPr>
          <w:p w14:paraId="54D2C978"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10.</w:t>
            </w:r>
          </w:p>
        </w:tc>
        <w:tc>
          <w:tcPr>
            <w:tcW w:w="2626" w:type="dxa"/>
          </w:tcPr>
          <w:p w14:paraId="3587DA95"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Duomenų eksportavimas</w:t>
            </w:r>
          </w:p>
        </w:tc>
        <w:tc>
          <w:tcPr>
            <w:tcW w:w="4226" w:type="dxa"/>
          </w:tcPr>
          <w:p w14:paraId="37D965BD" w14:textId="055BC029"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 xml:space="preserve"> USB</w:t>
            </w:r>
            <w:r>
              <w:rPr>
                <w:rFonts w:ascii="Times New Roman" w:hAnsi="Times New Roman" w:cs="Times New Roman"/>
                <w:sz w:val="24"/>
                <w:szCs w:val="24"/>
              </w:rPr>
              <w:t>,</w:t>
            </w:r>
            <w:r w:rsidRPr="00817B3C">
              <w:rPr>
                <w:rFonts w:ascii="Times New Roman" w:hAnsi="Times New Roman" w:cs="Times New Roman"/>
                <w:sz w:val="24"/>
                <w:szCs w:val="24"/>
              </w:rPr>
              <w:t xml:space="preserve"> LAN jungtis arba lygiavertė</w:t>
            </w:r>
            <w:r>
              <w:rPr>
                <w:rFonts w:ascii="Times New Roman" w:hAnsi="Times New Roman" w:cs="Times New Roman"/>
                <w:sz w:val="24"/>
                <w:szCs w:val="24"/>
              </w:rPr>
              <w:t>s</w:t>
            </w:r>
            <w:r w:rsidRPr="00817B3C">
              <w:rPr>
                <w:rFonts w:ascii="Times New Roman" w:hAnsi="Times New Roman" w:cs="Times New Roman"/>
                <w:sz w:val="24"/>
                <w:szCs w:val="24"/>
              </w:rPr>
              <w:t>.</w:t>
            </w:r>
          </w:p>
        </w:tc>
        <w:tc>
          <w:tcPr>
            <w:tcW w:w="3219" w:type="dxa"/>
          </w:tcPr>
          <w:p w14:paraId="3DD29D9C" w14:textId="77777777" w:rsidR="00EA7830" w:rsidRPr="00817B3C" w:rsidRDefault="00EA7830" w:rsidP="00817B3C">
            <w:pPr>
              <w:spacing w:line="360" w:lineRule="auto"/>
              <w:jc w:val="both"/>
              <w:rPr>
                <w:rFonts w:ascii="Times New Roman" w:hAnsi="Times New Roman" w:cs="Times New Roman"/>
                <w:sz w:val="24"/>
                <w:szCs w:val="24"/>
              </w:rPr>
            </w:pPr>
          </w:p>
        </w:tc>
      </w:tr>
      <w:tr w:rsidR="00EA7830" w:rsidRPr="00817B3C" w14:paraId="06965705" w14:textId="02CF9AA9" w:rsidTr="00EA7830">
        <w:tc>
          <w:tcPr>
            <w:tcW w:w="696" w:type="dxa"/>
          </w:tcPr>
          <w:p w14:paraId="77C1FB0E"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lastRenderedPageBreak/>
              <w:t>11.</w:t>
            </w:r>
          </w:p>
        </w:tc>
        <w:tc>
          <w:tcPr>
            <w:tcW w:w="2626" w:type="dxa"/>
          </w:tcPr>
          <w:p w14:paraId="67C93794" w14:textId="7777777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Programinė įranga</w:t>
            </w:r>
          </w:p>
        </w:tc>
        <w:tc>
          <w:tcPr>
            <w:tcW w:w="4226" w:type="dxa"/>
          </w:tcPr>
          <w:p w14:paraId="0FA39517" w14:textId="77777777"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Vaizdų išgavimo (</w:t>
            </w:r>
            <w:proofErr w:type="spellStart"/>
            <w:r w:rsidRPr="00817B3C">
              <w:rPr>
                <w:rFonts w:ascii="Times New Roman" w:hAnsi="Times New Roman" w:cs="Times New Roman"/>
                <w:sz w:val="24"/>
                <w:szCs w:val="24"/>
              </w:rPr>
              <w:t>acquisition</w:t>
            </w:r>
            <w:proofErr w:type="spellEnd"/>
            <w:r w:rsidRPr="00817B3C">
              <w:rPr>
                <w:rFonts w:ascii="Times New Roman" w:hAnsi="Times New Roman" w:cs="Times New Roman"/>
                <w:sz w:val="24"/>
                <w:szCs w:val="24"/>
              </w:rPr>
              <w:t>) programinė įranga su iš anksto nustatytais protokolais bei galimybe kurti individualius protokolus.</w:t>
            </w:r>
          </w:p>
          <w:p w14:paraId="3F1CB35C" w14:textId="61D56036"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Preview</w:t>
            </w:r>
            <w:proofErr w:type="spellEnd"/>
            <w:r w:rsidRPr="00817B3C">
              <w:rPr>
                <w:rFonts w:ascii="Times New Roman" w:hAnsi="Times New Roman" w:cs="Times New Roman"/>
                <w:sz w:val="24"/>
                <w:szCs w:val="24"/>
              </w:rPr>
              <w:t>“, „Auto“, „</w:t>
            </w:r>
            <w:proofErr w:type="spellStart"/>
            <w:r w:rsidRPr="00817B3C">
              <w:rPr>
                <w:rFonts w:ascii="Times New Roman" w:hAnsi="Times New Roman" w:cs="Times New Roman"/>
                <w:sz w:val="24"/>
                <w:szCs w:val="24"/>
              </w:rPr>
              <w:t>Manual</w:t>
            </w:r>
            <w:proofErr w:type="spellEnd"/>
            <w:r w:rsidRPr="00817B3C">
              <w:rPr>
                <w:rFonts w:ascii="Times New Roman" w:hAnsi="Times New Roman" w:cs="Times New Roman"/>
                <w:sz w:val="24"/>
                <w:szCs w:val="24"/>
              </w:rPr>
              <w:t>“ ir „</w:t>
            </w:r>
            <w:proofErr w:type="spellStart"/>
            <w:r w:rsidRPr="00817B3C">
              <w:rPr>
                <w:rFonts w:ascii="Times New Roman" w:hAnsi="Times New Roman" w:cs="Times New Roman"/>
                <w:sz w:val="24"/>
                <w:szCs w:val="24"/>
              </w:rPr>
              <w:t>Serial</w:t>
            </w:r>
            <w:proofErr w:type="spellEnd"/>
            <w:r w:rsidRPr="00817B3C">
              <w:rPr>
                <w:rFonts w:ascii="Times New Roman" w:hAnsi="Times New Roman" w:cs="Times New Roman"/>
                <w:sz w:val="24"/>
                <w:szCs w:val="24"/>
              </w:rPr>
              <w:t>“ režimai. „Auto“ režimu programinė įranga geba automatiškai parinkti ekspozicijos laiką ir nustatyti konkrečią vaizdo sritį, kuri bus fiksuojama.</w:t>
            </w:r>
          </w:p>
          <w:p w14:paraId="4B1997D4" w14:textId="0849ABC3"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Sistema tiekiama su licencijos nereikalaujančia standartine programine įranga neribotam naudotojų skaičiui, skirta vaizdų redagavimui ir standartinei analizei.</w:t>
            </w:r>
          </w:p>
          <w:p w14:paraId="2FE27DD4" w14:textId="1D834959"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Programinė įranga automatiškai atlieka juostų (</w:t>
            </w:r>
            <w:proofErr w:type="spellStart"/>
            <w:r w:rsidRPr="00817B3C">
              <w:rPr>
                <w:rFonts w:ascii="Times New Roman" w:hAnsi="Times New Roman" w:cs="Times New Roman"/>
                <w:sz w:val="24"/>
                <w:szCs w:val="24"/>
              </w:rPr>
              <w:t>band</w:t>
            </w:r>
            <w:proofErr w:type="spellEnd"/>
            <w:r w:rsidRPr="00817B3C">
              <w:rPr>
                <w:rFonts w:ascii="Times New Roman" w:hAnsi="Times New Roman" w:cs="Times New Roman"/>
                <w:sz w:val="24"/>
                <w:szCs w:val="24"/>
              </w:rPr>
              <w:t xml:space="preserve">) atpažinimą, analizę, molekulinės masės nustatymą, kiekybinį įvertinimą bei palaiko </w:t>
            </w:r>
            <w:proofErr w:type="spellStart"/>
            <w:r w:rsidRPr="00817B3C">
              <w:rPr>
                <w:rFonts w:ascii="Times New Roman" w:hAnsi="Times New Roman" w:cs="Times New Roman"/>
                <w:sz w:val="24"/>
                <w:szCs w:val="24"/>
              </w:rPr>
              <w:t>chemiliuminescencinių</w:t>
            </w:r>
            <w:proofErr w:type="spellEnd"/>
            <w:r w:rsidRPr="00817B3C">
              <w:rPr>
                <w:rFonts w:ascii="Times New Roman" w:hAnsi="Times New Roman" w:cs="Times New Roman"/>
                <w:sz w:val="24"/>
                <w:szCs w:val="24"/>
              </w:rPr>
              <w:t xml:space="preserve"> ir fluorescencinių </w:t>
            </w:r>
            <w:proofErr w:type="spellStart"/>
            <w:r w:rsidRPr="00817B3C">
              <w:rPr>
                <w:rFonts w:ascii="Times New Roman" w:hAnsi="Times New Roman" w:cs="Times New Roman"/>
                <w:sz w:val="24"/>
                <w:szCs w:val="24"/>
              </w:rPr>
              <w:t>imunoblotų</w:t>
            </w:r>
            <w:proofErr w:type="spellEnd"/>
            <w:r w:rsidRPr="00817B3C">
              <w:rPr>
                <w:rFonts w:ascii="Times New Roman" w:hAnsi="Times New Roman" w:cs="Times New Roman"/>
                <w:sz w:val="24"/>
                <w:szCs w:val="24"/>
              </w:rPr>
              <w:t xml:space="preserve">, taškinių </w:t>
            </w:r>
            <w:proofErr w:type="spellStart"/>
            <w:r w:rsidRPr="00817B3C">
              <w:rPr>
                <w:rFonts w:ascii="Times New Roman" w:hAnsi="Times New Roman" w:cs="Times New Roman"/>
                <w:sz w:val="24"/>
                <w:szCs w:val="24"/>
              </w:rPr>
              <w:t>blotų</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spot</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blot</w:t>
            </w:r>
            <w:proofErr w:type="spellEnd"/>
            <w:r w:rsidRPr="00817B3C">
              <w:rPr>
                <w:rFonts w:ascii="Times New Roman" w:hAnsi="Times New Roman" w:cs="Times New Roman"/>
                <w:sz w:val="24"/>
                <w:szCs w:val="24"/>
              </w:rPr>
              <w:t>), 1D DNR</w:t>
            </w:r>
            <w:r>
              <w:rPr>
                <w:rFonts w:ascii="Times New Roman" w:hAnsi="Times New Roman" w:cs="Times New Roman"/>
                <w:sz w:val="24"/>
                <w:szCs w:val="24"/>
              </w:rPr>
              <w:t xml:space="preserve"> ir </w:t>
            </w:r>
            <w:r w:rsidRPr="00817B3C">
              <w:rPr>
                <w:rFonts w:ascii="Times New Roman" w:hAnsi="Times New Roman" w:cs="Times New Roman"/>
                <w:sz w:val="24"/>
                <w:szCs w:val="24"/>
              </w:rPr>
              <w:t>RNR gelių ir baltymų gelių analizę.</w:t>
            </w:r>
          </w:p>
          <w:p w14:paraId="1F01F161" w14:textId="0D6C3157"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 xml:space="preserve"> Programinė įranga siūlo „</w:t>
            </w:r>
            <w:proofErr w:type="spellStart"/>
            <w:r w:rsidRPr="00817B3C">
              <w:rPr>
                <w:rFonts w:ascii="Times New Roman" w:hAnsi="Times New Roman" w:cs="Times New Roman"/>
                <w:sz w:val="24"/>
                <w:szCs w:val="24"/>
              </w:rPr>
              <w:t>live</w:t>
            </w:r>
            <w:proofErr w:type="spellEnd"/>
            <w:r w:rsidRPr="00817B3C">
              <w:rPr>
                <w:rFonts w:ascii="Times New Roman" w:hAnsi="Times New Roman" w:cs="Times New Roman"/>
                <w:sz w:val="24"/>
                <w:szCs w:val="24"/>
              </w:rPr>
              <w:t>“ ir „live-3D“ režimus vaizdų fiksavimo metu, palaikančius visas fluorescencines taikymo sritis.</w:t>
            </w:r>
          </w:p>
          <w:p w14:paraId="676D7E0C" w14:textId="62C9B076"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 xml:space="preserve"> Yra galimybė po vaizdo fiksavimo jį peržiūrėti 3D režimu, invertuoti spalvas, rodyti arba nerodyti </w:t>
            </w:r>
            <w:proofErr w:type="spellStart"/>
            <w:r w:rsidRPr="00817B3C">
              <w:rPr>
                <w:rFonts w:ascii="Times New Roman" w:hAnsi="Times New Roman" w:cs="Times New Roman"/>
                <w:sz w:val="24"/>
                <w:szCs w:val="24"/>
              </w:rPr>
              <w:t>saturaciją</w:t>
            </w:r>
            <w:proofErr w:type="spellEnd"/>
            <w:r w:rsidRPr="00817B3C">
              <w:rPr>
                <w:rFonts w:ascii="Times New Roman" w:hAnsi="Times New Roman" w:cs="Times New Roman"/>
                <w:sz w:val="24"/>
                <w:szCs w:val="24"/>
              </w:rPr>
              <w:t xml:space="preserve"> bei pridėti anotacijas, </w:t>
            </w:r>
            <w:proofErr w:type="spellStart"/>
            <w:r w:rsidRPr="00817B3C">
              <w:rPr>
                <w:rFonts w:ascii="Times New Roman" w:hAnsi="Times New Roman" w:cs="Times New Roman"/>
                <w:sz w:val="24"/>
                <w:szCs w:val="24"/>
              </w:rPr>
              <w:t>flat</w:t>
            </w:r>
            <w:proofErr w:type="spellEnd"/>
            <w:r w:rsidRPr="00817B3C">
              <w:rPr>
                <w:rFonts w:ascii="Times New Roman" w:hAnsi="Times New Roman" w:cs="Times New Roman"/>
                <w:sz w:val="24"/>
                <w:szCs w:val="24"/>
              </w:rPr>
              <w:t xml:space="preserve"> </w:t>
            </w:r>
            <w:proofErr w:type="spellStart"/>
            <w:r w:rsidRPr="00817B3C">
              <w:rPr>
                <w:rFonts w:ascii="Times New Roman" w:hAnsi="Times New Roman" w:cs="Times New Roman"/>
                <w:sz w:val="24"/>
                <w:szCs w:val="24"/>
              </w:rPr>
              <w:t>field</w:t>
            </w:r>
            <w:proofErr w:type="spellEnd"/>
            <w:r w:rsidRPr="00817B3C">
              <w:rPr>
                <w:rFonts w:ascii="Times New Roman" w:hAnsi="Times New Roman" w:cs="Times New Roman"/>
                <w:sz w:val="24"/>
                <w:szCs w:val="24"/>
              </w:rPr>
              <w:t>“ funkcija netolygaus apšvietimo intensyvumo korekcijai tiek fono, tiek signalo atžvilgiu. Procentinės pilkos spalvos intensyvumo išraiškos galimybė. Pateikiama histograma grafiniam duomenų atvaizdavimui.</w:t>
            </w:r>
          </w:p>
          <w:p w14:paraId="35DD8E72" w14:textId="13EB49BB"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lastRenderedPageBreak/>
              <w:t xml:space="preserve">Parodoma konkrečios juostos užfiksuoti pilkos spalvos lygiai, tiesiog palietus atitinkamą vietą ekrane, įterpia ir sujungia spalvinio arba juodai balto žymeklio vaizdą, pasirenkant mėginį, kad būtų galima tiesiogiai palyginti baltymą su žymekliu. </w:t>
            </w:r>
            <w:proofErr w:type="spellStart"/>
            <w:r w:rsidRPr="00817B3C">
              <w:rPr>
                <w:rFonts w:ascii="Times New Roman" w:hAnsi="Times New Roman" w:cs="Times New Roman"/>
                <w:sz w:val="24"/>
                <w:szCs w:val="24"/>
              </w:rPr>
              <w:t>Multipleksuotų</w:t>
            </w:r>
            <w:proofErr w:type="spellEnd"/>
            <w:r w:rsidRPr="00817B3C">
              <w:rPr>
                <w:rFonts w:ascii="Times New Roman" w:hAnsi="Times New Roman" w:cs="Times New Roman"/>
                <w:sz w:val="24"/>
                <w:szCs w:val="24"/>
              </w:rPr>
              <w:t xml:space="preserve"> vaizdų rodymo galimybė.</w:t>
            </w:r>
          </w:p>
          <w:p w14:paraId="0FAE822F" w14:textId="34262858"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Fono koregavimas ir pilkos spalvos lygio skalės reguliavimas galimi tik atvaizdavimui, nekeičiant duomenų vientisumo.</w:t>
            </w:r>
          </w:p>
          <w:p w14:paraId="406C993C" w14:textId="0DA4E878" w:rsidR="00EA7830"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 xml:space="preserve"> Programinė įranga išsaugoja vaizdus</w:t>
            </w:r>
            <w:r>
              <w:rPr>
                <w:rFonts w:ascii="Times New Roman" w:hAnsi="Times New Roman" w:cs="Times New Roman"/>
                <w:sz w:val="24"/>
                <w:szCs w:val="24"/>
              </w:rPr>
              <w:t xml:space="preserve"> ne mažiau kaip:</w:t>
            </w:r>
          </w:p>
          <w:p w14:paraId="34C50597" w14:textId="7F782D3E"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 xml:space="preserve"> TIFF, </w:t>
            </w:r>
            <w:proofErr w:type="spellStart"/>
            <w:r w:rsidRPr="00817B3C">
              <w:rPr>
                <w:rFonts w:ascii="Times New Roman" w:hAnsi="Times New Roman" w:cs="Times New Roman"/>
                <w:sz w:val="24"/>
                <w:szCs w:val="24"/>
              </w:rPr>
              <w:t>Tagged</w:t>
            </w:r>
            <w:proofErr w:type="spellEnd"/>
            <w:r w:rsidRPr="00817B3C">
              <w:rPr>
                <w:rFonts w:ascii="Times New Roman" w:hAnsi="Times New Roman" w:cs="Times New Roman"/>
                <w:sz w:val="24"/>
                <w:szCs w:val="24"/>
              </w:rPr>
              <w:t xml:space="preserve"> TIFF, JPEG arba </w:t>
            </w:r>
            <w:proofErr w:type="spellStart"/>
            <w:r w:rsidRPr="00817B3C">
              <w:rPr>
                <w:rFonts w:ascii="Times New Roman" w:hAnsi="Times New Roman" w:cs="Times New Roman"/>
                <w:sz w:val="24"/>
                <w:szCs w:val="24"/>
              </w:rPr>
              <w:t>Bitmap</w:t>
            </w:r>
            <w:proofErr w:type="spellEnd"/>
            <w:r w:rsidRPr="00817B3C">
              <w:rPr>
                <w:rFonts w:ascii="Times New Roman" w:hAnsi="Times New Roman" w:cs="Times New Roman"/>
                <w:sz w:val="24"/>
                <w:szCs w:val="24"/>
              </w:rPr>
              <w:t xml:space="preserve"> formatais, palaikant 16 bitų arba 8 bitų vaizdus.</w:t>
            </w:r>
          </w:p>
          <w:p w14:paraId="560AC58E" w14:textId="5539D714"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Vaizdai automatiškai išsaugomi integruotoje galerijoje.</w:t>
            </w:r>
          </w:p>
        </w:tc>
        <w:tc>
          <w:tcPr>
            <w:tcW w:w="3219" w:type="dxa"/>
          </w:tcPr>
          <w:p w14:paraId="716CE5FC" w14:textId="77777777" w:rsidR="00EA7830" w:rsidRPr="00817B3C" w:rsidRDefault="00EA7830" w:rsidP="00817B3C">
            <w:pPr>
              <w:spacing w:line="360" w:lineRule="auto"/>
              <w:jc w:val="both"/>
              <w:rPr>
                <w:rFonts w:ascii="Times New Roman" w:hAnsi="Times New Roman" w:cs="Times New Roman"/>
                <w:sz w:val="24"/>
                <w:szCs w:val="24"/>
              </w:rPr>
            </w:pPr>
          </w:p>
        </w:tc>
      </w:tr>
      <w:tr w:rsidR="00EA7830" w:rsidRPr="00817B3C" w14:paraId="61EA7C6F" w14:textId="07DFB51B" w:rsidTr="00EA7830">
        <w:tc>
          <w:tcPr>
            <w:tcW w:w="696" w:type="dxa"/>
          </w:tcPr>
          <w:p w14:paraId="7E9C7697" w14:textId="29F65D90"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12.</w:t>
            </w:r>
          </w:p>
        </w:tc>
        <w:tc>
          <w:tcPr>
            <w:tcW w:w="2626" w:type="dxa"/>
          </w:tcPr>
          <w:p w14:paraId="537E8068" w14:textId="77777777"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Instrukcijos</w:t>
            </w:r>
          </w:p>
        </w:tc>
        <w:tc>
          <w:tcPr>
            <w:tcW w:w="4226" w:type="dxa"/>
          </w:tcPr>
          <w:p w14:paraId="3710F1DE" w14:textId="77777777"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hAnsi="Times New Roman" w:cs="Times New Roman"/>
                <w:sz w:val="24"/>
                <w:szCs w:val="24"/>
              </w:rPr>
              <w:t>Tiekėjas turi pateikti detalų vartotojo vadovą anglų arba lietuvių kalba.</w:t>
            </w:r>
          </w:p>
        </w:tc>
        <w:tc>
          <w:tcPr>
            <w:tcW w:w="3219" w:type="dxa"/>
          </w:tcPr>
          <w:p w14:paraId="2C337AF7" w14:textId="77777777" w:rsidR="00EA7830" w:rsidRPr="00817B3C" w:rsidRDefault="00EA7830" w:rsidP="00817B3C">
            <w:pPr>
              <w:spacing w:line="360" w:lineRule="auto"/>
              <w:jc w:val="both"/>
              <w:rPr>
                <w:rFonts w:ascii="Times New Roman" w:hAnsi="Times New Roman" w:cs="Times New Roman"/>
                <w:sz w:val="24"/>
                <w:szCs w:val="24"/>
              </w:rPr>
            </w:pPr>
          </w:p>
        </w:tc>
      </w:tr>
      <w:tr w:rsidR="00EA7830" w:rsidRPr="00817B3C" w14:paraId="3492D5ED" w14:textId="2D6886A2" w:rsidTr="00EA7830">
        <w:tc>
          <w:tcPr>
            <w:tcW w:w="696" w:type="dxa"/>
          </w:tcPr>
          <w:p w14:paraId="4755E92C" w14:textId="47DEA8EC"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13.</w:t>
            </w:r>
          </w:p>
        </w:tc>
        <w:tc>
          <w:tcPr>
            <w:tcW w:w="2626" w:type="dxa"/>
          </w:tcPr>
          <w:p w14:paraId="45DF16E6" w14:textId="41E56E9A" w:rsidR="00EA7830" w:rsidRPr="00817B3C" w:rsidRDefault="00EA7830" w:rsidP="00817B3C">
            <w:pPr>
              <w:spacing w:line="360" w:lineRule="auto"/>
              <w:rPr>
                <w:rFonts w:ascii="Times New Roman" w:hAnsi="Times New Roman" w:cs="Times New Roman"/>
                <w:sz w:val="24"/>
                <w:szCs w:val="24"/>
              </w:rPr>
            </w:pPr>
            <w:r>
              <w:rPr>
                <w:rFonts w:ascii="Times New Roman" w:hAnsi="Times New Roman" w:cs="Times New Roman"/>
                <w:sz w:val="24"/>
                <w:szCs w:val="24"/>
              </w:rPr>
              <w:t>Gelių dokumentavimo sistemos g</w:t>
            </w:r>
            <w:r w:rsidRPr="00817B3C">
              <w:rPr>
                <w:rFonts w:ascii="Times New Roman" w:hAnsi="Times New Roman" w:cs="Times New Roman"/>
                <w:sz w:val="24"/>
                <w:szCs w:val="24"/>
              </w:rPr>
              <w:t xml:space="preserve">arantija </w:t>
            </w:r>
          </w:p>
        </w:tc>
        <w:tc>
          <w:tcPr>
            <w:tcW w:w="4226" w:type="dxa"/>
          </w:tcPr>
          <w:p w14:paraId="1A7E4E33" w14:textId="739C1283" w:rsidR="00EA7830" w:rsidRPr="00817B3C" w:rsidRDefault="00EA7830" w:rsidP="00817B3C">
            <w:pPr>
              <w:spacing w:line="360" w:lineRule="auto"/>
              <w:jc w:val="both"/>
              <w:rPr>
                <w:rFonts w:ascii="Times New Roman" w:hAnsi="Times New Roman" w:cs="Times New Roman"/>
                <w:sz w:val="24"/>
                <w:szCs w:val="24"/>
              </w:rPr>
            </w:pPr>
            <w:r w:rsidRPr="000E3FEB">
              <w:rPr>
                <w:rFonts w:ascii="Times New Roman" w:hAnsi="Times New Roman" w:cs="Times New Roman"/>
                <w:sz w:val="24"/>
                <w:szCs w:val="24"/>
              </w:rPr>
              <w:t>Ne mažiau nei 36</w:t>
            </w:r>
            <w:r w:rsidRPr="00817B3C">
              <w:rPr>
                <w:rFonts w:ascii="Times New Roman" w:hAnsi="Times New Roman" w:cs="Times New Roman"/>
                <w:sz w:val="24"/>
                <w:szCs w:val="24"/>
              </w:rPr>
              <w:t xml:space="preserve"> mėn., išskyrus filtrus ir </w:t>
            </w:r>
            <w:proofErr w:type="spellStart"/>
            <w:r w:rsidRPr="00817B3C">
              <w:rPr>
                <w:rFonts w:ascii="Times New Roman" w:hAnsi="Times New Roman" w:cs="Times New Roman"/>
                <w:sz w:val="24"/>
                <w:szCs w:val="24"/>
              </w:rPr>
              <w:t>transiliuminatoriaus</w:t>
            </w:r>
            <w:proofErr w:type="spellEnd"/>
            <w:r w:rsidRPr="00817B3C">
              <w:rPr>
                <w:rFonts w:ascii="Times New Roman" w:hAnsi="Times New Roman" w:cs="Times New Roman"/>
                <w:sz w:val="24"/>
                <w:szCs w:val="24"/>
              </w:rPr>
              <w:t xml:space="preserve"> lempas. </w:t>
            </w:r>
          </w:p>
        </w:tc>
        <w:tc>
          <w:tcPr>
            <w:tcW w:w="3219" w:type="dxa"/>
          </w:tcPr>
          <w:p w14:paraId="1E01AE19" w14:textId="77777777" w:rsidR="00EA7830" w:rsidRPr="00817B3C" w:rsidRDefault="00EA7830" w:rsidP="00817B3C">
            <w:pPr>
              <w:spacing w:line="360" w:lineRule="auto"/>
              <w:jc w:val="both"/>
              <w:rPr>
                <w:rFonts w:ascii="Times New Roman" w:hAnsi="Times New Roman" w:cs="Times New Roman"/>
                <w:sz w:val="24"/>
                <w:szCs w:val="24"/>
              </w:rPr>
            </w:pPr>
          </w:p>
        </w:tc>
      </w:tr>
      <w:tr w:rsidR="00EA7830" w:rsidRPr="00817B3C" w14:paraId="1C5D78B4" w14:textId="62E744DA" w:rsidTr="00EA7830">
        <w:tc>
          <w:tcPr>
            <w:tcW w:w="696" w:type="dxa"/>
          </w:tcPr>
          <w:p w14:paraId="0917556E" w14:textId="4B713EA9"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14.</w:t>
            </w:r>
          </w:p>
        </w:tc>
        <w:tc>
          <w:tcPr>
            <w:tcW w:w="2626" w:type="dxa"/>
          </w:tcPr>
          <w:p w14:paraId="5F3508A4" w14:textId="1B3B9822"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 xml:space="preserve">Vaizdinimo mėginių sistemos dalis </w:t>
            </w:r>
          </w:p>
        </w:tc>
        <w:tc>
          <w:tcPr>
            <w:tcW w:w="4226" w:type="dxa"/>
          </w:tcPr>
          <w:p w14:paraId="109977D0" w14:textId="48EEC9D8" w:rsidR="00EA7830" w:rsidRPr="00817B3C" w:rsidRDefault="00EA7830" w:rsidP="00817B3C">
            <w:pPr>
              <w:spacing w:line="360" w:lineRule="auto"/>
              <w:jc w:val="both"/>
              <w:rPr>
                <w:rFonts w:ascii="Times New Roman" w:hAnsi="Times New Roman" w:cs="Times New Roman"/>
                <w:sz w:val="24"/>
                <w:szCs w:val="24"/>
              </w:rPr>
            </w:pPr>
            <w:proofErr w:type="spellStart"/>
            <w:r w:rsidRPr="00817B3C">
              <w:rPr>
                <w:rFonts w:ascii="Times New Roman" w:hAnsi="Times New Roman" w:cs="Times New Roman"/>
                <w:sz w:val="24"/>
                <w:szCs w:val="24"/>
              </w:rPr>
              <w:t>Laminaras</w:t>
            </w:r>
            <w:proofErr w:type="spellEnd"/>
            <w:r w:rsidRPr="00817B3C">
              <w:rPr>
                <w:rFonts w:ascii="Times New Roman" w:hAnsi="Times New Roman" w:cs="Times New Roman"/>
                <w:sz w:val="24"/>
                <w:szCs w:val="24"/>
              </w:rPr>
              <w:t xml:space="preserve">, skirtas vaizdinimo sistemos mėginių paruošimui ir vaizdinimo sistemos patalpinimui, jeigu mėginys yra jautrus. </w:t>
            </w:r>
          </w:p>
        </w:tc>
        <w:tc>
          <w:tcPr>
            <w:tcW w:w="3219" w:type="dxa"/>
          </w:tcPr>
          <w:p w14:paraId="5D494EB0" w14:textId="77777777" w:rsidR="00EA7830" w:rsidRPr="00817B3C" w:rsidRDefault="00EA7830" w:rsidP="00817B3C">
            <w:pPr>
              <w:spacing w:line="360" w:lineRule="auto"/>
              <w:jc w:val="both"/>
              <w:rPr>
                <w:rFonts w:ascii="Times New Roman" w:hAnsi="Times New Roman" w:cs="Times New Roman"/>
                <w:sz w:val="24"/>
                <w:szCs w:val="24"/>
              </w:rPr>
            </w:pPr>
          </w:p>
        </w:tc>
      </w:tr>
      <w:tr w:rsidR="00EA7830" w:rsidRPr="00817B3C" w14:paraId="6A705A76" w14:textId="04BBEB61" w:rsidTr="00EA7830">
        <w:tc>
          <w:tcPr>
            <w:tcW w:w="696" w:type="dxa"/>
          </w:tcPr>
          <w:p w14:paraId="504C425A" w14:textId="47C87A5C"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w:t>
            </w:r>
            <w:r>
              <w:rPr>
                <w:rFonts w:ascii="Times New Roman" w:hAnsi="Times New Roman" w:cs="Times New Roman"/>
                <w:sz w:val="24"/>
                <w:szCs w:val="24"/>
              </w:rPr>
              <w:t>4.1</w:t>
            </w:r>
            <w:r w:rsidRPr="00817B3C">
              <w:rPr>
                <w:rFonts w:ascii="Times New Roman" w:hAnsi="Times New Roman" w:cs="Times New Roman"/>
                <w:sz w:val="24"/>
                <w:szCs w:val="24"/>
              </w:rPr>
              <w:t>.</w:t>
            </w:r>
          </w:p>
        </w:tc>
        <w:tc>
          <w:tcPr>
            <w:tcW w:w="2626" w:type="dxa"/>
          </w:tcPr>
          <w:p w14:paraId="189A4C1E" w14:textId="3FF4F1EB" w:rsidR="00EA7830" w:rsidRPr="00817B3C" w:rsidRDefault="00EA7830" w:rsidP="00817B3C">
            <w:pPr>
              <w:spacing w:line="360" w:lineRule="auto"/>
              <w:rPr>
                <w:rFonts w:ascii="Times New Roman" w:hAnsi="Times New Roman" w:cs="Times New Roman"/>
                <w:sz w:val="24"/>
                <w:szCs w:val="24"/>
              </w:rPr>
            </w:pPr>
            <w:r w:rsidRPr="00817B3C">
              <w:rPr>
                <w:rFonts w:ascii="Times New Roman" w:eastAsia="Calibri" w:hAnsi="Times New Roman" w:cs="Times New Roman"/>
                <w:noProof/>
                <w:sz w:val="24"/>
                <w:szCs w:val="24"/>
              </w:rPr>
              <w:t>Įrenginio tipas</w:t>
            </w:r>
          </w:p>
        </w:tc>
        <w:tc>
          <w:tcPr>
            <w:tcW w:w="4226" w:type="dxa"/>
          </w:tcPr>
          <w:p w14:paraId="7266D112" w14:textId="648CC83B" w:rsidR="00EA7830" w:rsidRPr="00817B3C" w:rsidRDefault="00EA7830" w:rsidP="00817B3C">
            <w:pPr>
              <w:spacing w:line="360" w:lineRule="auto"/>
              <w:jc w:val="both"/>
              <w:rPr>
                <w:rFonts w:ascii="Times New Roman" w:hAnsi="Times New Roman" w:cs="Times New Roman"/>
                <w:sz w:val="24"/>
                <w:szCs w:val="24"/>
              </w:rPr>
            </w:pPr>
            <w:r w:rsidRPr="00817B3C">
              <w:rPr>
                <w:rFonts w:ascii="Times New Roman" w:eastAsia="Calibri" w:hAnsi="Times New Roman" w:cs="Times New Roman"/>
                <w:noProof/>
                <w:sz w:val="24"/>
                <w:szCs w:val="24"/>
              </w:rPr>
              <w:t>Vertikalaus srauto</w:t>
            </w:r>
            <w:r>
              <w:rPr>
                <w:rFonts w:ascii="Times New Roman" w:eastAsia="Calibri" w:hAnsi="Times New Roman" w:cs="Times New Roman"/>
                <w:noProof/>
                <w:sz w:val="24"/>
                <w:szCs w:val="24"/>
              </w:rPr>
              <w:t xml:space="preserve"> ne žemesnio kaip</w:t>
            </w:r>
            <w:r w:rsidRPr="00817B3C">
              <w:rPr>
                <w:rFonts w:ascii="Times New Roman" w:eastAsia="Calibri" w:hAnsi="Times New Roman" w:cs="Times New Roman"/>
                <w:noProof/>
                <w:sz w:val="24"/>
                <w:szCs w:val="24"/>
              </w:rPr>
              <w:t xml:space="preserve"> II apsaugos lygio laminaras</w:t>
            </w:r>
          </w:p>
        </w:tc>
        <w:tc>
          <w:tcPr>
            <w:tcW w:w="3219" w:type="dxa"/>
          </w:tcPr>
          <w:p w14:paraId="38419FB0" w14:textId="77777777" w:rsidR="00EA7830" w:rsidRPr="00817B3C" w:rsidRDefault="00EA7830" w:rsidP="00817B3C">
            <w:pPr>
              <w:spacing w:line="360" w:lineRule="auto"/>
              <w:jc w:val="both"/>
              <w:rPr>
                <w:rFonts w:ascii="Times New Roman" w:eastAsia="Calibri" w:hAnsi="Times New Roman" w:cs="Times New Roman"/>
                <w:noProof/>
                <w:sz w:val="24"/>
                <w:szCs w:val="24"/>
              </w:rPr>
            </w:pPr>
          </w:p>
        </w:tc>
      </w:tr>
      <w:tr w:rsidR="00EA7830" w:rsidRPr="00817B3C" w14:paraId="0B3A76A5" w14:textId="4BBDD8EC" w:rsidTr="00EA7830">
        <w:tc>
          <w:tcPr>
            <w:tcW w:w="696" w:type="dxa"/>
          </w:tcPr>
          <w:p w14:paraId="0DC0AD29" w14:textId="0D4F1390"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w:t>
            </w:r>
            <w:r>
              <w:rPr>
                <w:rFonts w:ascii="Times New Roman" w:hAnsi="Times New Roman" w:cs="Times New Roman"/>
                <w:sz w:val="24"/>
                <w:szCs w:val="24"/>
              </w:rPr>
              <w:t>4.2</w:t>
            </w:r>
            <w:r w:rsidRPr="00817B3C">
              <w:rPr>
                <w:rFonts w:ascii="Times New Roman" w:hAnsi="Times New Roman" w:cs="Times New Roman"/>
                <w:sz w:val="24"/>
                <w:szCs w:val="24"/>
              </w:rPr>
              <w:t>.</w:t>
            </w:r>
          </w:p>
        </w:tc>
        <w:tc>
          <w:tcPr>
            <w:tcW w:w="2626" w:type="dxa"/>
          </w:tcPr>
          <w:p w14:paraId="33BFBBC9" w14:textId="7EC0BEBD"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 xml:space="preserve">Paskirtis </w:t>
            </w:r>
          </w:p>
        </w:tc>
        <w:tc>
          <w:tcPr>
            <w:tcW w:w="4226" w:type="dxa"/>
          </w:tcPr>
          <w:p w14:paraId="5D93E935" w14:textId="641D327C" w:rsidR="00EA7830" w:rsidRPr="00817B3C" w:rsidRDefault="00EA7830" w:rsidP="00360B55">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Naudojamas laboratorijose,</w:t>
            </w:r>
            <w:r>
              <w:rPr>
                <w:rFonts w:ascii="Times New Roman" w:eastAsia="Calibri" w:hAnsi="Times New Roman" w:cs="Times New Roman"/>
                <w:noProof/>
                <w:sz w:val="24"/>
                <w:szCs w:val="24"/>
              </w:rPr>
              <w:t xml:space="preserve"> dirbant su sterilumo reikalaujančiomis sistemomis bei mėginiais</w:t>
            </w:r>
          </w:p>
        </w:tc>
        <w:tc>
          <w:tcPr>
            <w:tcW w:w="3219" w:type="dxa"/>
          </w:tcPr>
          <w:p w14:paraId="4D37A6A8" w14:textId="77777777" w:rsidR="00EA7830" w:rsidRPr="00817B3C" w:rsidRDefault="00EA7830" w:rsidP="00360B55">
            <w:pPr>
              <w:spacing w:line="360" w:lineRule="auto"/>
              <w:rPr>
                <w:rFonts w:ascii="Times New Roman" w:eastAsia="Calibri" w:hAnsi="Times New Roman" w:cs="Times New Roman"/>
                <w:noProof/>
                <w:sz w:val="24"/>
                <w:szCs w:val="24"/>
              </w:rPr>
            </w:pPr>
          </w:p>
        </w:tc>
      </w:tr>
      <w:tr w:rsidR="00EA7830" w:rsidRPr="00817B3C" w14:paraId="567ED86A" w14:textId="6B1E397D" w:rsidTr="00EA7830">
        <w:tc>
          <w:tcPr>
            <w:tcW w:w="696" w:type="dxa"/>
          </w:tcPr>
          <w:p w14:paraId="5C288223" w14:textId="4F26AD6A"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w:t>
            </w:r>
            <w:r>
              <w:rPr>
                <w:rFonts w:ascii="Times New Roman" w:hAnsi="Times New Roman" w:cs="Times New Roman"/>
                <w:sz w:val="24"/>
                <w:szCs w:val="24"/>
              </w:rPr>
              <w:t>4.3</w:t>
            </w:r>
            <w:r w:rsidRPr="00817B3C">
              <w:rPr>
                <w:rFonts w:ascii="Times New Roman" w:hAnsi="Times New Roman" w:cs="Times New Roman"/>
                <w:sz w:val="24"/>
                <w:szCs w:val="24"/>
              </w:rPr>
              <w:t>.</w:t>
            </w:r>
          </w:p>
        </w:tc>
        <w:tc>
          <w:tcPr>
            <w:tcW w:w="2626" w:type="dxa"/>
          </w:tcPr>
          <w:p w14:paraId="19155960" w14:textId="3472458F"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Komplektą sudaro:</w:t>
            </w:r>
          </w:p>
        </w:tc>
        <w:tc>
          <w:tcPr>
            <w:tcW w:w="4226" w:type="dxa"/>
          </w:tcPr>
          <w:p w14:paraId="37326B93" w14:textId="7DCBB368" w:rsidR="00EA7830" w:rsidRPr="00817B3C" w:rsidRDefault="00EA7830" w:rsidP="00817B3C">
            <w:pPr>
              <w:pStyle w:val="ListParagraph"/>
              <w:numPr>
                <w:ilvl w:val="0"/>
                <w:numId w:val="2"/>
              </w:num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 xml:space="preserve">Ne mažiau kaip du HEPA filtrai: pagrindinis srauto filtras, oro pašalinimo filtras. </w:t>
            </w:r>
          </w:p>
          <w:p w14:paraId="5874B4D2" w14:textId="01C6887D" w:rsidR="00EA7830" w:rsidRPr="00817B3C" w:rsidRDefault="00EA7830" w:rsidP="00817B3C">
            <w:pPr>
              <w:pStyle w:val="ListParagraph"/>
              <w:numPr>
                <w:ilvl w:val="0"/>
                <w:numId w:val="2"/>
              </w:num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lastRenderedPageBreak/>
              <w:t>Reguliuojamo aukščio stovas, reguliavimas ne siauresnėse ribose  kaip nuo 700 mm iki 800 mm. Pagaminta</w:t>
            </w:r>
            <w:r>
              <w:rPr>
                <w:rFonts w:ascii="Times New Roman" w:eastAsia="Calibri" w:hAnsi="Times New Roman" w:cs="Times New Roman"/>
                <w:noProof/>
                <w:sz w:val="24"/>
                <w:szCs w:val="24"/>
              </w:rPr>
              <w:t>s</w:t>
            </w:r>
            <w:r w:rsidRPr="00817B3C">
              <w:rPr>
                <w:rFonts w:ascii="Times New Roman" w:eastAsia="Calibri" w:hAnsi="Times New Roman" w:cs="Times New Roman"/>
                <w:noProof/>
                <w:sz w:val="24"/>
                <w:szCs w:val="24"/>
              </w:rPr>
              <w:t xml:space="preserve"> iš plieno</w:t>
            </w:r>
            <w:r>
              <w:rPr>
                <w:rFonts w:ascii="Times New Roman" w:eastAsia="Calibri" w:hAnsi="Times New Roman" w:cs="Times New Roman"/>
                <w:noProof/>
                <w:sz w:val="24"/>
                <w:szCs w:val="24"/>
              </w:rPr>
              <w:t xml:space="preserve"> arba lygiavertis,</w:t>
            </w:r>
            <w:r w:rsidRPr="00817B3C">
              <w:rPr>
                <w:rFonts w:ascii="Times New Roman" w:eastAsia="Calibri" w:hAnsi="Times New Roman" w:cs="Times New Roman"/>
                <w:noProof/>
                <w:sz w:val="24"/>
                <w:szCs w:val="24"/>
              </w:rPr>
              <w:t xml:space="preserve"> atsparaus cheminėms medžiagoms, išorė padengta antibakterine danga.</w:t>
            </w:r>
          </w:p>
          <w:p w14:paraId="335F2137" w14:textId="0763596D" w:rsidR="00EA7830" w:rsidRPr="00817B3C" w:rsidRDefault="00EA7830" w:rsidP="00817B3C">
            <w:pPr>
              <w:pStyle w:val="ListParagraph"/>
              <w:numPr>
                <w:ilvl w:val="0"/>
                <w:numId w:val="2"/>
              </w:num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Priekinis langas.  Ergonominio pasvyrimo, pasvyrimo kampas nuo vertikalės ne mažiau kaip 5 laipsniai. Atidarymo aukštis ne mažesnis nei 210 mm.</w:t>
            </w:r>
          </w:p>
          <w:p w14:paraId="52CCE360" w14:textId="27717A74" w:rsidR="00EA7830" w:rsidRPr="00817B3C" w:rsidRDefault="00EA7830" w:rsidP="00817B3C">
            <w:pPr>
              <w:pStyle w:val="ListParagraph"/>
              <w:numPr>
                <w:ilvl w:val="0"/>
                <w:numId w:val="2"/>
              </w:num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Šoninės sienelės be stiklo.</w:t>
            </w:r>
          </w:p>
          <w:p w14:paraId="35547C4A" w14:textId="6572E5F0" w:rsidR="00EA7830" w:rsidRPr="00817B3C" w:rsidRDefault="00EA7830" w:rsidP="00817B3C">
            <w:pPr>
              <w:pStyle w:val="ListParagraph"/>
              <w:numPr>
                <w:ilvl w:val="0"/>
                <w:numId w:val="2"/>
              </w:num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Darbastalis.  Padalintas į ne mažiau kaip keturias sekcijas, kurias galima išimti valymui. Pagamintas iš plieno</w:t>
            </w:r>
            <w:r>
              <w:rPr>
                <w:rFonts w:ascii="Times New Roman" w:eastAsia="Calibri" w:hAnsi="Times New Roman" w:cs="Times New Roman"/>
                <w:noProof/>
                <w:sz w:val="24"/>
                <w:szCs w:val="24"/>
              </w:rPr>
              <w:t xml:space="preserve"> arba lygiavertis</w:t>
            </w:r>
            <w:r w:rsidRPr="00817B3C">
              <w:rPr>
                <w:rFonts w:ascii="Times New Roman" w:eastAsia="Calibri" w:hAnsi="Times New Roman" w:cs="Times New Roman"/>
                <w:noProof/>
                <w:sz w:val="24"/>
                <w:szCs w:val="24"/>
              </w:rPr>
              <w:t xml:space="preserve">, atsparaus dezinfekcinėms medžiagoms. Po darbastaliu </w:t>
            </w:r>
            <w:r>
              <w:rPr>
                <w:rFonts w:ascii="Times New Roman" w:eastAsia="Calibri" w:hAnsi="Times New Roman" w:cs="Times New Roman"/>
                <w:noProof/>
                <w:sz w:val="24"/>
                <w:szCs w:val="24"/>
              </w:rPr>
              <w:t>yra</w:t>
            </w:r>
            <w:r w:rsidRPr="00817B3C">
              <w:rPr>
                <w:rFonts w:ascii="Times New Roman" w:eastAsia="Calibri" w:hAnsi="Times New Roman" w:cs="Times New Roman"/>
                <w:noProof/>
                <w:sz w:val="24"/>
                <w:szCs w:val="24"/>
              </w:rPr>
              <w:t xml:space="preserve"> ertmė galimų skysčių surinkimui.</w:t>
            </w:r>
          </w:p>
          <w:p w14:paraId="16C91DD9" w14:textId="531DDD8C" w:rsidR="00EA7830" w:rsidRPr="00817B3C" w:rsidRDefault="00EA7830" w:rsidP="00817B3C">
            <w:pPr>
              <w:pStyle w:val="ListParagraph"/>
              <w:numPr>
                <w:ilvl w:val="0"/>
                <w:numId w:val="2"/>
              </w:num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Integruota UV lempa dezinfekcijai (ant galinės sienelės); apšviestumo lygis ne mažesnis kaip 1200 Lux su LED šviestuvu.</w:t>
            </w:r>
          </w:p>
          <w:p w14:paraId="6312777D" w14:textId="255E7816" w:rsidR="00EA7830" w:rsidRPr="0081611F" w:rsidRDefault="00EA7830" w:rsidP="0081611F">
            <w:pPr>
              <w:pStyle w:val="ListParagraph"/>
              <w:numPr>
                <w:ilvl w:val="0"/>
                <w:numId w:val="2"/>
              </w:numPr>
              <w:spacing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Vidinėje laminaro darbinėje</w:t>
            </w:r>
            <w:r w:rsidRPr="00817B3C">
              <w:rPr>
                <w:rFonts w:ascii="Times New Roman" w:eastAsia="Calibri" w:hAnsi="Times New Roman" w:cs="Times New Roman"/>
                <w:noProof/>
                <w:sz w:val="24"/>
                <w:szCs w:val="24"/>
              </w:rPr>
              <w:t xml:space="preserve"> aplinkoje ne mažiau kaip 2 vnt</w:t>
            </w:r>
            <w:r>
              <w:rPr>
                <w:rFonts w:ascii="Times New Roman" w:eastAsia="Calibri" w:hAnsi="Times New Roman" w:cs="Times New Roman"/>
                <w:noProof/>
                <w:sz w:val="24"/>
                <w:szCs w:val="24"/>
              </w:rPr>
              <w:t>.</w:t>
            </w:r>
            <w:r w:rsidRPr="00817B3C">
              <w:rPr>
                <w:rFonts w:ascii="Times New Roman" w:eastAsia="Calibri" w:hAnsi="Times New Roman" w:cs="Times New Roman"/>
                <w:noProof/>
                <w:sz w:val="24"/>
                <w:szCs w:val="24"/>
              </w:rPr>
              <w:t xml:space="preserve"> elektros rozečių.</w:t>
            </w:r>
            <w:r w:rsidRPr="0081611F">
              <w:rPr>
                <w:rFonts w:ascii="Times New Roman" w:eastAsia="Calibri" w:hAnsi="Times New Roman" w:cs="Times New Roman"/>
                <w:noProof/>
                <w:sz w:val="24"/>
                <w:szCs w:val="24"/>
              </w:rPr>
              <w:t>Laikmatis, skaičiuojantis UV lempos darbo laiką, filtrų aptarnavimo laiką.</w:t>
            </w:r>
          </w:p>
        </w:tc>
        <w:tc>
          <w:tcPr>
            <w:tcW w:w="3219" w:type="dxa"/>
          </w:tcPr>
          <w:p w14:paraId="01906D8B" w14:textId="77777777" w:rsidR="00EA7830" w:rsidRPr="00171DFF" w:rsidRDefault="00EA7830" w:rsidP="001A365D">
            <w:pPr>
              <w:spacing w:line="360" w:lineRule="auto"/>
              <w:rPr>
                <w:rFonts w:ascii="Times New Roman" w:eastAsia="Calibri" w:hAnsi="Times New Roman" w:cs="Times New Roman"/>
                <w:noProof/>
                <w:sz w:val="24"/>
                <w:szCs w:val="24"/>
              </w:rPr>
            </w:pPr>
          </w:p>
        </w:tc>
      </w:tr>
      <w:tr w:rsidR="00EA7830" w:rsidRPr="00817B3C" w14:paraId="5E79DB87" w14:textId="38B51DA3" w:rsidTr="00EA7830">
        <w:tc>
          <w:tcPr>
            <w:tcW w:w="696" w:type="dxa"/>
          </w:tcPr>
          <w:p w14:paraId="61A995C4" w14:textId="3460F821"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w:t>
            </w:r>
            <w:r>
              <w:rPr>
                <w:rFonts w:ascii="Times New Roman" w:hAnsi="Times New Roman" w:cs="Times New Roman"/>
                <w:sz w:val="24"/>
                <w:szCs w:val="24"/>
              </w:rPr>
              <w:t>4.4</w:t>
            </w:r>
            <w:r w:rsidRPr="00817B3C">
              <w:rPr>
                <w:rFonts w:ascii="Times New Roman" w:hAnsi="Times New Roman" w:cs="Times New Roman"/>
                <w:sz w:val="24"/>
                <w:szCs w:val="24"/>
              </w:rPr>
              <w:t>.</w:t>
            </w:r>
          </w:p>
        </w:tc>
        <w:tc>
          <w:tcPr>
            <w:tcW w:w="2626" w:type="dxa"/>
          </w:tcPr>
          <w:p w14:paraId="41E367FB" w14:textId="03E7B977"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Triukšmo lygis</w:t>
            </w:r>
          </w:p>
        </w:tc>
        <w:tc>
          <w:tcPr>
            <w:tcW w:w="4226" w:type="dxa"/>
          </w:tcPr>
          <w:p w14:paraId="4C18D19D" w14:textId="6BC2C186"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Ne daugiau kaip 60 dB(A).</w:t>
            </w:r>
          </w:p>
        </w:tc>
        <w:tc>
          <w:tcPr>
            <w:tcW w:w="3219" w:type="dxa"/>
          </w:tcPr>
          <w:p w14:paraId="173EC84D" w14:textId="77777777" w:rsidR="00EA7830" w:rsidRPr="00817B3C" w:rsidRDefault="00EA7830" w:rsidP="00817B3C">
            <w:pPr>
              <w:spacing w:line="360" w:lineRule="auto"/>
              <w:rPr>
                <w:rFonts w:ascii="Times New Roman" w:eastAsia="Calibri" w:hAnsi="Times New Roman" w:cs="Times New Roman"/>
                <w:noProof/>
                <w:sz w:val="24"/>
                <w:szCs w:val="24"/>
              </w:rPr>
            </w:pPr>
          </w:p>
        </w:tc>
      </w:tr>
      <w:tr w:rsidR="00EA7830" w:rsidRPr="00817B3C" w14:paraId="067F411E" w14:textId="33FE99F1" w:rsidTr="00EA7830">
        <w:tc>
          <w:tcPr>
            <w:tcW w:w="696" w:type="dxa"/>
          </w:tcPr>
          <w:p w14:paraId="79A82600" w14:textId="071BE687" w:rsidR="00EA7830" w:rsidRPr="00817B3C" w:rsidRDefault="00EA7830" w:rsidP="00817B3C">
            <w:pPr>
              <w:spacing w:line="360" w:lineRule="auto"/>
              <w:rPr>
                <w:rFonts w:ascii="Times New Roman" w:hAnsi="Times New Roman" w:cs="Times New Roman"/>
                <w:sz w:val="24"/>
                <w:szCs w:val="24"/>
              </w:rPr>
            </w:pPr>
            <w:r w:rsidRPr="00817B3C">
              <w:rPr>
                <w:rFonts w:ascii="Times New Roman" w:hAnsi="Times New Roman" w:cs="Times New Roman"/>
                <w:sz w:val="24"/>
                <w:szCs w:val="24"/>
              </w:rPr>
              <w:t>1</w:t>
            </w:r>
            <w:r>
              <w:rPr>
                <w:rFonts w:ascii="Times New Roman" w:hAnsi="Times New Roman" w:cs="Times New Roman"/>
                <w:sz w:val="24"/>
                <w:szCs w:val="24"/>
              </w:rPr>
              <w:t>4.5</w:t>
            </w:r>
            <w:r w:rsidRPr="00817B3C">
              <w:rPr>
                <w:rFonts w:ascii="Times New Roman" w:hAnsi="Times New Roman" w:cs="Times New Roman"/>
                <w:sz w:val="24"/>
                <w:szCs w:val="24"/>
              </w:rPr>
              <w:t>.</w:t>
            </w:r>
          </w:p>
        </w:tc>
        <w:tc>
          <w:tcPr>
            <w:tcW w:w="2626" w:type="dxa"/>
          </w:tcPr>
          <w:p w14:paraId="42C6BE2B" w14:textId="44C6A53B"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 xml:space="preserve">Oro srautai </w:t>
            </w:r>
            <w:r>
              <w:rPr>
                <w:rFonts w:ascii="Times New Roman" w:eastAsia="Calibri" w:hAnsi="Times New Roman" w:cs="Times New Roman"/>
                <w:noProof/>
                <w:sz w:val="24"/>
                <w:szCs w:val="24"/>
              </w:rPr>
              <w:t>ir</w:t>
            </w:r>
            <w:r w:rsidRPr="00817B3C">
              <w:rPr>
                <w:rFonts w:ascii="Times New Roman" w:eastAsia="Calibri" w:hAnsi="Times New Roman" w:cs="Times New Roman"/>
                <w:noProof/>
                <w:sz w:val="24"/>
                <w:szCs w:val="24"/>
              </w:rPr>
              <w:t xml:space="preserve"> greitis</w:t>
            </w:r>
          </w:p>
        </w:tc>
        <w:tc>
          <w:tcPr>
            <w:tcW w:w="4226" w:type="dxa"/>
          </w:tcPr>
          <w:p w14:paraId="0B53F48A" w14:textId="044C0928" w:rsidR="00EA7830" w:rsidRPr="00817B3C" w:rsidRDefault="00EA7830" w:rsidP="00817B3C">
            <w:pPr>
              <w:spacing w:line="360" w:lineRule="auto"/>
              <w:rPr>
                <w:rFonts w:ascii="Times New Roman" w:eastAsia="Calibri" w:hAnsi="Times New Roman" w:cs="Times New Roman"/>
                <w:noProof/>
                <w:sz w:val="24"/>
                <w:szCs w:val="24"/>
                <w:lang w:val="pt-BR"/>
              </w:rPr>
            </w:pPr>
            <w:r w:rsidRPr="00817B3C">
              <w:rPr>
                <w:rFonts w:ascii="Times New Roman" w:eastAsia="Calibri" w:hAnsi="Times New Roman" w:cs="Times New Roman"/>
                <w:noProof/>
                <w:sz w:val="24"/>
                <w:szCs w:val="24"/>
              </w:rPr>
              <w:t>Oro cirkuliacija</w:t>
            </w:r>
            <w:r>
              <w:rPr>
                <w:rFonts w:ascii="Times New Roman" w:eastAsia="Calibri" w:hAnsi="Times New Roman" w:cs="Times New Roman"/>
                <w:noProof/>
                <w:sz w:val="24"/>
                <w:szCs w:val="24"/>
              </w:rPr>
              <w:t xml:space="preserve"> ne mažiau</w:t>
            </w:r>
            <w:r w:rsidRPr="00817B3C">
              <w:rPr>
                <w:rFonts w:ascii="Times New Roman" w:eastAsia="Calibri" w:hAnsi="Times New Roman" w:cs="Times New Roman"/>
                <w:noProof/>
                <w:sz w:val="24"/>
                <w:szCs w:val="24"/>
              </w:rPr>
              <w:t xml:space="preserve"> 70</w:t>
            </w:r>
            <w:r w:rsidRPr="00817B3C">
              <w:rPr>
                <w:rFonts w:ascii="Times New Roman" w:eastAsia="Calibri" w:hAnsi="Times New Roman" w:cs="Times New Roman"/>
                <w:noProof/>
                <w:sz w:val="24"/>
                <w:szCs w:val="24"/>
                <w:lang w:val="pt-BR"/>
              </w:rPr>
              <w:t>% recirkuliuojam</w:t>
            </w:r>
            <w:r>
              <w:rPr>
                <w:rFonts w:ascii="Times New Roman" w:eastAsia="Calibri" w:hAnsi="Times New Roman" w:cs="Times New Roman"/>
                <w:noProof/>
                <w:sz w:val="24"/>
                <w:szCs w:val="24"/>
                <w:lang w:val="pt-BR"/>
              </w:rPr>
              <w:t>o</w:t>
            </w:r>
            <w:r w:rsidRPr="00817B3C">
              <w:rPr>
                <w:rFonts w:ascii="Times New Roman" w:eastAsia="Calibri" w:hAnsi="Times New Roman" w:cs="Times New Roman"/>
                <w:noProof/>
                <w:sz w:val="24"/>
                <w:szCs w:val="24"/>
                <w:lang w:val="pt-BR"/>
              </w:rPr>
              <w:t xml:space="preserve"> or</w:t>
            </w:r>
            <w:r>
              <w:rPr>
                <w:rFonts w:ascii="Times New Roman" w:eastAsia="Calibri" w:hAnsi="Times New Roman" w:cs="Times New Roman"/>
                <w:noProof/>
                <w:sz w:val="24"/>
                <w:szCs w:val="24"/>
                <w:lang w:val="pt-BR"/>
              </w:rPr>
              <w:t>o</w:t>
            </w:r>
            <w:r w:rsidRPr="00817B3C">
              <w:rPr>
                <w:rFonts w:ascii="Times New Roman" w:eastAsia="Calibri" w:hAnsi="Times New Roman" w:cs="Times New Roman"/>
                <w:noProof/>
                <w:sz w:val="24"/>
                <w:szCs w:val="24"/>
                <w:lang w:val="pt-BR"/>
              </w:rPr>
              <w:t xml:space="preserve"> ir 30% </w:t>
            </w:r>
            <w:r>
              <w:rPr>
                <w:rFonts w:ascii="Times New Roman" w:eastAsia="Calibri" w:hAnsi="Times New Roman" w:cs="Times New Roman"/>
                <w:noProof/>
                <w:sz w:val="24"/>
                <w:szCs w:val="24"/>
                <w:lang w:val="pt-BR"/>
              </w:rPr>
              <w:t xml:space="preserve">iš </w:t>
            </w:r>
            <w:r w:rsidRPr="00817B3C">
              <w:rPr>
                <w:rFonts w:ascii="Times New Roman" w:eastAsia="Calibri" w:hAnsi="Times New Roman" w:cs="Times New Roman"/>
                <w:noProof/>
                <w:sz w:val="24"/>
                <w:szCs w:val="24"/>
                <w:lang w:val="pt-BR"/>
              </w:rPr>
              <w:t>patalpos</w:t>
            </w:r>
            <w:r>
              <w:rPr>
                <w:rFonts w:ascii="Times New Roman" w:eastAsia="Calibri" w:hAnsi="Times New Roman" w:cs="Times New Roman"/>
                <w:noProof/>
                <w:sz w:val="24"/>
                <w:szCs w:val="24"/>
                <w:lang w:val="pt-BR"/>
              </w:rPr>
              <w:t xml:space="preserve"> paimamo</w:t>
            </w:r>
            <w:r w:rsidRPr="00817B3C">
              <w:rPr>
                <w:rFonts w:ascii="Times New Roman" w:eastAsia="Calibri" w:hAnsi="Times New Roman" w:cs="Times New Roman"/>
                <w:noProof/>
                <w:sz w:val="24"/>
                <w:szCs w:val="24"/>
                <w:lang w:val="pt-BR"/>
              </w:rPr>
              <w:t xml:space="preserve"> or</w:t>
            </w:r>
            <w:r>
              <w:rPr>
                <w:rFonts w:ascii="Times New Roman" w:eastAsia="Calibri" w:hAnsi="Times New Roman" w:cs="Times New Roman"/>
                <w:noProof/>
                <w:sz w:val="24"/>
                <w:szCs w:val="24"/>
                <w:lang w:val="pt-BR"/>
              </w:rPr>
              <w:t>o</w:t>
            </w:r>
            <w:r w:rsidRPr="00817B3C">
              <w:rPr>
                <w:rFonts w:ascii="Times New Roman" w:eastAsia="Calibri" w:hAnsi="Times New Roman" w:cs="Times New Roman"/>
                <w:noProof/>
                <w:sz w:val="24"/>
                <w:szCs w:val="24"/>
                <w:lang w:val="pt-BR"/>
              </w:rPr>
              <w:t>.</w:t>
            </w:r>
          </w:p>
          <w:p w14:paraId="5D7A4E50" w14:textId="5634D791"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lastRenderedPageBreak/>
              <w:t>Laminarinis srautas ne mažiau kaip 0,38 m/s. Ties at</w:t>
            </w:r>
            <w:r>
              <w:rPr>
                <w:rFonts w:ascii="Times New Roman" w:eastAsia="Calibri" w:hAnsi="Times New Roman" w:cs="Times New Roman"/>
                <w:noProof/>
                <w:sz w:val="24"/>
                <w:szCs w:val="24"/>
              </w:rPr>
              <w:t>i</w:t>
            </w:r>
            <w:r w:rsidRPr="00817B3C">
              <w:rPr>
                <w:rFonts w:ascii="Times New Roman" w:eastAsia="Calibri" w:hAnsi="Times New Roman" w:cs="Times New Roman"/>
                <w:noProof/>
                <w:sz w:val="24"/>
                <w:szCs w:val="24"/>
              </w:rPr>
              <w:t xml:space="preserve">darytu langu užtikrinamas ne mažesnis kaip 0,55 m/s oro įtraukimas. </w:t>
            </w:r>
          </w:p>
        </w:tc>
        <w:tc>
          <w:tcPr>
            <w:tcW w:w="3219" w:type="dxa"/>
          </w:tcPr>
          <w:p w14:paraId="49649156" w14:textId="77777777" w:rsidR="00EA7830" w:rsidRPr="00817B3C" w:rsidRDefault="00EA7830" w:rsidP="00817B3C">
            <w:pPr>
              <w:spacing w:line="360" w:lineRule="auto"/>
              <w:rPr>
                <w:rFonts w:ascii="Times New Roman" w:eastAsia="Calibri" w:hAnsi="Times New Roman" w:cs="Times New Roman"/>
                <w:noProof/>
                <w:sz w:val="24"/>
                <w:szCs w:val="24"/>
              </w:rPr>
            </w:pPr>
          </w:p>
        </w:tc>
      </w:tr>
      <w:tr w:rsidR="00EA7830" w:rsidRPr="00817B3C" w14:paraId="6602D85B" w14:textId="12EAC6F0" w:rsidTr="00EA7830">
        <w:tc>
          <w:tcPr>
            <w:tcW w:w="696" w:type="dxa"/>
          </w:tcPr>
          <w:p w14:paraId="570E0B9B" w14:textId="2300D665" w:rsidR="00EA7830" w:rsidRPr="00817B3C" w:rsidRDefault="00EA7830" w:rsidP="00817B3C">
            <w:pPr>
              <w:spacing w:line="360" w:lineRule="auto"/>
              <w:rPr>
                <w:rFonts w:ascii="Times New Roman" w:hAnsi="Times New Roman" w:cs="Times New Roman"/>
                <w:sz w:val="24"/>
                <w:szCs w:val="24"/>
              </w:rPr>
            </w:pPr>
            <w:r>
              <w:rPr>
                <w:rFonts w:ascii="Times New Roman" w:hAnsi="Times New Roman" w:cs="Times New Roman"/>
                <w:sz w:val="24"/>
                <w:szCs w:val="24"/>
              </w:rPr>
              <w:t>146</w:t>
            </w:r>
            <w:r w:rsidRPr="00817B3C">
              <w:rPr>
                <w:rFonts w:ascii="Times New Roman" w:hAnsi="Times New Roman" w:cs="Times New Roman"/>
                <w:sz w:val="24"/>
                <w:szCs w:val="24"/>
              </w:rPr>
              <w:t>.</w:t>
            </w:r>
          </w:p>
        </w:tc>
        <w:tc>
          <w:tcPr>
            <w:tcW w:w="2626" w:type="dxa"/>
          </w:tcPr>
          <w:p w14:paraId="50E023C8" w14:textId="1632FECB"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Aliarmų sistema</w:t>
            </w:r>
          </w:p>
        </w:tc>
        <w:tc>
          <w:tcPr>
            <w:tcW w:w="4226" w:type="dxa"/>
          </w:tcPr>
          <w:p w14:paraId="0A6988CC" w14:textId="7E58AC01" w:rsidR="00EA7830"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Laminaras turi informuoti apie gedimus garsiniu ir</w:t>
            </w:r>
            <w:r>
              <w:rPr>
                <w:rFonts w:ascii="Times New Roman" w:eastAsia="Calibri" w:hAnsi="Times New Roman" w:cs="Times New Roman"/>
                <w:noProof/>
                <w:sz w:val="24"/>
                <w:szCs w:val="24"/>
              </w:rPr>
              <w:t xml:space="preserve"> (</w:t>
            </w:r>
            <w:r w:rsidRPr="00817B3C">
              <w:rPr>
                <w:rFonts w:ascii="Times New Roman" w:eastAsia="Calibri" w:hAnsi="Times New Roman" w:cs="Times New Roman"/>
                <w:noProof/>
                <w:sz w:val="24"/>
                <w:szCs w:val="24"/>
              </w:rPr>
              <w:t>arba</w:t>
            </w:r>
            <w:r>
              <w:rPr>
                <w:rFonts w:ascii="Times New Roman" w:eastAsia="Calibri" w:hAnsi="Times New Roman" w:cs="Times New Roman"/>
                <w:noProof/>
                <w:sz w:val="24"/>
                <w:szCs w:val="24"/>
              </w:rPr>
              <w:t>)</w:t>
            </w:r>
            <w:r w:rsidRPr="00817B3C">
              <w:rPr>
                <w:rFonts w:ascii="Times New Roman" w:eastAsia="Calibri" w:hAnsi="Times New Roman" w:cs="Times New Roman"/>
                <w:noProof/>
                <w:sz w:val="24"/>
                <w:szCs w:val="24"/>
              </w:rPr>
              <w:t xml:space="preserve"> vaizdiniu pranešimu. Aliarmų sistema apim</w:t>
            </w:r>
            <w:r>
              <w:rPr>
                <w:rFonts w:ascii="Times New Roman" w:eastAsia="Calibri" w:hAnsi="Times New Roman" w:cs="Times New Roman"/>
                <w:noProof/>
                <w:sz w:val="24"/>
                <w:szCs w:val="24"/>
              </w:rPr>
              <w:t>a</w:t>
            </w:r>
            <w:r w:rsidRPr="00817B3C">
              <w:rPr>
                <w:rFonts w:ascii="Times New Roman" w:eastAsia="Calibri" w:hAnsi="Times New Roman" w:cs="Times New Roman"/>
                <w:noProof/>
                <w:sz w:val="24"/>
                <w:szCs w:val="24"/>
              </w:rPr>
              <w:t xml:space="preserve"> ne mažiau kaip sekančius pranešimus:</w:t>
            </w:r>
            <w:r>
              <w:rPr>
                <w:rFonts w:ascii="Times New Roman" w:eastAsia="Calibri" w:hAnsi="Times New Roman" w:cs="Times New Roman"/>
                <w:noProof/>
                <w:sz w:val="24"/>
                <w:szCs w:val="24"/>
              </w:rPr>
              <w:t xml:space="preserve"> </w:t>
            </w:r>
          </w:p>
          <w:p w14:paraId="41C98DC4" w14:textId="19FC9840"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 xml:space="preserve">netinkamoje padėtyje esantis priekinis langas, nepakankamas oro srautas, filtro užsikišimo, elektros dingimo. </w:t>
            </w:r>
          </w:p>
        </w:tc>
        <w:tc>
          <w:tcPr>
            <w:tcW w:w="3219" w:type="dxa"/>
          </w:tcPr>
          <w:p w14:paraId="53DEAEB1" w14:textId="77777777" w:rsidR="00EA7830" w:rsidRPr="00817B3C" w:rsidRDefault="00EA7830" w:rsidP="00817B3C">
            <w:pPr>
              <w:spacing w:line="360" w:lineRule="auto"/>
              <w:rPr>
                <w:rFonts w:ascii="Times New Roman" w:eastAsia="Calibri" w:hAnsi="Times New Roman" w:cs="Times New Roman"/>
                <w:noProof/>
                <w:sz w:val="24"/>
                <w:szCs w:val="24"/>
              </w:rPr>
            </w:pPr>
          </w:p>
        </w:tc>
      </w:tr>
      <w:tr w:rsidR="00EA7830" w:rsidRPr="00817B3C" w14:paraId="3BD36C03" w14:textId="768D2288" w:rsidTr="00EA7830">
        <w:tc>
          <w:tcPr>
            <w:tcW w:w="696" w:type="dxa"/>
          </w:tcPr>
          <w:p w14:paraId="44C78FB9" w14:textId="59E1E40F" w:rsidR="00EA7830" w:rsidRPr="00817B3C" w:rsidRDefault="00EA7830" w:rsidP="00817B3C">
            <w:pPr>
              <w:spacing w:line="360" w:lineRule="auto"/>
              <w:rPr>
                <w:rFonts w:ascii="Times New Roman" w:hAnsi="Times New Roman" w:cs="Times New Roman"/>
                <w:sz w:val="24"/>
                <w:szCs w:val="24"/>
              </w:rPr>
            </w:pPr>
            <w:r>
              <w:rPr>
                <w:rFonts w:ascii="Times New Roman" w:hAnsi="Times New Roman" w:cs="Times New Roman"/>
                <w:sz w:val="24"/>
                <w:szCs w:val="24"/>
              </w:rPr>
              <w:t>14.7</w:t>
            </w:r>
            <w:r w:rsidRPr="00817B3C">
              <w:rPr>
                <w:rFonts w:ascii="Times New Roman" w:hAnsi="Times New Roman" w:cs="Times New Roman"/>
                <w:sz w:val="24"/>
                <w:szCs w:val="24"/>
              </w:rPr>
              <w:t>.</w:t>
            </w:r>
          </w:p>
        </w:tc>
        <w:tc>
          <w:tcPr>
            <w:tcW w:w="2626" w:type="dxa"/>
          </w:tcPr>
          <w:p w14:paraId="36E1751D" w14:textId="49F6F8FA"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Garanija</w:t>
            </w:r>
          </w:p>
        </w:tc>
        <w:tc>
          <w:tcPr>
            <w:tcW w:w="4226" w:type="dxa"/>
          </w:tcPr>
          <w:p w14:paraId="0256A943" w14:textId="24A80BAD" w:rsidR="00EA7830" w:rsidRPr="00817B3C" w:rsidRDefault="00EA7830" w:rsidP="00817B3C">
            <w:pPr>
              <w:spacing w:line="360" w:lineRule="auto"/>
              <w:rPr>
                <w:rFonts w:ascii="Times New Roman" w:eastAsia="Calibri" w:hAnsi="Times New Roman" w:cs="Times New Roman"/>
                <w:noProof/>
                <w:sz w:val="24"/>
                <w:szCs w:val="24"/>
              </w:rPr>
            </w:pPr>
            <w:r w:rsidRPr="00817B3C">
              <w:rPr>
                <w:rFonts w:ascii="Times New Roman" w:eastAsia="Calibri" w:hAnsi="Times New Roman" w:cs="Times New Roman"/>
                <w:noProof/>
                <w:sz w:val="24"/>
                <w:szCs w:val="24"/>
              </w:rPr>
              <w:t>Ne mažiau nei 24 mėnesiai</w:t>
            </w:r>
          </w:p>
        </w:tc>
        <w:tc>
          <w:tcPr>
            <w:tcW w:w="3219" w:type="dxa"/>
          </w:tcPr>
          <w:p w14:paraId="1F72ADF9" w14:textId="77777777" w:rsidR="00EA7830" w:rsidRPr="00817B3C" w:rsidRDefault="00EA7830" w:rsidP="00817B3C">
            <w:pPr>
              <w:spacing w:line="360" w:lineRule="auto"/>
              <w:rPr>
                <w:rFonts w:ascii="Times New Roman" w:eastAsia="Calibri" w:hAnsi="Times New Roman" w:cs="Times New Roman"/>
                <w:noProof/>
                <w:sz w:val="24"/>
                <w:szCs w:val="24"/>
              </w:rPr>
            </w:pPr>
          </w:p>
        </w:tc>
      </w:tr>
    </w:tbl>
    <w:p w14:paraId="2C261EFC" w14:textId="77777777" w:rsidR="00BF0ED8" w:rsidRDefault="00BF0ED8" w:rsidP="00BF0ED8">
      <w:pPr>
        <w:spacing w:line="240" w:lineRule="auto"/>
        <w:ind w:left="-851"/>
        <w:rPr>
          <w:rFonts w:ascii="Times New Roman" w:hAnsi="Times New Roman" w:cs="Times New Roman"/>
          <w:i/>
          <w:iCs/>
          <w:sz w:val="20"/>
          <w:szCs w:val="20"/>
        </w:rPr>
      </w:pPr>
      <w:r w:rsidRPr="00BF0ED8">
        <w:rPr>
          <w:rFonts w:ascii="Times New Roman" w:hAnsi="Times New Roman" w:cs="Times New Roman"/>
          <w:b/>
          <w:bCs/>
          <w:i/>
          <w:iCs/>
          <w:sz w:val="20"/>
          <w:szCs w:val="20"/>
        </w:rPr>
        <w:t>Pastaba:</w:t>
      </w:r>
      <w:r w:rsidRPr="00BF0ED8">
        <w:rPr>
          <w:rFonts w:ascii="Times New Roman" w:hAnsi="Times New Roman" w:cs="Times New Roman"/>
          <w:i/>
          <w:iCs/>
          <w:sz w:val="20"/>
          <w:szCs w:val="20"/>
        </w:rPr>
        <w:t>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F0ED8">
        <w:rPr>
          <w:rFonts w:ascii="Times New Roman" w:hAnsi="Times New Roman" w:cs="Times New Roman"/>
          <w:sz w:val="20"/>
          <w:szCs w:val="20"/>
        </w:rPr>
        <w:t xml:space="preserve"> </w:t>
      </w:r>
      <w:r w:rsidRPr="00BF0ED8">
        <w:rPr>
          <w:rFonts w:ascii="Times New Roman" w:hAnsi="Times New Roman" w:cs="Times New Roman"/>
          <w:i/>
          <w:iCs/>
          <w:sz w:val="20"/>
          <w:szCs w:val="20"/>
        </w:rPr>
        <w:t>2 proc.</w:t>
      </w:r>
    </w:p>
    <w:p w14:paraId="0D17E9E8" w14:textId="77777777" w:rsidR="00BF0ED8" w:rsidRPr="001A4085" w:rsidRDefault="00BF0ED8" w:rsidP="00BF0ED8">
      <w:pPr>
        <w:spacing w:line="240" w:lineRule="auto"/>
        <w:ind w:left="-851"/>
        <w:rPr>
          <w:rFonts w:ascii="Times New Roman" w:hAnsi="Times New Roman" w:cs="Times New Roman"/>
          <w:sz w:val="24"/>
          <w:szCs w:val="24"/>
        </w:rPr>
      </w:pPr>
    </w:p>
    <w:p w14:paraId="7AF768D7" w14:textId="77777777" w:rsidR="00CE2B46" w:rsidRPr="001A4085" w:rsidRDefault="00CE2B46" w:rsidP="000526C8">
      <w:pPr>
        <w:ind w:right="282"/>
        <w:rPr>
          <w:sz w:val="24"/>
          <w:szCs w:val="24"/>
        </w:rPr>
      </w:pPr>
      <w:r w:rsidRPr="001A4085">
        <w:rPr>
          <w:rFonts w:ascii="Times New Roman" w:hAnsi="Times New Roman" w:cs="Times New Roman"/>
          <w:sz w:val="24"/>
          <w:szCs w:val="24"/>
        </w:rPr>
        <w:t>Aplinkos apsaugos kriterijai</w:t>
      </w:r>
    </w:p>
    <w:p w14:paraId="007DE736" w14:textId="457C9F8D" w:rsidR="00CE2B46" w:rsidRPr="001A4085" w:rsidRDefault="00CE2B46" w:rsidP="00E94357">
      <w:pPr>
        <w:pStyle w:val="NoSpacing"/>
        <w:ind w:left="720" w:right="282"/>
        <w:jc w:val="both"/>
        <w:rPr>
          <w:rFonts w:ascii="Times New Roman" w:hAnsi="Times New Roman" w:cs="Times New Roman"/>
          <w:sz w:val="24"/>
          <w:szCs w:val="24"/>
        </w:rPr>
      </w:pPr>
      <w:r w:rsidRPr="001A4085">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7176B9" w:rsidRPr="001A4085">
        <w:rPr>
          <w:rFonts w:ascii="Times New Roman" w:hAnsi="Times New Roman" w:cs="Times New Roman"/>
          <w:sz w:val="24"/>
          <w:szCs w:val="24"/>
        </w:rPr>
        <w:t>4</w:t>
      </w:r>
      <w:r w:rsidRPr="001A4085">
        <w:rPr>
          <w:rFonts w:ascii="Times New Roman" w:hAnsi="Times New Roman" w:cs="Times New Roman"/>
          <w:sz w:val="24"/>
          <w:szCs w:val="24"/>
        </w:rPr>
        <w:t xml:space="preserve"> papunkčiu:</w:t>
      </w:r>
    </w:p>
    <w:p w14:paraId="27F32FAA" w14:textId="396276B5" w:rsidR="00CE2B46" w:rsidRDefault="007C320F" w:rsidP="00E94357">
      <w:pPr>
        <w:pStyle w:val="NoSpacing"/>
        <w:ind w:left="720" w:right="282"/>
        <w:jc w:val="both"/>
        <w:rPr>
          <w:rFonts w:ascii="Times New Roman" w:hAnsi="Times New Roman" w:cs="Times New Roman"/>
          <w:sz w:val="24"/>
          <w:szCs w:val="24"/>
        </w:rPr>
      </w:pPr>
      <w:r>
        <w:rPr>
          <w:rFonts w:ascii="Times New Roman" w:hAnsi="Times New Roman" w:cs="Times New Roman"/>
          <w:sz w:val="24"/>
          <w:szCs w:val="24"/>
        </w:rPr>
        <w:t xml:space="preserve">1. </w:t>
      </w:r>
      <w:r w:rsidR="00CE2B46" w:rsidRPr="001A4085">
        <w:rPr>
          <w:rFonts w:ascii="Times New Roman" w:hAnsi="Times New Roman" w:cs="Times New Roman"/>
          <w:sz w:val="24"/>
          <w:szCs w:val="24"/>
        </w:rPr>
        <w:t>prekei taikoma ilgesnė nei standartinė garantija – ne mažesnė nei 36 mėn.</w:t>
      </w:r>
      <w:r w:rsidR="007176B9" w:rsidRPr="001A4085">
        <w:rPr>
          <w:rFonts w:ascii="Times New Roman" w:hAnsi="Times New Roman" w:cs="Times New Roman"/>
          <w:sz w:val="24"/>
          <w:szCs w:val="24"/>
        </w:rPr>
        <w:t xml:space="preserve"> (</w:t>
      </w:r>
      <w:r w:rsidR="00D60AFC" w:rsidRPr="001A4085">
        <w:rPr>
          <w:rFonts w:ascii="Times New Roman" w:hAnsi="Times New Roman" w:cs="Times New Roman"/>
          <w:sz w:val="24"/>
          <w:szCs w:val="24"/>
        </w:rPr>
        <w:t>techninės specifikacijos 13 p.)</w:t>
      </w:r>
      <w:r>
        <w:rPr>
          <w:rFonts w:ascii="Times New Roman" w:hAnsi="Times New Roman" w:cs="Times New Roman"/>
          <w:sz w:val="24"/>
          <w:szCs w:val="24"/>
        </w:rPr>
        <w:t>;</w:t>
      </w:r>
    </w:p>
    <w:p w14:paraId="49F5DDD2" w14:textId="5B55871D" w:rsidR="007C320F" w:rsidRPr="00D02381" w:rsidRDefault="007C320F" w:rsidP="00E94357">
      <w:pPr>
        <w:pStyle w:val="NoSpacing"/>
        <w:ind w:left="720" w:right="282"/>
        <w:jc w:val="both"/>
        <w:rPr>
          <w:rFonts w:ascii="Times New Roman" w:hAnsi="Times New Roman"/>
          <w:sz w:val="24"/>
          <w:szCs w:val="24"/>
        </w:rPr>
      </w:pPr>
      <w:r>
        <w:rPr>
          <w:rFonts w:ascii="Times New Roman" w:hAnsi="Times New Roman"/>
          <w:sz w:val="24"/>
          <w:szCs w:val="24"/>
        </w:rPr>
        <w:t>2</w:t>
      </w:r>
      <w:r w:rsidRPr="00D02381">
        <w:rPr>
          <w:rFonts w:ascii="Times New Roman" w:hAnsi="Times New Roman"/>
          <w:sz w:val="24"/>
          <w:szCs w:val="24"/>
        </w:rPr>
        <w:t xml:space="preserve">. </w:t>
      </w:r>
      <w:r w:rsidRPr="00D02381">
        <w:rPr>
          <w:rFonts w:ascii="Times New Roman" w:eastAsia="Calibri" w:hAnsi="Times New Roman" w:cs="Times New Roman"/>
          <w:sz w:val="24"/>
          <w:szCs w:val="24"/>
        </w:rPr>
        <w:t xml:space="preserve">techninės specifikacijos </w:t>
      </w:r>
      <w:r w:rsidR="00E94357">
        <w:rPr>
          <w:rFonts w:ascii="Times New Roman" w:eastAsia="Calibri" w:hAnsi="Times New Roman" w:cs="Times New Roman"/>
          <w:sz w:val="24"/>
          <w:szCs w:val="24"/>
        </w:rPr>
        <w:t>14.3</w:t>
      </w:r>
      <w:r w:rsidRPr="00D02381">
        <w:rPr>
          <w:rFonts w:ascii="Times New Roman" w:eastAsia="Calibri" w:hAnsi="Times New Roman" w:cs="Times New Roman"/>
          <w:sz w:val="24"/>
          <w:szCs w:val="24"/>
        </w:rPr>
        <w:t xml:space="preserve"> punkte nurodytas reikalavimas: </w:t>
      </w:r>
      <w:r w:rsidR="00E94357">
        <w:rPr>
          <w:rFonts w:ascii="Times New Roman" w:eastAsia="Calibri" w:hAnsi="Times New Roman" w:cs="Times New Roman"/>
          <w:noProof/>
          <w:sz w:val="24"/>
          <w:szCs w:val="24"/>
        </w:rPr>
        <w:t>r</w:t>
      </w:r>
      <w:r w:rsidR="00E94357" w:rsidRPr="00817B3C">
        <w:rPr>
          <w:rFonts w:ascii="Times New Roman" w:eastAsia="Calibri" w:hAnsi="Times New Roman" w:cs="Times New Roman"/>
          <w:noProof/>
          <w:sz w:val="24"/>
          <w:szCs w:val="24"/>
        </w:rPr>
        <w:t>eguliuojamo aukščio stovas</w:t>
      </w:r>
      <w:r w:rsidR="00E94357">
        <w:rPr>
          <w:rFonts w:ascii="Times New Roman" w:eastAsia="Calibri" w:hAnsi="Times New Roman" w:cs="Times New Roman"/>
          <w:noProof/>
          <w:sz w:val="24"/>
          <w:szCs w:val="24"/>
        </w:rPr>
        <w:t xml:space="preserve"> ir darbastalis</w:t>
      </w:r>
      <w:r w:rsidR="00E94357" w:rsidRPr="00D02381">
        <w:rPr>
          <w:rFonts w:ascii="Times New Roman" w:hAnsi="Times New Roman"/>
          <w:sz w:val="24"/>
          <w:szCs w:val="24"/>
        </w:rPr>
        <w:t xml:space="preserve"> </w:t>
      </w:r>
      <w:r w:rsidRPr="00D02381">
        <w:rPr>
          <w:rFonts w:ascii="Times New Roman" w:hAnsi="Times New Roman"/>
          <w:sz w:val="24"/>
          <w:szCs w:val="24"/>
        </w:rPr>
        <w:t>pagamint</w:t>
      </w:r>
      <w:r w:rsidR="00E94357">
        <w:rPr>
          <w:rFonts w:ascii="Times New Roman" w:hAnsi="Times New Roman"/>
          <w:sz w:val="24"/>
          <w:szCs w:val="24"/>
        </w:rPr>
        <w:t>i</w:t>
      </w:r>
      <w:r w:rsidRPr="00D02381">
        <w:rPr>
          <w:rFonts w:ascii="Times New Roman" w:hAnsi="Times New Roman"/>
          <w:sz w:val="24"/>
          <w:szCs w:val="24"/>
        </w:rPr>
        <w:t xml:space="preserve"> iš plieno</w:t>
      </w:r>
      <w:r w:rsidR="00E94357">
        <w:rPr>
          <w:rFonts w:ascii="Times New Roman" w:hAnsi="Times New Roman" w:cs="Times New Roman"/>
          <w:sz w:val="24"/>
          <w:szCs w:val="24"/>
        </w:rPr>
        <w:t xml:space="preserve"> </w:t>
      </w:r>
      <w:r w:rsidRPr="00917CB1">
        <w:rPr>
          <w:rFonts w:ascii="Times New Roman" w:hAnsi="Times New Roman" w:cs="Times New Roman"/>
          <w:sz w:val="24"/>
          <w:szCs w:val="24"/>
        </w:rPr>
        <w:t>arba lygiavertė</w:t>
      </w:r>
      <w:r w:rsidR="00E94357">
        <w:rPr>
          <w:rFonts w:ascii="Times New Roman" w:hAnsi="Times New Roman" w:cs="Times New Roman"/>
          <w:sz w:val="24"/>
          <w:szCs w:val="24"/>
        </w:rPr>
        <w:t>s medžiagos</w:t>
      </w:r>
      <w:r w:rsidRPr="00D02381">
        <w:rPr>
          <w:rFonts w:ascii="Times New Roman" w:hAnsi="Times New Roman" w:cs="Times New Roman"/>
          <w:sz w:val="24"/>
          <w:szCs w:val="24"/>
        </w:rPr>
        <w:t xml:space="preserve"> atitinka kriterijų, kad</w:t>
      </w:r>
      <w:r w:rsidRPr="00D02381">
        <w:rPr>
          <w:rFonts w:ascii="Times New Roman" w:hAnsi="Times New Roman"/>
          <w:sz w:val="24"/>
          <w:szCs w:val="24"/>
        </w:rPr>
        <w:t xml:space="preserve"> prekė yra tvirta, ilgaamžė</w:t>
      </w:r>
      <w:r>
        <w:rPr>
          <w:rFonts w:ascii="Times New Roman" w:hAnsi="Times New Roman"/>
          <w:sz w:val="24"/>
          <w:szCs w:val="24"/>
        </w:rPr>
        <w:t xml:space="preserve">, </w:t>
      </w:r>
      <w:r w:rsidRPr="00D02381">
        <w:rPr>
          <w:rFonts w:ascii="Times New Roman" w:hAnsi="Times New Roman"/>
          <w:sz w:val="24"/>
          <w:szCs w:val="24"/>
        </w:rPr>
        <w:t>funkcionali</w:t>
      </w:r>
      <w:r w:rsidR="00E94357">
        <w:rPr>
          <w:rFonts w:ascii="Times New Roman" w:hAnsi="Times New Roman"/>
          <w:sz w:val="24"/>
          <w:szCs w:val="24"/>
        </w:rPr>
        <w:t>.</w:t>
      </w:r>
    </w:p>
    <w:p w14:paraId="377867CC" w14:textId="77777777" w:rsidR="00CE2B46" w:rsidRPr="001A4085" w:rsidRDefault="00CE2B46" w:rsidP="00E94357">
      <w:pPr>
        <w:pStyle w:val="NoSpacing"/>
        <w:ind w:left="720" w:right="282"/>
        <w:jc w:val="both"/>
        <w:rPr>
          <w:rFonts w:ascii="Times New Roman" w:hAnsi="Times New Roman" w:cs="Times New Roman"/>
          <w:sz w:val="24"/>
          <w:szCs w:val="24"/>
        </w:rPr>
      </w:pPr>
    </w:p>
    <w:p w14:paraId="4B1404B6" w14:textId="77777777" w:rsidR="00BF0ED8" w:rsidRPr="001A4085" w:rsidRDefault="00BF0ED8" w:rsidP="00E94357">
      <w:pPr>
        <w:spacing w:line="240" w:lineRule="auto"/>
        <w:ind w:left="-851" w:right="282"/>
        <w:rPr>
          <w:rFonts w:ascii="Times New Roman" w:hAnsi="Times New Roman" w:cs="Times New Roman"/>
          <w:sz w:val="24"/>
          <w:szCs w:val="24"/>
        </w:rPr>
      </w:pPr>
    </w:p>
    <w:p w14:paraId="0025AD68" w14:textId="77777777" w:rsidR="00F57379" w:rsidRPr="00817B3C" w:rsidRDefault="00F57379" w:rsidP="00817B3C">
      <w:pPr>
        <w:spacing w:line="360" w:lineRule="auto"/>
        <w:ind w:left="-851"/>
        <w:rPr>
          <w:rFonts w:ascii="Times New Roman" w:hAnsi="Times New Roman" w:cs="Times New Roman"/>
          <w:sz w:val="24"/>
          <w:szCs w:val="24"/>
        </w:rPr>
      </w:pPr>
    </w:p>
    <w:sectPr w:rsidR="00F57379" w:rsidRPr="00817B3C" w:rsidSect="00EA783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1B04"/>
    <w:multiLevelType w:val="hybridMultilevel"/>
    <w:tmpl w:val="128AB24C"/>
    <w:lvl w:ilvl="0" w:tplc="96A0077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401467"/>
    <w:multiLevelType w:val="hybridMultilevel"/>
    <w:tmpl w:val="DE309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16596">
    <w:abstractNumId w:val="0"/>
  </w:num>
  <w:num w:numId="2" w16cid:durableId="42711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2"/>
    <w:rsid w:val="000054E8"/>
    <w:rsid w:val="00011FC1"/>
    <w:rsid w:val="00020F07"/>
    <w:rsid w:val="00023912"/>
    <w:rsid w:val="000261ED"/>
    <w:rsid w:val="00032990"/>
    <w:rsid w:val="000526C8"/>
    <w:rsid w:val="00070707"/>
    <w:rsid w:val="00074D1C"/>
    <w:rsid w:val="00083068"/>
    <w:rsid w:val="00091259"/>
    <w:rsid w:val="000923BB"/>
    <w:rsid w:val="000D6762"/>
    <w:rsid w:val="000E3FEB"/>
    <w:rsid w:val="000E578A"/>
    <w:rsid w:val="000F2B34"/>
    <w:rsid w:val="000F6DC9"/>
    <w:rsid w:val="00120DED"/>
    <w:rsid w:val="001326E6"/>
    <w:rsid w:val="00141F5F"/>
    <w:rsid w:val="00145A40"/>
    <w:rsid w:val="00171DFF"/>
    <w:rsid w:val="001905F9"/>
    <w:rsid w:val="00192C3E"/>
    <w:rsid w:val="001A365D"/>
    <w:rsid w:val="001A4085"/>
    <w:rsid w:val="001E4663"/>
    <w:rsid w:val="00203434"/>
    <w:rsid w:val="00245EE9"/>
    <w:rsid w:val="002845E4"/>
    <w:rsid w:val="002B4EE8"/>
    <w:rsid w:val="002D4F0D"/>
    <w:rsid w:val="002E2B15"/>
    <w:rsid w:val="002F305B"/>
    <w:rsid w:val="003153DB"/>
    <w:rsid w:val="003513BD"/>
    <w:rsid w:val="00360B55"/>
    <w:rsid w:val="00380FE6"/>
    <w:rsid w:val="00384803"/>
    <w:rsid w:val="00392E94"/>
    <w:rsid w:val="00396EAA"/>
    <w:rsid w:val="003972CC"/>
    <w:rsid w:val="00405F11"/>
    <w:rsid w:val="00415268"/>
    <w:rsid w:val="00424F33"/>
    <w:rsid w:val="004420AA"/>
    <w:rsid w:val="00461A82"/>
    <w:rsid w:val="004679A1"/>
    <w:rsid w:val="00474A53"/>
    <w:rsid w:val="00480305"/>
    <w:rsid w:val="004E1A0F"/>
    <w:rsid w:val="004F5E5D"/>
    <w:rsid w:val="00503D76"/>
    <w:rsid w:val="005041AD"/>
    <w:rsid w:val="00511854"/>
    <w:rsid w:val="0051394E"/>
    <w:rsid w:val="00523272"/>
    <w:rsid w:val="00530B05"/>
    <w:rsid w:val="00546A61"/>
    <w:rsid w:val="005637B0"/>
    <w:rsid w:val="005732A6"/>
    <w:rsid w:val="005B6FC4"/>
    <w:rsid w:val="005C0AD7"/>
    <w:rsid w:val="005C491A"/>
    <w:rsid w:val="005D2270"/>
    <w:rsid w:val="005E12C0"/>
    <w:rsid w:val="00627AFC"/>
    <w:rsid w:val="006476DE"/>
    <w:rsid w:val="00652BAC"/>
    <w:rsid w:val="00666448"/>
    <w:rsid w:val="006804BA"/>
    <w:rsid w:val="006815E0"/>
    <w:rsid w:val="006A3AF4"/>
    <w:rsid w:val="006B37DE"/>
    <w:rsid w:val="006B74E1"/>
    <w:rsid w:val="006F5268"/>
    <w:rsid w:val="006F66EE"/>
    <w:rsid w:val="007176B9"/>
    <w:rsid w:val="00764A33"/>
    <w:rsid w:val="0077214C"/>
    <w:rsid w:val="00777949"/>
    <w:rsid w:val="0079350A"/>
    <w:rsid w:val="007C320F"/>
    <w:rsid w:val="007C7EDA"/>
    <w:rsid w:val="007E7C32"/>
    <w:rsid w:val="0081611F"/>
    <w:rsid w:val="00816A9A"/>
    <w:rsid w:val="00817B3C"/>
    <w:rsid w:val="00831819"/>
    <w:rsid w:val="00837862"/>
    <w:rsid w:val="00852E9D"/>
    <w:rsid w:val="0086303B"/>
    <w:rsid w:val="008930D2"/>
    <w:rsid w:val="00893174"/>
    <w:rsid w:val="008B7FC7"/>
    <w:rsid w:val="008C679C"/>
    <w:rsid w:val="008D210C"/>
    <w:rsid w:val="008D2F04"/>
    <w:rsid w:val="008D7DC6"/>
    <w:rsid w:val="008E5889"/>
    <w:rsid w:val="008E6AD9"/>
    <w:rsid w:val="00974BD9"/>
    <w:rsid w:val="009A2557"/>
    <w:rsid w:val="009A74AD"/>
    <w:rsid w:val="009B654B"/>
    <w:rsid w:val="009C2342"/>
    <w:rsid w:val="009F452F"/>
    <w:rsid w:val="00A1622A"/>
    <w:rsid w:val="00A570CE"/>
    <w:rsid w:val="00A644DF"/>
    <w:rsid w:val="00A94ECA"/>
    <w:rsid w:val="00AB2527"/>
    <w:rsid w:val="00AB70E1"/>
    <w:rsid w:val="00AD532E"/>
    <w:rsid w:val="00AD641A"/>
    <w:rsid w:val="00B25654"/>
    <w:rsid w:val="00B737C3"/>
    <w:rsid w:val="00B80E63"/>
    <w:rsid w:val="00B854E7"/>
    <w:rsid w:val="00B96705"/>
    <w:rsid w:val="00BA6115"/>
    <w:rsid w:val="00BB1223"/>
    <w:rsid w:val="00BB473B"/>
    <w:rsid w:val="00BB5C6E"/>
    <w:rsid w:val="00BC513C"/>
    <w:rsid w:val="00BE6412"/>
    <w:rsid w:val="00BF0ED8"/>
    <w:rsid w:val="00C12E41"/>
    <w:rsid w:val="00C513CF"/>
    <w:rsid w:val="00C63FC9"/>
    <w:rsid w:val="00C70C8A"/>
    <w:rsid w:val="00C76168"/>
    <w:rsid w:val="00CB6A43"/>
    <w:rsid w:val="00CC7B6A"/>
    <w:rsid w:val="00CD6782"/>
    <w:rsid w:val="00CD6996"/>
    <w:rsid w:val="00CE2B46"/>
    <w:rsid w:val="00D04E1D"/>
    <w:rsid w:val="00D078EF"/>
    <w:rsid w:val="00D15995"/>
    <w:rsid w:val="00D31892"/>
    <w:rsid w:val="00D43252"/>
    <w:rsid w:val="00D60AFC"/>
    <w:rsid w:val="00D61338"/>
    <w:rsid w:val="00D82F3C"/>
    <w:rsid w:val="00DA3A0B"/>
    <w:rsid w:val="00DA797D"/>
    <w:rsid w:val="00DA7E72"/>
    <w:rsid w:val="00DC2FD7"/>
    <w:rsid w:val="00DD5F15"/>
    <w:rsid w:val="00DF07CC"/>
    <w:rsid w:val="00E002F0"/>
    <w:rsid w:val="00E10E87"/>
    <w:rsid w:val="00E2193E"/>
    <w:rsid w:val="00E31FF6"/>
    <w:rsid w:val="00E458EA"/>
    <w:rsid w:val="00E513DC"/>
    <w:rsid w:val="00E938E8"/>
    <w:rsid w:val="00E94357"/>
    <w:rsid w:val="00E9627D"/>
    <w:rsid w:val="00EA7830"/>
    <w:rsid w:val="00EB6CE3"/>
    <w:rsid w:val="00EB788C"/>
    <w:rsid w:val="00F57379"/>
    <w:rsid w:val="00F700E1"/>
    <w:rsid w:val="00F90D04"/>
    <w:rsid w:val="00F92E2B"/>
    <w:rsid w:val="00FB0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BD58"/>
  <w15:chartTrackingRefBased/>
  <w15:docId w15:val="{9D180289-3120-491B-B787-F283F3FF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42"/>
    <w:rPr>
      <w:kern w:val="0"/>
      <w14:ligatures w14:val="none"/>
    </w:rPr>
  </w:style>
  <w:style w:type="paragraph" w:styleId="Heading1">
    <w:name w:val="heading 1"/>
    <w:basedOn w:val="Normal"/>
    <w:next w:val="Normal"/>
    <w:link w:val="Heading1Char"/>
    <w:uiPriority w:val="9"/>
    <w:qFormat/>
    <w:rsid w:val="009C2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3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3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3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3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3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3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342"/>
    <w:rPr>
      <w:rFonts w:eastAsiaTheme="majorEastAsia" w:cstheme="majorBidi"/>
      <w:color w:val="272727" w:themeColor="text1" w:themeTint="D8"/>
    </w:rPr>
  </w:style>
  <w:style w:type="paragraph" w:styleId="Title">
    <w:name w:val="Title"/>
    <w:basedOn w:val="Normal"/>
    <w:next w:val="Normal"/>
    <w:link w:val="TitleChar"/>
    <w:uiPriority w:val="10"/>
    <w:qFormat/>
    <w:rsid w:val="009C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342"/>
    <w:pPr>
      <w:spacing w:before="160"/>
      <w:jc w:val="center"/>
    </w:pPr>
    <w:rPr>
      <w:i/>
      <w:iCs/>
      <w:color w:val="404040" w:themeColor="text1" w:themeTint="BF"/>
    </w:rPr>
  </w:style>
  <w:style w:type="character" w:customStyle="1" w:styleId="QuoteChar">
    <w:name w:val="Quote Char"/>
    <w:basedOn w:val="DefaultParagraphFont"/>
    <w:link w:val="Quote"/>
    <w:uiPriority w:val="29"/>
    <w:rsid w:val="009C2342"/>
    <w:rPr>
      <w:i/>
      <w:iCs/>
      <w:color w:val="404040" w:themeColor="text1" w:themeTint="BF"/>
    </w:rPr>
  </w:style>
  <w:style w:type="paragraph" w:styleId="ListParagraph">
    <w:name w:val="List Paragraph"/>
    <w:basedOn w:val="Normal"/>
    <w:uiPriority w:val="34"/>
    <w:qFormat/>
    <w:rsid w:val="009C2342"/>
    <w:pPr>
      <w:ind w:left="720"/>
      <w:contextualSpacing/>
    </w:pPr>
  </w:style>
  <w:style w:type="character" w:styleId="IntenseEmphasis">
    <w:name w:val="Intense Emphasis"/>
    <w:basedOn w:val="DefaultParagraphFont"/>
    <w:uiPriority w:val="21"/>
    <w:qFormat/>
    <w:rsid w:val="009C2342"/>
    <w:rPr>
      <w:i/>
      <w:iCs/>
      <w:color w:val="2F5496" w:themeColor="accent1" w:themeShade="BF"/>
    </w:rPr>
  </w:style>
  <w:style w:type="paragraph" w:styleId="IntenseQuote">
    <w:name w:val="Intense Quote"/>
    <w:basedOn w:val="Normal"/>
    <w:next w:val="Normal"/>
    <w:link w:val="IntenseQuoteChar"/>
    <w:uiPriority w:val="30"/>
    <w:qFormat/>
    <w:rsid w:val="009C2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342"/>
    <w:rPr>
      <w:i/>
      <w:iCs/>
      <w:color w:val="2F5496" w:themeColor="accent1" w:themeShade="BF"/>
    </w:rPr>
  </w:style>
  <w:style w:type="character" w:styleId="IntenseReference">
    <w:name w:val="Intense Reference"/>
    <w:basedOn w:val="DefaultParagraphFont"/>
    <w:uiPriority w:val="32"/>
    <w:qFormat/>
    <w:rsid w:val="009C2342"/>
    <w:rPr>
      <w:b/>
      <w:bCs/>
      <w:smallCaps/>
      <w:color w:val="2F5496" w:themeColor="accent1" w:themeShade="BF"/>
      <w:spacing w:val="5"/>
    </w:rPr>
  </w:style>
  <w:style w:type="table" w:styleId="TableGrid">
    <w:name w:val="Table Grid"/>
    <w:basedOn w:val="TableNormal"/>
    <w:uiPriority w:val="39"/>
    <w:rsid w:val="009C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41A"/>
    <w:rPr>
      <w:sz w:val="16"/>
      <w:szCs w:val="16"/>
    </w:rPr>
  </w:style>
  <w:style w:type="paragraph" w:styleId="CommentText">
    <w:name w:val="annotation text"/>
    <w:basedOn w:val="Normal"/>
    <w:link w:val="CommentTextChar"/>
    <w:uiPriority w:val="99"/>
    <w:unhideWhenUsed/>
    <w:rsid w:val="00AD641A"/>
    <w:pPr>
      <w:spacing w:line="240" w:lineRule="auto"/>
    </w:pPr>
    <w:rPr>
      <w:sz w:val="20"/>
      <w:szCs w:val="20"/>
    </w:rPr>
  </w:style>
  <w:style w:type="character" w:customStyle="1" w:styleId="CommentTextChar">
    <w:name w:val="Comment Text Char"/>
    <w:basedOn w:val="DefaultParagraphFont"/>
    <w:link w:val="CommentText"/>
    <w:uiPriority w:val="99"/>
    <w:rsid w:val="00AD641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641A"/>
    <w:rPr>
      <w:b/>
      <w:bCs/>
    </w:rPr>
  </w:style>
  <w:style w:type="character" w:customStyle="1" w:styleId="CommentSubjectChar">
    <w:name w:val="Comment Subject Char"/>
    <w:basedOn w:val="CommentTextChar"/>
    <w:link w:val="CommentSubject"/>
    <w:uiPriority w:val="99"/>
    <w:semiHidden/>
    <w:rsid w:val="00AD641A"/>
    <w:rPr>
      <w:b/>
      <w:bCs/>
      <w:kern w:val="0"/>
      <w:sz w:val="20"/>
      <w:szCs w:val="20"/>
      <w14:ligatures w14:val="none"/>
    </w:rPr>
  </w:style>
  <w:style w:type="paragraph" w:styleId="Revision">
    <w:name w:val="Revision"/>
    <w:hidden/>
    <w:uiPriority w:val="99"/>
    <w:semiHidden/>
    <w:rsid w:val="00DF07CC"/>
    <w:pPr>
      <w:spacing w:after="0" w:line="240" w:lineRule="auto"/>
    </w:pPr>
    <w:rPr>
      <w:kern w:val="0"/>
      <w14:ligatures w14:val="none"/>
    </w:rPr>
  </w:style>
  <w:style w:type="paragraph" w:styleId="NoSpacing">
    <w:name w:val="No Spacing"/>
    <w:uiPriority w:val="1"/>
    <w:qFormat/>
    <w:rsid w:val="00CE2B4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6838</Words>
  <Characters>3898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Zeilia | INOSPECTRA</dc:creator>
  <cp:keywords/>
  <dc:description/>
  <cp:lastModifiedBy>Virginija Lapaitytė</cp:lastModifiedBy>
  <cp:revision>30</cp:revision>
  <dcterms:created xsi:type="dcterms:W3CDTF">2026-05-19T06:30:00Z</dcterms:created>
  <dcterms:modified xsi:type="dcterms:W3CDTF">2026-05-27T13:15:00Z</dcterms:modified>
</cp:coreProperties>
</file>