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5FE893DD" w:rsidR="00EF5F64" w:rsidRPr="00DD4DD2" w:rsidRDefault="00EF5F64" w:rsidP="003C5899">
          <w:pPr>
            <w:shd w:val="clear" w:color="auto" w:fill="FFFFFF"/>
            <w:spacing w:after="0" w:line="240" w:lineRule="auto"/>
            <w:jc w:val="center"/>
            <w:rPr>
              <w:rFonts w:cstheme="minorHAnsi"/>
              <w:b/>
              <w:sz w:val="24"/>
              <w:szCs w:val="24"/>
              <w:lang w:val="lt-LT"/>
            </w:rPr>
          </w:pPr>
          <w:r w:rsidRPr="00DD4DD2">
            <w:rPr>
              <w:rFonts w:cstheme="minorHAnsi"/>
              <w:b/>
              <w:sz w:val="24"/>
              <w:szCs w:val="24"/>
              <w:lang w:val="lt-LT"/>
            </w:rPr>
            <w:t>„</w:t>
          </w:r>
          <w:r w:rsidR="003C5899" w:rsidRPr="003C5899">
            <w:rPr>
              <w:rFonts w:eastAsia="Calibri" w:cstheme="minorHAnsi"/>
              <w:b/>
              <w:bCs/>
              <w:sz w:val="24"/>
              <w:szCs w:val="24"/>
              <w:lang w:val="pt-BR"/>
            </w:rPr>
            <w:t>SVEIKATINGUMO STOVYKLOS VAIKAMS IR JAUNIMUI</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4A301817" w14:textId="1B2C0453" w:rsidR="00157316"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30612118" w:history="1">
            <w:r w:rsidR="00157316" w:rsidRPr="00A01951">
              <w:rPr>
                <w:rStyle w:val="Hipersaitas"/>
                <w:rFonts w:cstheme="minorHAnsi"/>
              </w:rPr>
              <w:t>1.</w:t>
            </w:r>
            <w:r w:rsidR="00157316">
              <w:rPr>
                <w:rFonts w:eastAsiaTheme="minorEastAsia" w:cstheme="minorBidi"/>
                <w:b w:val="0"/>
                <w:bCs w:val="0"/>
                <w:kern w:val="2"/>
                <w:sz w:val="24"/>
                <w:szCs w:val="24"/>
                <w:lang w:eastAsia="lt-LT"/>
                <w14:ligatures w14:val="standardContextual"/>
              </w:rPr>
              <w:tab/>
            </w:r>
            <w:r w:rsidR="00157316" w:rsidRPr="00A01951">
              <w:rPr>
                <w:rStyle w:val="Hipersaitas"/>
                <w:rFonts w:cstheme="minorHAnsi"/>
              </w:rPr>
              <w:t>Sąvokos ir sutrumpinimai</w:t>
            </w:r>
            <w:r w:rsidR="00157316">
              <w:rPr>
                <w:webHidden/>
              </w:rPr>
              <w:tab/>
            </w:r>
            <w:r w:rsidR="00157316">
              <w:rPr>
                <w:webHidden/>
              </w:rPr>
              <w:fldChar w:fldCharType="begin"/>
            </w:r>
            <w:r w:rsidR="00157316">
              <w:rPr>
                <w:webHidden/>
              </w:rPr>
              <w:instrText xml:space="preserve"> PAGEREF _Toc230612118 \h </w:instrText>
            </w:r>
            <w:r w:rsidR="00157316">
              <w:rPr>
                <w:webHidden/>
              </w:rPr>
            </w:r>
            <w:r w:rsidR="00157316">
              <w:rPr>
                <w:webHidden/>
              </w:rPr>
              <w:fldChar w:fldCharType="separate"/>
            </w:r>
            <w:r w:rsidR="00F003F4">
              <w:rPr>
                <w:webHidden/>
              </w:rPr>
              <w:t>1</w:t>
            </w:r>
            <w:r w:rsidR="00157316">
              <w:rPr>
                <w:webHidden/>
              </w:rPr>
              <w:fldChar w:fldCharType="end"/>
            </w:r>
          </w:hyperlink>
        </w:p>
        <w:p w14:paraId="321906F8" w14:textId="4816A555" w:rsidR="00157316" w:rsidRDefault="00157316">
          <w:pPr>
            <w:pStyle w:val="Turinys1"/>
            <w:rPr>
              <w:rFonts w:eastAsiaTheme="minorEastAsia" w:cstheme="minorBidi"/>
              <w:b w:val="0"/>
              <w:bCs w:val="0"/>
              <w:kern w:val="2"/>
              <w:sz w:val="24"/>
              <w:szCs w:val="24"/>
              <w:lang w:eastAsia="lt-LT"/>
              <w14:ligatures w14:val="standardContextual"/>
            </w:rPr>
          </w:pPr>
          <w:hyperlink w:anchor="_Toc230612119" w:history="1">
            <w:r w:rsidRPr="00A01951">
              <w:rPr>
                <w:rStyle w:val="Hipersaitas"/>
                <w:rFonts w:cstheme="minorHAnsi"/>
              </w:rPr>
              <w:t>2.</w:t>
            </w:r>
            <w:r>
              <w:rPr>
                <w:rFonts w:eastAsiaTheme="minorEastAsia" w:cstheme="minorBidi"/>
                <w:b w:val="0"/>
                <w:bCs w:val="0"/>
                <w:kern w:val="2"/>
                <w:sz w:val="24"/>
                <w:szCs w:val="24"/>
                <w:lang w:eastAsia="lt-LT"/>
                <w14:ligatures w14:val="standardContextual"/>
              </w:rPr>
              <w:tab/>
            </w:r>
            <w:r w:rsidRPr="00A01951">
              <w:rPr>
                <w:rStyle w:val="Hipersaitas"/>
                <w:rFonts w:cstheme="minorHAnsi"/>
              </w:rPr>
              <w:t>Bendrosios nuostatos</w:t>
            </w:r>
            <w:r>
              <w:rPr>
                <w:webHidden/>
              </w:rPr>
              <w:tab/>
            </w:r>
            <w:r>
              <w:rPr>
                <w:webHidden/>
              </w:rPr>
              <w:fldChar w:fldCharType="begin"/>
            </w:r>
            <w:r>
              <w:rPr>
                <w:webHidden/>
              </w:rPr>
              <w:instrText xml:space="preserve"> PAGEREF _Toc230612119 \h </w:instrText>
            </w:r>
            <w:r>
              <w:rPr>
                <w:webHidden/>
              </w:rPr>
            </w:r>
            <w:r>
              <w:rPr>
                <w:webHidden/>
              </w:rPr>
              <w:fldChar w:fldCharType="separate"/>
            </w:r>
            <w:r w:rsidR="00F003F4">
              <w:rPr>
                <w:webHidden/>
              </w:rPr>
              <w:t>2</w:t>
            </w:r>
            <w:r>
              <w:rPr>
                <w:webHidden/>
              </w:rPr>
              <w:fldChar w:fldCharType="end"/>
            </w:r>
          </w:hyperlink>
        </w:p>
        <w:p w14:paraId="052D1F0E" w14:textId="2E449904" w:rsidR="00157316" w:rsidRDefault="00157316">
          <w:pPr>
            <w:pStyle w:val="Turinys1"/>
            <w:rPr>
              <w:rFonts w:eastAsiaTheme="minorEastAsia" w:cstheme="minorBidi"/>
              <w:b w:val="0"/>
              <w:bCs w:val="0"/>
              <w:kern w:val="2"/>
              <w:sz w:val="24"/>
              <w:szCs w:val="24"/>
              <w:lang w:eastAsia="lt-LT"/>
              <w14:ligatures w14:val="standardContextual"/>
            </w:rPr>
          </w:pPr>
          <w:hyperlink w:anchor="_Toc230612120" w:history="1">
            <w:r w:rsidRPr="00A01951">
              <w:rPr>
                <w:rStyle w:val="Hipersaitas"/>
                <w:rFonts w:cstheme="minorHAnsi"/>
              </w:rPr>
              <w:t>3.</w:t>
            </w:r>
            <w:r>
              <w:rPr>
                <w:rFonts w:eastAsiaTheme="minorEastAsia" w:cstheme="minorBidi"/>
                <w:b w:val="0"/>
                <w:bCs w:val="0"/>
                <w:kern w:val="2"/>
                <w:sz w:val="24"/>
                <w:szCs w:val="24"/>
                <w:lang w:eastAsia="lt-LT"/>
                <w14:ligatures w14:val="standardContextual"/>
              </w:rPr>
              <w:tab/>
            </w:r>
            <w:r w:rsidRPr="00A01951">
              <w:rPr>
                <w:rStyle w:val="Hipersaitas"/>
                <w:rFonts w:cstheme="minorHAnsi"/>
              </w:rPr>
              <w:t>Pirkimo objektas</w:t>
            </w:r>
            <w:r>
              <w:rPr>
                <w:webHidden/>
              </w:rPr>
              <w:tab/>
            </w:r>
            <w:r>
              <w:rPr>
                <w:webHidden/>
              </w:rPr>
              <w:fldChar w:fldCharType="begin"/>
            </w:r>
            <w:r>
              <w:rPr>
                <w:webHidden/>
              </w:rPr>
              <w:instrText xml:space="preserve"> PAGEREF _Toc230612120 \h </w:instrText>
            </w:r>
            <w:r>
              <w:rPr>
                <w:webHidden/>
              </w:rPr>
            </w:r>
            <w:r>
              <w:rPr>
                <w:webHidden/>
              </w:rPr>
              <w:fldChar w:fldCharType="separate"/>
            </w:r>
            <w:r w:rsidR="00F003F4">
              <w:rPr>
                <w:webHidden/>
              </w:rPr>
              <w:t>3</w:t>
            </w:r>
            <w:r>
              <w:rPr>
                <w:webHidden/>
              </w:rPr>
              <w:fldChar w:fldCharType="end"/>
            </w:r>
          </w:hyperlink>
        </w:p>
        <w:p w14:paraId="2F0D1016" w14:textId="09D3257B" w:rsidR="00157316" w:rsidRDefault="00157316">
          <w:pPr>
            <w:pStyle w:val="Turinys1"/>
            <w:rPr>
              <w:rFonts w:eastAsiaTheme="minorEastAsia" w:cstheme="minorBidi"/>
              <w:b w:val="0"/>
              <w:bCs w:val="0"/>
              <w:kern w:val="2"/>
              <w:sz w:val="24"/>
              <w:szCs w:val="24"/>
              <w:lang w:eastAsia="lt-LT"/>
              <w14:ligatures w14:val="standardContextual"/>
            </w:rPr>
          </w:pPr>
          <w:hyperlink w:anchor="_Toc230612121" w:history="1">
            <w:r w:rsidRPr="00A01951">
              <w:rPr>
                <w:rStyle w:val="Hipersaitas"/>
                <w:rFonts w:cstheme="minorHAnsi"/>
              </w:rPr>
              <w:t>4.</w:t>
            </w:r>
            <w:r>
              <w:rPr>
                <w:rFonts w:eastAsiaTheme="minorEastAsia" w:cstheme="minorBidi"/>
                <w:b w:val="0"/>
                <w:bCs w:val="0"/>
                <w:kern w:val="2"/>
                <w:sz w:val="24"/>
                <w:szCs w:val="24"/>
                <w:lang w:eastAsia="lt-LT"/>
                <w14:ligatures w14:val="standardContextual"/>
              </w:rPr>
              <w:tab/>
            </w:r>
            <w:r w:rsidRPr="00A01951">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_Toc230612121 \h </w:instrText>
            </w:r>
            <w:r>
              <w:rPr>
                <w:webHidden/>
              </w:rPr>
            </w:r>
            <w:r>
              <w:rPr>
                <w:webHidden/>
              </w:rPr>
              <w:fldChar w:fldCharType="separate"/>
            </w:r>
            <w:r w:rsidR="00F003F4">
              <w:rPr>
                <w:webHidden/>
              </w:rPr>
              <w:t>3</w:t>
            </w:r>
            <w:r>
              <w:rPr>
                <w:webHidden/>
              </w:rPr>
              <w:fldChar w:fldCharType="end"/>
            </w:r>
          </w:hyperlink>
        </w:p>
        <w:p w14:paraId="232EF815" w14:textId="46933412" w:rsidR="00157316" w:rsidRDefault="00157316">
          <w:pPr>
            <w:pStyle w:val="Turinys1"/>
            <w:rPr>
              <w:rFonts w:eastAsiaTheme="minorEastAsia" w:cstheme="minorBidi"/>
              <w:b w:val="0"/>
              <w:bCs w:val="0"/>
              <w:kern w:val="2"/>
              <w:sz w:val="24"/>
              <w:szCs w:val="24"/>
              <w:lang w:eastAsia="lt-LT"/>
              <w14:ligatures w14:val="standardContextual"/>
            </w:rPr>
          </w:pPr>
          <w:hyperlink w:anchor="_Toc230612122" w:history="1">
            <w:r w:rsidRPr="00A01951">
              <w:rPr>
                <w:rStyle w:val="Hipersaitas"/>
                <w:rFonts w:cstheme="minorHAnsi"/>
              </w:rPr>
              <w:t>5.</w:t>
            </w:r>
            <w:r>
              <w:rPr>
                <w:rFonts w:eastAsiaTheme="minorEastAsia" w:cstheme="minorBidi"/>
                <w:b w:val="0"/>
                <w:bCs w:val="0"/>
                <w:kern w:val="2"/>
                <w:sz w:val="24"/>
                <w:szCs w:val="24"/>
                <w:lang w:eastAsia="lt-LT"/>
                <w14:ligatures w14:val="standardContextual"/>
              </w:rPr>
              <w:tab/>
            </w:r>
            <w:r w:rsidRPr="00A01951">
              <w:rPr>
                <w:rStyle w:val="Hipersaitas"/>
                <w:rFonts w:cstheme="minorHAnsi"/>
              </w:rPr>
              <w:t>Pirkimo dokumentų paaiškinimai ir patikslinimai</w:t>
            </w:r>
            <w:r>
              <w:rPr>
                <w:webHidden/>
              </w:rPr>
              <w:tab/>
            </w:r>
            <w:r>
              <w:rPr>
                <w:webHidden/>
              </w:rPr>
              <w:fldChar w:fldCharType="begin"/>
            </w:r>
            <w:r>
              <w:rPr>
                <w:webHidden/>
              </w:rPr>
              <w:instrText xml:space="preserve"> PAGEREF _Toc230612122 \h </w:instrText>
            </w:r>
            <w:r>
              <w:rPr>
                <w:webHidden/>
              </w:rPr>
            </w:r>
            <w:r>
              <w:rPr>
                <w:webHidden/>
              </w:rPr>
              <w:fldChar w:fldCharType="separate"/>
            </w:r>
            <w:r w:rsidR="00F003F4">
              <w:rPr>
                <w:webHidden/>
              </w:rPr>
              <w:t>4</w:t>
            </w:r>
            <w:r>
              <w:rPr>
                <w:webHidden/>
              </w:rPr>
              <w:fldChar w:fldCharType="end"/>
            </w:r>
          </w:hyperlink>
        </w:p>
        <w:p w14:paraId="5BEFFA2B" w14:textId="1FA9A01F" w:rsidR="00157316" w:rsidRDefault="00157316">
          <w:pPr>
            <w:pStyle w:val="Turinys1"/>
            <w:rPr>
              <w:rFonts w:eastAsiaTheme="minorEastAsia" w:cstheme="minorBidi"/>
              <w:b w:val="0"/>
              <w:bCs w:val="0"/>
              <w:kern w:val="2"/>
              <w:sz w:val="24"/>
              <w:szCs w:val="24"/>
              <w:lang w:eastAsia="lt-LT"/>
              <w14:ligatures w14:val="standardContextual"/>
            </w:rPr>
          </w:pPr>
          <w:hyperlink w:anchor="_Toc230612123" w:history="1">
            <w:r w:rsidRPr="00A01951">
              <w:rPr>
                <w:rStyle w:val="Hipersaitas"/>
                <w:rFonts w:cstheme="minorHAnsi"/>
              </w:rPr>
              <w:t>6.</w:t>
            </w:r>
            <w:r>
              <w:rPr>
                <w:rFonts w:eastAsiaTheme="minorEastAsia" w:cstheme="minorBidi"/>
                <w:b w:val="0"/>
                <w:bCs w:val="0"/>
                <w:kern w:val="2"/>
                <w:sz w:val="24"/>
                <w:szCs w:val="24"/>
                <w:lang w:eastAsia="lt-LT"/>
                <w14:ligatures w14:val="standardContextual"/>
              </w:rPr>
              <w:tab/>
            </w:r>
            <w:r w:rsidRPr="00A01951">
              <w:rPr>
                <w:rStyle w:val="Hipersaitas"/>
                <w:rFonts w:cstheme="minorHAnsi"/>
              </w:rPr>
              <w:t>Tiekėjų pašalinimo pagrindai</w:t>
            </w:r>
            <w:r>
              <w:rPr>
                <w:webHidden/>
              </w:rPr>
              <w:tab/>
            </w:r>
            <w:r>
              <w:rPr>
                <w:webHidden/>
              </w:rPr>
              <w:fldChar w:fldCharType="begin"/>
            </w:r>
            <w:r>
              <w:rPr>
                <w:webHidden/>
              </w:rPr>
              <w:instrText xml:space="preserve"> PAGEREF _Toc230612123 \h </w:instrText>
            </w:r>
            <w:r>
              <w:rPr>
                <w:webHidden/>
              </w:rPr>
            </w:r>
            <w:r>
              <w:rPr>
                <w:webHidden/>
              </w:rPr>
              <w:fldChar w:fldCharType="separate"/>
            </w:r>
            <w:r w:rsidR="00F003F4">
              <w:rPr>
                <w:webHidden/>
              </w:rPr>
              <w:t>5</w:t>
            </w:r>
            <w:r>
              <w:rPr>
                <w:webHidden/>
              </w:rPr>
              <w:fldChar w:fldCharType="end"/>
            </w:r>
          </w:hyperlink>
        </w:p>
        <w:p w14:paraId="205D3AD6" w14:textId="7E4FD43D" w:rsidR="00157316" w:rsidRDefault="00157316">
          <w:pPr>
            <w:pStyle w:val="Turinys1"/>
            <w:rPr>
              <w:rFonts w:eastAsiaTheme="minorEastAsia" w:cstheme="minorBidi"/>
              <w:b w:val="0"/>
              <w:bCs w:val="0"/>
              <w:kern w:val="2"/>
              <w:sz w:val="24"/>
              <w:szCs w:val="24"/>
              <w:lang w:eastAsia="lt-LT"/>
              <w14:ligatures w14:val="standardContextual"/>
            </w:rPr>
          </w:pPr>
          <w:hyperlink w:anchor="_Toc230612124" w:history="1">
            <w:r w:rsidRPr="00A01951">
              <w:rPr>
                <w:rStyle w:val="Hipersaitas"/>
                <w:rFonts w:cstheme="minorHAnsi"/>
              </w:rPr>
              <w:t>7.</w:t>
            </w:r>
            <w:r>
              <w:rPr>
                <w:rFonts w:eastAsiaTheme="minorEastAsia" w:cstheme="minorBidi"/>
                <w:b w:val="0"/>
                <w:bCs w:val="0"/>
                <w:kern w:val="2"/>
                <w:sz w:val="24"/>
                <w:szCs w:val="24"/>
                <w:lang w:eastAsia="lt-LT"/>
                <w14:ligatures w14:val="standardContextual"/>
              </w:rPr>
              <w:tab/>
            </w:r>
            <w:r w:rsidRPr="00A0195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_Toc230612124 \h </w:instrText>
            </w:r>
            <w:r>
              <w:rPr>
                <w:webHidden/>
              </w:rPr>
            </w:r>
            <w:r>
              <w:rPr>
                <w:webHidden/>
              </w:rPr>
              <w:fldChar w:fldCharType="separate"/>
            </w:r>
            <w:r w:rsidR="00F003F4">
              <w:rPr>
                <w:webHidden/>
              </w:rPr>
              <w:t>5</w:t>
            </w:r>
            <w:r>
              <w:rPr>
                <w:webHidden/>
              </w:rPr>
              <w:fldChar w:fldCharType="end"/>
            </w:r>
          </w:hyperlink>
        </w:p>
        <w:p w14:paraId="33A6D6D8" w14:textId="01E35E3A" w:rsidR="00157316" w:rsidRDefault="00157316">
          <w:pPr>
            <w:pStyle w:val="Turinys1"/>
            <w:rPr>
              <w:rFonts w:eastAsiaTheme="minorEastAsia" w:cstheme="minorBidi"/>
              <w:b w:val="0"/>
              <w:bCs w:val="0"/>
              <w:kern w:val="2"/>
              <w:sz w:val="24"/>
              <w:szCs w:val="24"/>
              <w:lang w:eastAsia="lt-LT"/>
              <w14:ligatures w14:val="standardContextual"/>
            </w:rPr>
          </w:pPr>
          <w:hyperlink w:anchor="_Toc230612125" w:history="1">
            <w:r w:rsidRPr="00A01951">
              <w:rPr>
                <w:rStyle w:val="Hipersaitas"/>
                <w:rFonts w:cstheme="minorHAnsi"/>
              </w:rPr>
              <w:t>8.</w:t>
            </w:r>
            <w:r>
              <w:rPr>
                <w:rFonts w:eastAsiaTheme="minorEastAsia" w:cstheme="minorBidi"/>
                <w:b w:val="0"/>
                <w:bCs w:val="0"/>
                <w:kern w:val="2"/>
                <w:sz w:val="24"/>
                <w:szCs w:val="24"/>
                <w:lang w:eastAsia="lt-LT"/>
                <w14:ligatures w14:val="standardContextual"/>
              </w:rPr>
              <w:tab/>
            </w:r>
            <w:r w:rsidRPr="00A01951">
              <w:rPr>
                <w:rStyle w:val="Hipersaitas"/>
                <w:rFonts w:cstheme="minorHAnsi"/>
              </w:rPr>
              <w:t>Rezervuota teisė dalyvauti pirkime</w:t>
            </w:r>
            <w:r>
              <w:rPr>
                <w:webHidden/>
              </w:rPr>
              <w:tab/>
            </w:r>
            <w:r>
              <w:rPr>
                <w:webHidden/>
              </w:rPr>
              <w:fldChar w:fldCharType="begin"/>
            </w:r>
            <w:r>
              <w:rPr>
                <w:webHidden/>
              </w:rPr>
              <w:instrText xml:space="preserve"> PAGEREF _Toc230612125 \h </w:instrText>
            </w:r>
            <w:r>
              <w:rPr>
                <w:webHidden/>
              </w:rPr>
            </w:r>
            <w:r>
              <w:rPr>
                <w:webHidden/>
              </w:rPr>
              <w:fldChar w:fldCharType="separate"/>
            </w:r>
            <w:r w:rsidR="00F003F4">
              <w:rPr>
                <w:webHidden/>
              </w:rPr>
              <w:t>6</w:t>
            </w:r>
            <w:r>
              <w:rPr>
                <w:webHidden/>
              </w:rPr>
              <w:fldChar w:fldCharType="end"/>
            </w:r>
          </w:hyperlink>
        </w:p>
        <w:p w14:paraId="228CF1AA" w14:textId="1AB7F6DF" w:rsidR="00157316" w:rsidRDefault="00157316">
          <w:pPr>
            <w:pStyle w:val="Turinys1"/>
            <w:rPr>
              <w:rFonts w:eastAsiaTheme="minorEastAsia" w:cstheme="minorBidi"/>
              <w:b w:val="0"/>
              <w:bCs w:val="0"/>
              <w:kern w:val="2"/>
              <w:sz w:val="24"/>
              <w:szCs w:val="24"/>
              <w:lang w:eastAsia="lt-LT"/>
              <w14:ligatures w14:val="standardContextual"/>
            </w:rPr>
          </w:pPr>
          <w:hyperlink w:anchor="_Toc230612126" w:history="1">
            <w:r w:rsidRPr="00A01951">
              <w:rPr>
                <w:rStyle w:val="Hipersaitas"/>
                <w:rFonts w:cstheme="minorHAnsi"/>
              </w:rPr>
              <w:t>9.</w:t>
            </w:r>
            <w:r>
              <w:rPr>
                <w:rFonts w:eastAsiaTheme="minorEastAsia" w:cstheme="minorBidi"/>
                <w:b w:val="0"/>
                <w:bCs w:val="0"/>
                <w:kern w:val="2"/>
                <w:sz w:val="24"/>
                <w:szCs w:val="24"/>
                <w:lang w:eastAsia="lt-LT"/>
                <w14:ligatures w14:val="standardContextual"/>
              </w:rPr>
              <w:tab/>
            </w:r>
            <w:r w:rsidRPr="00A0195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_Toc230612126 \h </w:instrText>
            </w:r>
            <w:r>
              <w:rPr>
                <w:webHidden/>
              </w:rPr>
            </w:r>
            <w:r>
              <w:rPr>
                <w:webHidden/>
              </w:rPr>
              <w:fldChar w:fldCharType="separate"/>
            </w:r>
            <w:r w:rsidR="00F003F4">
              <w:rPr>
                <w:webHidden/>
              </w:rPr>
              <w:t>7</w:t>
            </w:r>
            <w:r>
              <w:rPr>
                <w:webHidden/>
              </w:rPr>
              <w:fldChar w:fldCharType="end"/>
            </w:r>
          </w:hyperlink>
        </w:p>
        <w:p w14:paraId="141FCE64" w14:textId="27FAC1C4" w:rsidR="00157316" w:rsidRDefault="00157316">
          <w:pPr>
            <w:pStyle w:val="Turinys1"/>
            <w:rPr>
              <w:rFonts w:eastAsiaTheme="minorEastAsia" w:cstheme="minorBidi"/>
              <w:b w:val="0"/>
              <w:bCs w:val="0"/>
              <w:kern w:val="2"/>
              <w:sz w:val="24"/>
              <w:szCs w:val="24"/>
              <w:lang w:eastAsia="lt-LT"/>
              <w14:ligatures w14:val="standardContextual"/>
            </w:rPr>
          </w:pPr>
          <w:hyperlink w:anchor="_Toc230612127" w:history="1">
            <w:r w:rsidRPr="00A01951">
              <w:rPr>
                <w:rStyle w:val="Hipersaitas"/>
                <w:rFonts w:cstheme="minorHAnsi"/>
              </w:rPr>
              <w:t>10.</w:t>
            </w:r>
            <w:r>
              <w:rPr>
                <w:rFonts w:eastAsiaTheme="minorEastAsia" w:cstheme="minorBidi"/>
                <w:b w:val="0"/>
                <w:bCs w:val="0"/>
                <w:kern w:val="2"/>
                <w:sz w:val="24"/>
                <w:szCs w:val="24"/>
                <w:lang w:eastAsia="lt-LT"/>
                <w14:ligatures w14:val="standardContextual"/>
              </w:rPr>
              <w:tab/>
            </w:r>
            <w:r w:rsidRPr="00A01951">
              <w:rPr>
                <w:rStyle w:val="Hipersaitas"/>
                <w:rFonts w:cstheme="minorHAnsi"/>
              </w:rPr>
              <w:t>Rėmimasis ūkio subjektų pajėgumais</w:t>
            </w:r>
            <w:r>
              <w:rPr>
                <w:webHidden/>
              </w:rPr>
              <w:tab/>
            </w:r>
            <w:r>
              <w:rPr>
                <w:webHidden/>
              </w:rPr>
              <w:fldChar w:fldCharType="begin"/>
            </w:r>
            <w:r>
              <w:rPr>
                <w:webHidden/>
              </w:rPr>
              <w:instrText xml:space="preserve"> PAGEREF _Toc230612127 \h </w:instrText>
            </w:r>
            <w:r>
              <w:rPr>
                <w:webHidden/>
              </w:rPr>
            </w:r>
            <w:r>
              <w:rPr>
                <w:webHidden/>
              </w:rPr>
              <w:fldChar w:fldCharType="separate"/>
            </w:r>
            <w:r w:rsidR="00F003F4">
              <w:rPr>
                <w:webHidden/>
              </w:rPr>
              <w:t>8</w:t>
            </w:r>
            <w:r>
              <w:rPr>
                <w:webHidden/>
              </w:rPr>
              <w:fldChar w:fldCharType="end"/>
            </w:r>
          </w:hyperlink>
        </w:p>
        <w:p w14:paraId="233D9EAF" w14:textId="3DBA4DF4" w:rsidR="00157316" w:rsidRDefault="00157316">
          <w:pPr>
            <w:pStyle w:val="Turinys1"/>
            <w:rPr>
              <w:rFonts w:eastAsiaTheme="minorEastAsia" w:cstheme="minorBidi"/>
              <w:b w:val="0"/>
              <w:bCs w:val="0"/>
              <w:kern w:val="2"/>
              <w:sz w:val="24"/>
              <w:szCs w:val="24"/>
              <w:lang w:eastAsia="lt-LT"/>
              <w14:ligatures w14:val="standardContextual"/>
            </w:rPr>
          </w:pPr>
          <w:hyperlink w:anchor="_Toc230612128" w:history="1">
            <w:r w:rsidRPr="00A01951">
              <w:rPr>
                <w:rStyle w:val="Hipersaitas"/>
                <w:rFonts w:cstheme="minorHAnsi"/>
              </w:rPr>
              <w:t>11.</w:t>
            </w:r>
            <w:r>
              <w:rPr>
                <w:rFonts w:eastAsiaTheme="minorEastAsia" w:cstheme="minorBidi"/>
                <w:b w:val="0"/>
                <w:bCs w:val="0"/>
                <w:kern w:val="2"/>
                <w:sz w:val="24"/>
                <w:szCs w:val="24"/>
                <w:lang w:eastAsia="lt-LT"/>
                <w14:ligatures w14:val="standardContextual"/>
              </w:rPr>
              <w:tab/>
            </w:r>
            <w:r w:rsidRPr="00A01951">
              <w:rPr>
                <w:rStyle w:val="Hipersaitas"/>
                <w:rFonts w:cstheme="minorHAnsi"/>
              </w:rPr>
              <w:t>Subtiekėjų pasitelkimas</w:t>
            </w:r>
            <w:r>
              <w:rPr>
                <w:webHidden/>
              </w:rPr>
              <w:tab/>
            </w:r>
            <w:r>
              <w:rPr>
                <w:webHidden/>
              </w:rPr>
              <w:fldChar w:fldCharType="begin"/>
            </w:r>
            <w:r>
              <w:rPr>
                <w:webHidden/>
              </w:rPr>
              <w:instrText xml:space="preserve"> PAGEREF _Toc230612128 \h </w:instrText>
            </w:r>
            <w:r>
              <w:rPr>
                <w:webHidden/>
              </w:rPr>
            </w:r>
            <w:r>
              <w:rPr>
                <w:webHidden/>
              </w:rPr>
              <w:fldChar w:fldCharType="separate"/>
            </w:r>
            <w:r w:rsidR="00F003F4">
              <w:rPr>
                <w:webHidden/>
              </w:rPr>
              <w:t>9</w:t>
            </w:r>
            <w:r>
              <w:rPr>
                <w:webHidden/>
              </w:rPr>
              <w:fldChar w:fldCharType="end"/>
            </w:r>
          </w:hyperlink>
        </w:p>
        <w:p w14:paraId="0DFD5693" w14:textId="46A65A97" w:rsidR="00157316" w:rsidRDefault="00157316">
          <w:pPr>
            <w:pStyle w:val="Turinys1"/>
            <w:rPr>
              <w:rFonts w:eastAsiaTheme="minorEastAsia" w:cstheme="minorBidi"/>
              <w:b w:val="0"/>
              <w:bCs w:val="0"/>
              <w:kern w:val="2"/>
              <w:sz w:val="24"/>
              <w:szCs w:val="24"/>
              <w:lang w:eastAsia="lt-LT"/>
              <w14:ligatures w14:val="standardContextual"/>
            </w:rPr>
          </w:pPr>
          <w:hyperlink w:anchor="_Toc230612129" w:history="1">
            <w:r w:rsidRPr="00A01951">
              <w:rPr>
                <w:rStyle w:val="Hipersaitas"/>
                <w:rFonts w:cstheme="minorHAnsi"/>
              </w:rPr>
              <w:t>12.</w:t>
            </w:r>
            <w:r>
              <w:rPr>
                <w:rFonts w:eastAsiaTheme="minorEastAsia" w:cstheme="minorBidi"/>
                <w:b w:val="0"/>
                <w:bCs w:val="0"/>
                <w:kern w:val="2"/>
                <w:sz w:val="24"/>
                <w:szCs w:val="24"/>
                <w:lang w:eastAsia="lt-LT"/>
                <w14:ligatures w14:val="standardContextual"/>
              </w:rPr>
              <w:tab/>
            </w:r>
            <w:r w:rsidRPr="00A01951">
              <w:rPr>
                <w:rStyle w:val="Hipersaitas"/>
                <w:rFonts w:cstheme="minorHAnsi"/>
              </w:rPr>
              <w:t>Tiekėjų grupės dalyvavimas</w:t>
            </w:r>
            <w:r>
              <w:rPr>
                <w:webHidden/>
              </w:rPr>
              <w:tab/>
            </w:r>
            <w:r>
              <w:rPr>
                <w:webHidden/>
              </w:rPr>
              <w:fldChar w:fldCharType="begin"/>
            </w:r>
            <w:r>
              <w:rPr>
                <w:webHidden/>
              </w:rPr>
              <w:instrText xml:space="preserve"> PAGEREF _Toc230612129 \h </w:instrText>
            </w:r>
            <w:r>
              <w:rPr>
                <w:webHidden/>
              </w:rPr>
            </w:r>
            <w:r>
              <w:rPr>
                <w:webHidden/>
              </w:rPr>
              <w:fldChar w:fldCharType="separate"/>
            </w:r>
            <w:r w:rsidR="00F003F4">
              <w:rPr>
                <w:webHidden/>
              </w:rPr>
              <w:t>9</w:t>
            </w:r>
            <w:r>
              <w:rPr>
                <w:webHidden/>
              </w:rPr>
              <w:fldChar w:fldCharType="end"/>
            </w:r>
          </w:hyperlink>
        </w:p>
        <w:p w14:paraId="4AEF0551" w14:textId="28556FEF" w:rsidR="00157316" w:rsidRDefault="00157316">
          <w:pPr>
            <w:pStyle w:val="Turinys1"/>
            <w:rPr>
              <w:rFonts w:eastAsiaTheme="minorEastAsia" w:cstheme="minorBidi"/>
              <w:b w:val="0"/>
              <w:bCs w:val="0"/>
              <w:kern w:val="2"/>
              <w:sz w:val="24"/>
              <w:szCs w:val="24"/>
              <w:lang w:eastAsia="lt-LT"/>
              <w14:ligatures w14:val="standardContextual"/>
            </w:rPr>
          </w:pPr>
          <w:hyperlink w:anchor="_Toc230612130" w:history="1">
            <w:r w:rsidRPr="00A01951">
              <w:rPr>
                <w:rStyle w:val="Hipersaitas"/>
                <w:rFonts w:cstheme="minorHAnsi"/>
              </w:rPr>
              <w:t>13.</w:t>
            </w:r>
            <w:r>
              <w:rPr>
                <w:rFonts w:eastAsiaTheme="minorEastAsia" w:cstheme="minorBidi"/>
                <w:b w:val="0"/>
                <w:bCs w:val="0"/>
                <w:kern w:val="2"/>
                <w:sz w:val="24"/>
                <w:szCs w:val="24"/>
                <w:lang w:eastAsia="lt-LT"/>
                <w14:ligatures w14:val="standardContextual"/>
              </w:rPr>
              <w:tab/>
            </w:r>
            <w:r w:rsidRPr="00A01951">
              <w:rPr>
                <w:rStyle w:val="Hipersaitas"/>
                <w:rFonts w:cstheme="minorHAnsi"/>
              </w:rPr>
              <w:t>Reikalavimai pasiūlymų rengimui ir pateikimui</w:t>
            </w:r>
            <w:r>
              <w:rPr>
                <w:webHidden/>
              </w:rPr>
              <w:tab/>
            </w:r>
            <w:r>
              <w:rPr>
                <w:webHidden/>
              </w:rPr>
              <w:fldChar w:fldCharType="begin"/>
            </w:r>
            <w:r>
              <w:rPr>
                <w:webHidden/>
              </w:rPr>
              <w:instrText xml:space="preserve"> PAGEREF _Toc230612130 \h </w:instrText>
            </w:r>
            <w:r>
              <w:rPr>
                <w:webHidden/>
              </w:rPr>
            </w:r>
            <w:r>
              <w:rPr>
                <w:webHidden/>
              </w:rPr>
              <w:fldChar w:fldCharType="separate"/>
            </w:r>
            <w:r w:rsidR="00F003F4">
              <w:rPr>
                <w:webHidden/>
              </w:rPr>
              <w:t>10</w:t>
            </w:r>
            <w:r>
              <w:rPr>
                <w:webHidden/>
              </w:rPr>
              <w:fldChar w:fldCharType="end"/>
            </w:r>
          </w:hyperlink>
        </w:p>
        <w:p w14:paraId="4EABCBF1" w14:textId="43AFB916" w:rsidR="00157316" w:rsidRDefault="00157316">
          <w:pPr>
            <w:pStyle w:val="Turinys1"/>
            <w:rPr>
              <w:rFonts w:eastAsiaTheme="minorEastAsia" w:cstheme="minorBidi"/>
              <w:b w:val="0"/>
              <w:bCs w:val="0"/>
              <w:kern w:val="2"/>
              <w:sz w:val="24"/>
              <w:szCs w:val="24"/>
              <w:lang w:eastAsia="lt-LT"/>
              <w14:ligatures w14:val="standardContextual"/>
            </w:rPr>
          </w:pPr>
          <w:hyperlink w:anchor="_Toc230612131" w:history="1">
            <w:r w:rsidRPr="00A01951">
              <w:rPr>
                <w:rStyle w:val="Hipersaitas"/>
                <w:rFonts w:cstheme="minorHAnsi"/>
              </w:rPr>
              <w:t>14.</w:t>
            </w:r>
            <w:r>
              <w:rPr>
                <w:rFonts w:eastAsiaTheme="minorEastAsia" w:cstheme="minorBidi"/>
                <w:b w:val="0"/>
                <w:bCs w:val="0"/>
                <w:kern w:val="2"/>
                <w:sz w:val="24"/>
                <w:szCs w:val="24"/>
                <w:lang w:eastAsia="lt-LT"/>
                <w14:ligatures w14:val="standardContextual"/>
              </w:rPr>
              <w:tab/>
            </w:r>
            <w:r w:rsidRPr="00A01951">
              <w:rPr>
                <w:rStyle w:val="Hipersaitas"/>
                <w:rFonts w:cstheme="minorHAnsi"/>
              </w:rPr>
              <w:t>Pasiūlymų šifravimas</w:t>
            </w:r>
            <w:r>
              <w:rPr>
                <w:webHidden/>
              </w:rPr>
              <w:tab/>
            </w:r>
            <w:r>
              <w:rPr>
                <w:webHidden/>
              </w:rPr>
              <w:fldChar w:fldCharType="begin"/>
            </w:r>
            <w:r>
              <w:rPr>
                <w:webHidden/>
              </w:rPr>
              <w:instrText xml:space="preserve"> PAGEREF _Toc230612131 \h </w:instrText>
            </w:r>
            <w:r>
              <w:rPr>
                <w:webHidden/>
              </w:rPr>
            </w:r>
            <w:r>
              <w:rPr>
                <w:webHidden/>
              </w:rPr>
              <w:fldChar w:fldCharType="separate"/>
            </w:r>
            <w:r w:rsidR="00F003F4">
              <w:rPr>
                <w:webHidden/>
              </w:rPr>
              <w:t>11</w:t>
            </w:r>
            <w:r>
              <w:rPr>
                <w:webHidden/>
              </w:rPr>
              <w:fldChar w:fldCharType="end"/>
            </w:r>
          </w:hyperlink>
        </w:p>
        <w:p w14:paraId="2FBBBC63" w14:textId="3C46785D" w:rsidR="00157316" w:rsidRDefault="00157316">
          <w:pPr>
            <w:pStyle w:val="Turinys1"/>
            <w:rPr>
              <w:rFonts w:eastAsiaTheme="minorEastAsia" w:cstheme="minorBidi"/>
              <w:b w:val="0"/>
              <w:bCs w:val="0"/>
              <w:kern w:val="2"/>
              <w:sz w:val="24"/>
              <w:szCs w:val="24"/>
              <w:lang w:eastAsia="lt-LT"/>
              <w14:ligatures w14:val="standardContextual"/>
            </w:rPr>
          </w:pPr>
          <w:hyperlink w:anchor="_Toc230612132" w:history="1">
            <w:r w:rsidRPr="00A01951">
              <w:rPr>
                <w:rStyle w:val="Hipersaitas"/>
                <w:rFonts w:cstheme="minorHAnsi"/>
              </w:rPr>
              <w:t>15.</w:t>
            </w:r>
            <w:r>
              <w:rPr>
                <w:rFonts w:eastAsiaTheme="minorEastAsia" w:cstheme="minorBidi"/>
                <w:b w:val="0"/>
                <w:bCs w:val="0"/>
                <w:kern w:val="2"/>
                <w:sz w:val="24"/>
                <w:szCs w:val="24"/>
                <w:lang w:eastAsia="lt-LT"/>
                <w14:ligatures w14:val="standardContextual"/>
              </w:rPr>
              <w:tab/>
            </w:r>
            <w:r w:rsidRPr="00A01951">
              <w:rPr>
                <w:rStyle w:val="Hipersaitas"/>
                <w:rFonts w:cstheme="minorHAnsi"/>
              </w:rPr>
              <w:t>Susipažinimas su pasiūlymais</w:t>
            </w:r>
            <w:r>
              <w:rPr>
                <w:webHidden/>
              </w:rPr>
              <w:tab/>
            </w:r>
            <w:r>
              <w:rPr>
                <w:webHidden/>
              </w:rPr>
              <w:fldChar w:fldCharType="begin"/>
            </w:r>
            <w:r>
              <w:rPr>
                <w:webHidden/>
              </w:rPr>
              <w:instrText xml:space="preserve"> PAGEREF _Toc230612132 \h </w:instrText>
            </w:r>
            <w:r>
              <w:rPr>
                <w:webHidden/>
              </w:rPr>
            </w:r>
            <w:r>
              <w:rPr>
                <w:webHidden/>
              </w:rPr>
              <w:fldChar w:fldCharType="separate"/>
            </w:r>
            <w:r w:rsidR="00F003F4">
              <w:rPr>
                <w:webHidden/>
              </w:rPr>
              <w:t>13</w:t>
            </w:r>
            <w:r>
              <w:rPr>
                <w:webHidden/>
              </w:rPr>
              <w:fldChar w:fldCharType="end"/>
            </w:r>
          </w:hyperlink>
        </w:p>
        <w:p w14:paraId="5036E1A7" w14:textId="4E09DB29" w:rsidR="00157316" w:rsidRDefault="00157316">
          <w:pPr>
            <w:pStyle w:val="Turinys1"/>
            <w:rPr>
              <w:rFonts w:eastAsiaTheme="minorEastAsia" w:cstheme="minorBidi"/>
              <w:b w:val="0"/>
              <w:bCs w:val="0"/>
              <w:kern w:val="2"/>
              <w:sz w:val="24"/>
              <w:szCs w:val="24"/>
              <w:lang w:eastAsia="lt-LT"/>
              <w14:ligatures w14:val="standardContextual"/>
            </w:rPr>
          </w:pPr>
          <w:hyperlink w:anchor="_Toc230612133" w:history="1">
            <w:r w:rsidRPr="00A01951">
              <w:rPr>
                <w:rStyle w:val="Hipersaitas"/>
                <w:rFonts w:cstheme="minorHAnsi"/>
              </w:rPr>
              <w:t>16.</w:t>
            </w:r>
            <w:r>
              <w:rPr>
                <w:rFonts w:eastAsiaTheme="minorEastAsia" w:cstheme="minorBidi"/>
                <w:b w:val="0"/>
                <w:bCs w:val="0"/>
                <w:kern w:val="2"/>
                <w:sz w:val="24"/>
                <w:szCs w:val="24"/>
                <w:lang w:eastAsia="lt-LT"/>
                <w14:ligatures w14:val="standardContextual"/>
              </w:rPr>
              <w:tab/>
            </w:r>
            <w:r w:rsidRPr="00A01951">
              <w:rPr>
                <w:rStyle w:val="Hipersaitas"/>
                <w:rFonts w:cstheme="minorHAnsi"/>
              </w:rPr>
              <w:t>Elektroninis aukcionas</w:t>
            </w:r>
            <w:r>
              <w:rPr>
                <w:webHidden/>
              </w:rPr>
              <w:tab/>
            </w:r>
            <w:r>
              <w:rPr>
                <w:webHidden/>
              </w:rPr>
              <w:fldChar w:fldCharType="begin"/>
            </w:r>
            <w:r>
              <w:rPr>
                <w:webHidden/>
              </w:rPr>
              <w:instrText xml:space="preserve"> PAGEREF _Toc230612133 \h </w:instrText>
            </w:r>
            <w:r>
              <w:rPr>
                <w:webHidden/>
              </w:rPr>
            </w:r>
            <w:r>
              <w:rPr>
                <w:webHidden/>
              </w:rPr>
              <w:fldChar w:fldCharType="separate"/>
            </w:r>
            <w:r w:rsidR="00F003F4">
              <w:rPr>
                <w:webHidden/>
              </w:rPr>
              <w:t>13</w:t>
            </w:r>
            <w:r>
              <w:rPr>
                <w:webHidden/>
              </w:rPr>
              <w:fldChar w:fldCharType="end"/>
            </w:r>
          </w:hyperlink>
        </w:p>
        <w:p w14:paraId="647BACA4" w14:textId="3593A6EF" w:rsidR="00157316" w:rsidRDefault="00157316">
          <w:pPr>
            <w:pStyle w:val="Turinys1"/>
            <w:rPr>
              <w:rFonts w:eastAsiaTheme="minorEastAsia" w:cstheme="minorBidi"/>
              <w:b w:val="0"/>
              <w:bCs w:val="0"/>
              <w:kern w:val="2"/>
              <w:sz w:val="24"/>
              <w:szCs w:val="24"/>
              <w:lang w:eastAsia="lt-LT"/>
              <w14:ligatures w14:val="standardContextual"/>
            </w:rPr>
          </w:pPr>
          <w:hyperlink w:anchor="_Toc230612134" w:history="1">
            <w:r w:rsidRPr="00A01951">
              <w:rPr>
                <w:rStyle w:val="Hipersaitas"/>
                <w:rFonts w:cstheme="minorHAnsi"/>
              </w:rPr>
              <w:t>17.</w:t>
            </w:r>
            <w:r>
              <w:rPr>
                <w:rFonts w:eastAsiaTheme="minorEastAsia" w:cstheme="minorBidi"/>
                <w:b w:val="0"/>
                <w:bCs w:val="0"/>
                <w:kern w:val="2"/>
                <w:sz w:val="24"/>
                <w:szCs w:val="24"/>
                <w:lang w:eastAsia="lt-LT"/>
                <w14:ligatures w14:val="standardContextual"/>
              </w:rPr>
              <w:tab/>
            </w:r>
            <w:r w:rsidRPr="00A01951">
              <w:rPr>
                <w:rStyle w:val="Hipersaitas"/>
                <w:rFonts w:cstheme="minorHAnsi"/>
              </w:rPr>
              <w:t>Pasiūlymų vertinimas</w:t>
            </w:r>
            <w:r>
              <w:rPr>
                <w:webHidden/>
              </w:rPr>
              <w:tab/>
            </w:r>
            <w:r>
              <w:rPr>
                <w:webHidden/>
              </w:rPr>
              <w:fldChar w:fldCharType="begin"/>
            </w:r>
            <w:r>
              <w:rPr>
                <w:webHidden/>
              </w:rPr>
              <w:instrText xml:space="preserve"> PAGEREF _Toc230612134 \h </w:instrText>
            </w:r>
            <w:r>
              <w:rPr>
                <w:webHidden/>
              </w:rPr>
            </w:r>
            <w:r>
              <w:rPr>
                <w:webHidden/>
              </w:rPr>
              <w:fldChar w:fldCharType="separate"/>
            </w:r>
            <w:r w:rsidR="00F003F4">
              <w:rPr>
                <w:webHidden/>
              </w:rPr>
              <w:t>13</w:t>
            </w:r>
            <w:r>
              <w:rPr>
                <w:webHidden/>
              </w:rPr>
              <w:fldChar w:fldCharType="end"/>
            </w:r>
          </w:hyperlink>
        </w:p>
        <w:p w14:paraId="779AFBC6" w14:textId="1FA87929" w:rsidR="00157316" w:rsidRDefault="00157316">
          <w:pPr>
            <w:pStyle w:val="Turinys1"/>
            <w:rPr>
              <w:rFonts w:eastAsiaTheme="minorEastAsia" w:cstheme="minorBidi"/>
              <w:b w:val="0"/>
              <w:bCs w:val="0"/>
              <w:kern w:val="2"/>
              <w:sz w:val="24"/>
              <w:szCs w:val="24"/>
              <w:lang w:eastAsia="lt-LT"/>
              <w14:ligatures w14:val="standardContextual"/>
            </w:rPr>
          </w:pPr>
          <w:hyperlink w:anchor="_Toc230612135" w:history="1">
            <w:r w:rsidRPr="00A01951">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A01951">
              <w:rPr>
                <w:rStyle w:val="Hipersaitas"/>
                <w:rFonts w:cstheme="minorHAnsi"/>
              </w:rPr>
              <w:t>Pasiūlymų atmetimo pagrindai</w:t>
            </w:r>
            <w:r>
              <w:rPr>
                <w:webHidden/>
              </w:rPr>
              <w:tab/>
            </w:r>
            <w:r>
              <w:rPr>
                <w:webHidden/>
              </w:rPr>
              <w:fldChar w:fldCharType="begin"/>
            </w:r>
            <w:r>
              <w:rPr>
                <w:webHidden/>
              </w:rPr>
              <w:instrText xml:space="preserve"> PAGEREF _Toc230612135 \h </w:instrText>
            </w:r>
            <w:r>
              <w:rPr>
                <w:webHidden/>
              </w:rPr>
            </w:r>
            <w:r>
              <w:rPr>
                <w:webHidden/>
              </w:rPr>
              <w:fldChar w:fldCharType="separate"/>
            </w:r>
            <w:r w:rsidR="00F003F4">
              <w:rPr>
                <w:webHidden/>
              </w:rPr>
              <w:t>15</w:t>
            </w:r>
            <w:r>
              <w:rPr>
                <w:webHidden/>
              </w:rPr>
              <w:fldChar w:fldCharType="end"/>
            </w:r>
          </w:hyperlink>
        </w:p>
        <w:p w14:paraId="0FB9BFDD" w14:textId="40D90499" w:rsidR="00157316" w:rsidRDefault="00157316">
          <w:pPr>
            <w:pStyle w:val="Turinys1"/>
            <w:rPr>
              <w:rFonts w:eastAsiaTheme="minorEastAsia" w:cstheme="minorBidi"/>
              <w:b w:val="0"/>
              <w:bCs w:val="0"/>
              <w:kern w:val="2"/>
              <w:sz w:val="24"/>
              <w:szCs w:val="24"/>
              <w:lang w:eastAsia="lt-LT"/>
              <w14:ligatures w14:val="standardContextual"/>
            </w:rPr>
          </w:pPr>
          <w:hyperlink w:anchor="_Toc230612136" w:history="1">
            <w:r w:rsidRPr="00A01951">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A01951">
              <w:rPr>
                <w:rStyle w:val="Hipersaitas"/>
                <w:rFonts w:cstheme="minorHAnsi"/>
              </w:rPr>
              <w:t>Pasiūlymų eilė ir laimėtojo nustatymas</w:t>
            </w:r>
            <w:r>
              <w:rPr>
                <w:webHidden/>
              </w:rPr>
              <w:tab/>
            </w:r>
            <w:r>
              <w:rPr>
                <w:webHidden/>
              </w:rPr>
              <w:fldChar w:fldCharType="begin"/>
            </w:r>
            <w:r>
              <w:rPr>
                <w:webHidden/>
              </w:rPr>
              <w:instrText xml:space="preserve"> PAGEREF _Toc230612136 \h </w:instrText>
            </w:r>
            <w:r>
              <w:rPr>
                <w:webHidden/>
              </w:rPr>
            </w:r>
            <w:r>
              <w:rPr>
                <w:webHidden/>
              </w:rPr>
              <w:fldChar w:fldCharType="separate"/>
            </w:r>
            <w:r w:rsidR="00F003F4">
              <w:rPr>
                <w:webHidden/>
              </w:rPr>
              <w:t>16</w:t>
            </w:r>
            <w:r>
              <w:rPr>
                <w:webHidden/>
              </w:rPr>
              <w:fldChar w:fldCharType="end"/>
            </w:r>
          </w:hyperlink>
        </w:p>
        <w:p w14:paraId="6402282C" w14:textId="6412BA82" w:rsidR="00157316" w:rsidRDefault="00157316">
          <w:pPr>
            <w:pStyle w:val="Turinys1"/>
            <w:rPr>
              <w:rFonts w:eastAsiaTheme="minorEastAsia" w:cstheme="minorBidi"/>
              <w:b w:val="0"/>
              <w:bCs w:val="0"/>
              <w:kern w:val="2"/>
              <w:sz w:val="24"/>
              <w:szCs w:val="24"/>
              <w:lang w:eastAsia="lt-LT"/>
              <w14:ligatures w14:val="standardContextual"/>
            </w:rPr>
          </w:pPr>
          <w:hyperlink w:anchor="_Toc230612137" w:history="1">
            <w:r w:rsidRPr="00A01951">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A01951">
              <w:rPr>
                <w:rStyle w:val="Hipersaitas"/>
                <w:rFonts w:cstheme="minorHAnsi"/>
              </w:rPr>
              <w:t>Informavimas apie pirkimo procedūrų rezultatus</w:t>
            </w:r>
            <w:r>
              <w:rPr>
                <w:webHidden/>
              </w:rPr>
              <w:tab/>
            </w:r>
            <w:r>
              <w:rPr>
                <w:webHidden/>
              </w:rPr>
              <w:fldChar w:fldCharType="begin"/>
            </w:r>
            <w:r>
              <w:rPr>
                <w:webHidden/>
              </w:rPr>
              <w:instrText xml:space="preserve"> PAGEREF _Toc230612137 \h </w:instrText>
            </w:r>
            <w:r>
              <w:rPr>
                <w:webHidden/>
              </w:rPr>
            </w:r>
            <w:r>
              <w:rPr>
                <w:webHidden/>
              </w:rPr>
              <w:fldChar w:fldCharType="separate"/>
            </w:r>
            <w:r w:rsidR="00F003F4">
              <w:rPr>
                <w:webHidden/>
              </w:rPr>
              <w:t>17</w:t>
            </w:r>
            <w:r>
              <w:rPr>
                <w:webHidden/>
              </w:rPr>
              <w:fldChar w:fldCharType="end"/>
            </w:r>
          </w:hyperlink>
        </w:p>
        <w:p w14:paraId="41CC043D" w14:textId="73071414" w:rsidR="00157316" w:rsidRDefault="00157316">
          <w:pPr>
            <w:pStyle w:val="Turinys1"/>
            <w:rPr>
              <w:rFonts w:eastAsiaTheme="minorEastAsia" w:cstheme="minorBidi"/>
              <w:b w:val="0"/>
              <w:bCs w:val="0"/>
              <w:kern w:val="2"/>
              <w:sz w:val="24"/>
              <w:szCs w:val="24"/>
              <w:lang w:eastAsia="lt-LT"/>
              <w14:ligatures w14:val="standardContextual"/>
            </w:rPr>
          </w:pPr>
          <w:hyperlink w:anchor="_Toc230612138" w:history="1">
            <w:r w:rsidRPr="00A01951">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A01951">
              <w:rPr>
                <w:rStyle w:val="Hipersaitas"/>
                <w:rFonts w:cstheme="minorHAnsi"/>
              </w:rPr>
              <w:t>Sutarties sudarymas</w:t>
            </w:r>
            <w:r>
              <w:rPr>
                <w:webHidden/>
              </w:rPr>
              <w:tab/>
            </w:r>
            <w:r>
              <w:rPr>
                <w:webHidden/>
              </w:rPr>
              <w:fldChar w:fldCharType="begin"/>
            </w:r>
            <w:r>
              <w:rPr>
                <w:webHidden/>
              </w:rPr>
              <w:instrText xml:space="preserve"> PAGEREF _Toc230612138 \h </w:instrText>
            </w:r>
            <w:r>
              <w:rPr>
                <w:webHidden/>
              </w:rPr>
            </w:r>
            <w:r>
              <w:rPr>
                <w:webHidden/>
              </w:rPr>
              <w:fldChar w:fldCharType="separate"/>
            </w:r>
            <w:r w:rsidR="00F003F4">
              <w:rPr>
                <w:webHidden/>
              </w:rPr>
              <w:t>17</w:t>
            </w:r>
            <w:r>
              <w:rPr>
                <w:webHidden/>
              </w:rPr>
              <w:fldChar w:fldCharType="end"/>
            </w:r>
          </w:hyperlink>
        </w:p>
        <w:p w14:paraId="4ACB7359" w14:textId="4706D9BC" w:rsidR="00157316" w:rsidRDefault="00157316">
          <w:pPr>
            <w:pStyle w:val="Turinys1"/>
            <w:rPr>
              <w:rFonts w:eastAsiaTheme="minorEastAsia" w:cstheme="minorBidi"/>
              <w:b w:val="0"/>
              <w:bCs w:val="0"/>
              <w:kern w:val="2"/>
              <w:sz w:val="24"/>
              <w:szCs w:val="24"/>
              <w:lang w:eastAsia="lt-LT"/>
              <w14:ligatures w14:val="standardContextual"/>
            </w:rPr>
          </w:pPr>
          <w:hyperlink w:anchor="_Toc230612139" w:history="1">
            <w:r w:rsidRPr="00A01951">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A01951">
              <w:rPr>
                <w:rStyle w:val="Hipersaitas"/>
                <w:rFonts w:cstheme="minorHAnsi"/>
              </w:rPr>
              <w:t>Teisė ginčyti CPO veiksmus ar priimtus sprendimus</w:t>
            </w:r>
            <w:r>
              <w:rPr>
                <w:webHidden/>
              </w:rPr>
              <w:tab/>
            </w:r>
            <w:r>
              <w:rPr>
                <w:webHidden/>
              </w:rPr>
              <w:fldChar w:fldCharType="begin"/>
            </w:r>
            <w:r>
              <w:rPr>
                <w:webHidden/>
              </w:rPr>
              <w:instrText xml:space="preserve"> PAGEREF _Toc230612139 \h </w:instrText>
            </w:r>
            <w:r>
              <w:rPr>
                <w:webHidden/>
              </w:rPr>
            </w:r>
            <w:r>
              <w:rPr>
                <w:webHidden/>
              </w:rPr>
              <w:fldChar w:fldCharType="separate"/>
            </w:r>
            <w:r w:rsidR="00F003F4">
              <w:rPr>
                <w:webHidden/>
              </w:rPr>
              <w:t>18</w:t>
            </w:r>
            <w:r>
              <w:rPr>
                <w:webHidden/>
              </w:rPr>
              <w:fldChar w:fldCharType="end"/>
            </w:r>
          </w:hyperlink>
        </w:p>
        <w:p w14:paraId="414B81DE" w14:textId="7A14F957"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30612118"/>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hyperlink r:id="rId12" w:history="1">
        <w:r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sz w:val="24"/>
          <w:szCs w:val="24"/>
          <w:lang w:val="lt-LT"/>
        </w:rPr>
        <w:t>Kvazisubtiekėjas</w:t>
      </w:r>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 xml:space="preserve">specialistas, kurio kvalifikacija tiekėjas remiasi, ir kuris pasiūlymo teikimo metu dar nėra tiekėjo, ūkio subjekto, kurio pajėgumais tiekėjas remiasi, </w:t>
      </w:r>
      <w:r w:rsidR="00494C6F" w:rsidRPr="00DD4DD2">
        <w:rPr>
          <w:rFonts w:cstheme="minorHAnsi"/>
          <w:sz w:val="24"/>
          <w:szCs w:val="24"/>
          <w:lang w:val="lt-LT"/>
        </w:rPr>
        <w:lastRenderedPageBreak/>
        <w:t>darbuotojas, tačiau jį ketinama įdarbinti, jei pasiūlymas bus pripažintas laimėjusiu</w:t>
      </w:r>
      <w:r w:rsidR="006136E7" w:rsidRPr="00DD4DD2">
        <w:rPr>
          <w:rFonts w:cstheme="minorHAnsi"/>
          <w:sz w:val="24"/>
          <w:szCs w:val="24"/>
          <w:lang w:val="lt-LT"/>
        </w:rPr>
        <w:t>.</w:t>
      </w:r>
    </w:p>
    <w:p w14:paraId="4D902FEB" w14:textId="2D77F4A1"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organizacija, kuri, vadovaudamasi </w:t>
      </w:r>
      <w:r w:rsidR="00DD4DD2" w:rsidRPr="00DD4DD2">
        <w:rPr>
          <w:rFonts w:cstheme="minorHAnsi"/>
          <w:sz w:val="24"/>
          <w:szCs w:val="24"/>
          <w:lang w:val="lt-LT" w:eastAsia="ar-SA"/>
        </w:rPr>
        <w:t>2022 m. gruodžio 6 d. Centralizuotos viešųjų pirkimų veiklos paslaugų sutartimi Nr. S9-163</w:t>
      </w:r>
      <w:r w:rsidRPr="00DD4DD2">
        <w:rPr>
          <w:rFonts w:cstheme="minorHAnsi"/>
          <w:sz w:val="24"/>
          <w:szCs w:val="24"/>
          <w:lang w:val="lt-LT"/>
        </w:rPr>
        <w:t>, atlieka pirkimo procedūrą Utenos rajono savivaldybės visuomenės sveikatos biurui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30612119"/>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w:t>
      </w:r>
      <w:r w:rsidR="00DC3CC2" w:rsidRPr="00DD4DD2">
        <w:rPr>
          <w:rFonts w:cstheme="minorHAnsi"/>
          <w:sz w:val="24"/>
          <w:szCs w:val="24"/>
          <w:lang w:val="lt-LT"/>
        </w:rPr>
        <w:lastRenderedPageBreak/>
        <w:t xml:space="preserve">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30612120"/>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30612121"/>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 xml:space="preserve">omisijos </w:t>
      </w:r>
      <w:r w:rsidRPr="00DD4DD2">
        <w:rPr>
          <w:rFonts w:cstheme="minorHAnsi"/>
          <w:sz w:val="24"/>
          <w:szCs w:val="24"/>
          <w:lang w:val="lt-LT"/>
        </w:rPr>
        <w:lastRenderedPageBreak/>
        <w:t>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30612122"/>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lastRenderedPageBreak/>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30612123"/>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30612124"/>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lastRenderedPageBreak/>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30612125"/>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lastRenderedPageBreak/>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30612126"/>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(kvazisubtiekėjai)</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w:t>
      </w:r>
      <w:r w:rsidRPr="00DD4DD2">
        <w:rPr>
          <w:rFonts w:cstheme="minorHAnsi"/>
          <w:sz w:val="24"/>
          <w:szCs w:val="24"/>
          <w:lang w:val="lt-LT"/>
        </w:rPr>
        <w:lastRenderedPageBreak/>
        <w:t xml:space="preserve">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DD4DD2">
        <w:rPr>
          <w:rFonts w:cstheme="minorHAnsi"/>
          <w:i/>
          <w:iCs/>
          <w:sz w:val="24"/>
          <w:szCs w:val="24"/>
          <w:lang w:val="lt-LT"/>
        </w:rPr>
        <w:t>Apostille</w:t>
      </w:r>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DD4DD2">
        <w:rPr>
          <w:rFonts w:cstheme="minorHAnsi"/>
          <w:i/>
          <w:iCs/>
          <w:sz w:val="24"/>
          <w:szCs w:val="24"/>
          <w:lang w:val="lt-LT"/>
        </w:rPr>
        <w:t>Apostille</w:t>
      </w:r>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30612127"/>
      <w:bookmarkStart w:id="45" w:name="_Hlk90906609"/>
      <w:r w:rsidRPr="00DD4DD2">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(kvazisubtiekėjai)</w:t>
      </w:r>
      <w:r w:rsidRPr="00DD4DD2">
        <w:rPr>
          <w:rFonts w:cstheme="minorHAnsi"/>
          <w:sz w:val="24"/>
          <w:szCs w:val="24"/>
          <w:lang w:val="lt-LT"/>
        </w:rPr>
        <w:t>.</w:t>
      </w:r>
    </w:p>
    <w:p w14:paraId="5F181728" w14:textId="4CA32305"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Tiekėjas, pageidaujantis remtis kitų ūkio subjektų pajėgumais, privalo juos nurodyti pasiūlyme (Pirkimo sąlygų priede „</w:t>
      </w:r>
      <w:bookmarkStart w:id="46" w:name="_Hlk128411749"/>
      <w:r w:rsidR="00FC372C" w:rsidRPr="00FC372C">
        <w:rPr>
          <w:rFonts w:asciiTheme="minorHAnsi" w:hAnsiTheme="minorHAnsi" w:cstheme="minorHAnsi"/>
          <w:color w:val="auto"/>
          <w:sz w:val="24"/>
          <w:szCs w:val="24"/>
          <w:lang w:val="lt-LT"/>
        </w:rPr>
        <w:t>Pažyma apie pasitelkiamus subtiekėjus</w:t>
      </w:r>
      <w:bookmarkEnd w:id="46"/>
      <w:r w:rsidR="00FC372C" w:rsidRPr="00FC372C">
        <w:rPr>
          <w:rFonts w:asciiTheme="minorHAnsi" w:hAnsiTheme="minorHAnsi" w:cstheme="minorHAnsi"/>
          <w:color w:val="auto"/>
          <w:sz w:val="24"/>
          <w:szCs w:val="24"/>
          <w:lang w:val="lt-LT"/>
        </w:rPr>
        <w:t xml:space="preserve"> ir ūkio subjektus, kurių pajėgumais bus remiamasi</w:t>
      </w:r>
      <w:r w:rsidRPr="00DD4DD2">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w:t>
      </w:r>
      <w:r w:rsidRPr="00DD4DD2">
        <w:rPr>
          <w:rFonts w:asciiTheme="minorHAnsi" w:hAnsiTheme="minorHAnsi" w:cstheme="minorHAnsi"/>
          <w:color w:val="auto"/>
          <w:sz w:val="24"/>
          <w:szCs w:val="24"/>
          <w:lang w:val="lt-LT"/>
        </w:rPr>
        <w:lastRenderedPageBreak/>
        <w:t xml:space="preserve">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7" w:name="_Toc48053169"/>
      <w:bookmarkStart w:id="48" w:name="_Toc230612128"/>
      <w:r w:rsidRPr="00DD4DD2">
        <w:rPr>
          <w:rFonts w:asciiTheme="minorHAnsi" w:hAnsiTheme="minorHAnsi" w:cstheme="minorHAnsi"/>
          <w:color w:val="auto"/>
          <w:sz w:val="24"/>
          <w:szCs w:val="24"/>
          <w:lang w:val="lt-LT"/>
        </w:rPr>
        <w:t>Subtiekėjų pasitelkimas</w:t>
      </w:r>
      <w:bookmarkEnd w:id="47"/>
      <w:bookmarkEnd w:id="48"/>
    </w:p>
    <w:p w14:paraId="36F00355" w14:textId="179EE5F2"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w:t>
      </w:r>
      <w:r w:rsidR="003D510F" w:rsidRPr="003D510F">
        <w:rPr>
          <w:rFonts w:cstheme="minorHAnsi"/>
          <w:sz w:val="24"/>
          <w:szCs w:val="24"/>
          <w:lang w:val="lt-LT"/>
        </w:rPr>
        <w:t>Pažyma apie pasitelkiamus subtiekėjus ir ūkio subjektus, kurių pajėgumais bus remiamasi</w:t>
      </w:r>
      <w:r w:rsidRPr="00DD4DD2">
        <w:rPr>
          <w:rFonts w:eastAsia="Calibri" w:cstheme="minorHAnsi"/>
          <w:sz w:val="24"/>
          <w:szCs w:val="24"/>
          <w:lang w:val="lt-LT"/>
        </w:rPr>
        <w:t>”)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3061212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3"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w:t>
      </w:r>
      <w:r w:rsidRPr="00DD4DD2">
        <w:rPr>
          <w:rFonts w:cstheme="minorHAnsi"/>
          <w:sz w:val="24"/>
          <w:szCs w:val="24"/>
          <w:lang w:val="lt-LT"/>
        </w:rPr>
        <w:lastRenderedPageBreak/>
        <w:t>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30612130"/>
      <w:bookmarkEnd w:id="73"/>
      <w:bookmarkEnd w:id="74"/>
      <w:bookmarkEnd w:id="75"/>
      <w:bookmarkEnd w:id="76"/>
      <w:bookmarkEnd w:id="77"/>
      <w:bookmarkEnd w:id="78"/>
      <w:bookmarkEnd w:id="79"/>
      <w:bookmarkEnd w:id="80"/>
      <w:bookmarkEnd w:id="81"/>
      <w:r w:rsidRPr="00DD4DD2">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2A3D5EA1" w14:textId="002A7B27" w:rsidR="00FC372C" w:rsidRDefault="00FC372C" w:rsidP="00DD4DD2">
      <w:pPr>
        <w:widowControl w:val="0"/>
        <w:spacing w:after="0" w:line="240" w:lineRule="auto"/>
        <w:ind w:firstLine="709"/>
        <w:jc w:val="both"/>
        <w:rPr>
          <w:rFonts w:cstheme="minorHAnsi"/>
          <w:sz w:val="24"/>
          <w:szCs w:val="24"/>
          <w:lang w:val="lt-LT"/>
        </w:rPr>
      </w:pPr>
      <w:r>
        <w:rPr>
          <w:rFonts w:cstheme="minorHAnsi"/>
          <w:sz w:val="24"/>
          <w:szCs w:val="24"/>
          <w:lang w:val="lt-LT"/>
        </w:rPr>
        <w:t xml:space="preserve">13.2. </w:t>
      </w:r>
      <w:r w:rsidRPr="00FC372C">
        <w:rPr>
          <w:rFonts w:cstheme="minorHAnsi"/>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FC372C">
        <w:rPr>
          <w:rFonts w:cstheme="minorHAnsi"/>
          <w:i/>
          <w:iCs/>
          <w:sz w:val="24"/>
          <w:szCs w:val="24"/>
          <w:lang w:val="lt-LT"/>
        </w:rPr>
        <w:t>Rekomendacijose dėl veiksmų, kurių turėtų imtis pirkimo vykdytojai ir tiekėjai, sutrikus Centrinės viešųjų pirkimų informacinės sistemos veikimui</w:t>
      </w:r>
      <w:r w:rsidRPr="00FC372C">
        <w:rPr>
          <w:rFonts w:cstheme="minorHAnsi"/>
          <w:sz w:val="24"/>
          <w:szCs w:val="24"/>
          <w:lang w:val="lt-LT"/>
        </w:rPr>
        <w:t xml:space="preserve">, patvirtintose Viešųjų pirkimų tarnybos direktoriaus 2018 m. kovo 15 d. įsakymu Nr. 1S-31 </w:t>
      </w:r>
    </w:p>
    <w:p w14:paraId="562BBFFC" w14:textId="5AB9F01D"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 xml:space="preserve">kad nebūtų galima nustatyti </w:t>
      </w:r>
      <w:r w:rsidR="00F94832" w:rsidRPr="00DD4DD2">
        <w:rPr>
          <w:rFonts w:cstheme="minorHAnsi"/>
          <w:sz w:val="24"/>
          <w:szCs w:val="24"/>
          <w:shd w:val="clear" w:color="auto" w:fill="FFFFFF"/>
          <w:lang w:val="lt-LT"/>
        </w:rPr>
        <w:lastRenderedPageBreak/>
        <w:t>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6" w:name="_Toc48053175"/>
      <w:bookmarkStart w:id="87" w:name="_Toc230612131"/>
      <w:bookmarkStart w:id="88" w:name="_Hlk91497587"/>
      <w:r w:rsidRPr="00DD4DD2">
        <w:rPr>
          <w:rFonts w:asciiTheme="minorHAnsi" w:hAnsiTheme="minorHAnsi" w:cstheme="minorHAnsi"/>
          <w:color w:val="auto"/>
          <w:sz w:val="24"/>
          <w:szCs w:val="24"/>
          <w:lang w:val="lt-LT"/>
        </w:rPr>
        <w:t>Pasiūlymų šifravimas</w:t>
      </w:r>
      <w:bookmarkEnd w:id="86"/>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9" w:name="_Ref39754676"/>
      <w:bookmarkEnd w:id="88"/>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lastRenderedPageBreak/>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9"/>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per 30 min. nuo pasiūlymų pateikimo termino pabaigos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90"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90"/>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1"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1"/>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2"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w:t>
      </w:r>
      <w:r w:rsidR="0017028B" w:rsidRPr="00DD4DD2">
        <w:rPr>
          <w:rFonts w:cstheme="minorHAnsi"/>
          <w:sz w:val="24"/>
          <w:szCs w:val="24"/>
          <w:lang w:val="lt-LT"/>
        </w:rPr>
        <w:lastRenderedPageBreak/>
        <w:t xml:space="preserve">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2"/>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230612132"/>
      <w:bookmarkStart w:id="97" w:name="_Hlk91497725"/>
      <w:r w:rsidRPr="00DD4DD2">
        <w:rPr>
          <w:rFonts w:asciiTheme="minorHAnsi" w:hAnsiTheme="minorHAnsi" w:cstheme="minorHAnsi"/>
          <w:color w:val="auto"/>
          <w:sz w:val="24"/>
          <w:szCs w:val="24"/>
          <w:lang w:val="lt-LT"/>
        </w:rPr>
        <w:t>Susipažinimas su pasiūlymais</w:t>
      </w:r>
      <w:bookmarkEnd w:id="93"/>
      <w:bookmarkEnd w:id="94"/>
      <w:bookmarkEnd w:id="95"/>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8" w:name="_Ref39756072"/>
      <w:bookmarkEnd w:id="97"/>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9"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30612133"/>
      <w:bookmarkEnd w:id="98"/>
      <w:r w:rsidRPr="00DD4DD2">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230612134"/>
      <w:r w:rsidRPr="00DD4DD2">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DD4DD2">
        <w:rPr>
          <w:rFonts w:cstheme="minorHAnsi"/>
          <w:sz w:val="24"/>
          <w:szCs w:val="24"/>
          <w:lang w:val="lt-LT"/>
        </w:rPr>
        <w:t xml:space="preserve">tiekėjams ir (ar) jų įgaliotiesiems atstovams </w:t>
      </w:r>
      <w:bookmarkEnd w:id="110"/>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lastRenderedPageBreak/>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tikslinami, aiškinami ar </w:t>
      </w:r>
      <w:r w:rsidR="00F9683B" w:rsidRPr="00DD4DD2">
        <w:rPr>
          <w:rFonts w:cstheme="minorHAnsi"/>
          <w:sz w:val="24"/>
          <w:szCs w:val="24"/>
          <w:lang w:val="lt-LT"/>
        </w:rPr>
        <w:lastRenderedPageBreak/>
        <w:t xml:space="preserve">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230612135"/>
      <w:r w:rsidRPr="00DD4DD2">
        <w:rPr>
          <w:rFonts w:asciiTheme="minorHAnsi" w:hAnsiTheme="minorHAnsi" w:cstheme="minorHAnsi"/>
          <w:color w:val="auto"/>
          <w:sz w:val="24"/>
          <w:szCs w:val="24"/>
          <w:lang w:val="lt-LT"/>
        </w:rPr>
        <w:t xml:space="preserve">Pasiūlymų atmetimo </w:t>
      </w:r>
      <w:bookmarkEnd w:id="111"/>
      <w:r w:rsidR="00154399" w:rsidRPr="00DD4DD2">
        <w:rPr>
          <w:rFonts w:asciiTheme="minorHAnsi" w:hAnsiTheme="minorHAnsi" w:cstheme="minorHAnsi"/>
          <w:color w:val="auto"/>
          <w:sz w:val="24"/>
          <w:szCs w:val="24"/>
          <w:lang w:val="lt-LT"/>
        </w:rPr>
        <w:t>pagrindai</w:t>
      </w:r>
      <w:bookmarkEnd w:id="112"/>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lastRenderedPageBreak/>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230612136"/>
      <w:r w:rsidRPr="00DD4DD2">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lastRenderedPageBreak/>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6" w:name="_Toc230612137"/>
      <w:bookmarkStart w:id="117" w:name="_Hlk91498524"/>
      <w:r w:rsidRPr="00DD4DD2">
        <w:rPr>
          <w:rFonts w:asciiTheme="minorHAnsi" w:hAnsiTheme="minorHAnsi" w:cstheme="minorHAnsi"/>
          <w:color w:val="auto"/>
          <w:sz w:val="24"/>
          <w:szCs w:val="24"/>
          <w:lang w:val="lt-LT"/>
        </w:rPr>
        <w:t>Informavimas apie pirkimo procedūrų rezultatus</w:t>
      </w:r>
      <w:bookmarkEnd w:id="116"/>
    </w:p>
    <w:bookmarkEnd w:id="117"/>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8" w:name="_Ref39425999"/>
      <w:bookmarkStart w:id="119" w:name="_Ref39426005"/>
      <w:bookmarkStart w:id="120" w:name="_Toc48053182"/>
      <w:bookmarkStart w:id="121" w:name="_Toc230612138"/>
      <w:r w:rsidRPr="00DD4DD2">
        <w:rPr>
          <w:rFonts w:asciiTheme="minorHAnsi" w:hAnsiTheme="minorHAnsi" w:cstheme="minorHAnsi"/>
          <w:color w:val="auto"/>
          <w:sz w:val="24"/>
          <w:szCs w:val="24"/>
          <w:lang w:val="lt-LT"/>
        </w:rPr>
        <w:t>Sutarties sudarymas</w:t>
      </w:r>
      <w:bookmarkEnd w:id="118"/>
      <w:bookmarkEnd w:id="119"/>
      <w:bookmarkEnd w:id="120"/>
      <w:bookmarkEnd w:id="121"/>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perkančiosios 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lastRenderedPageBreak/>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2" w:name="_Hlk91498650"/>
      <w:r w:rsidRPr="00DD4DD2">
        <w:rPr>
          <w:rFonts w:asciiTheme="minorHAnsi" w:hAnsiTheme="minorHAnsi" w:cstheme="minorHAnsi"/>
          <w:color w:val="auto"/>
          <w:sz w:val="24"/>
          <w:szCs w:val="24"/>
          <w:lang w:val="lt-LT"/>
        </w:rPr>
        <w:t xml:space="preserve"> </w:t>
      </w:r>
      <w:bookmarkStart w:id="123" w:name="_Toc230612139"/>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3"/>
      <w:r w:rsidR="005F09F0" w:rsidRPr="00DD4DD2">
        <w:rPr>
          <w:rFonts w:asciiTheme="minorHAnsi" w:hAnsiTheme="minorHAnsi" w:cstheme="minorHAnsi"/>
          <w:color w:val="auto"/>
          <w:sz w:val="24"/>
          <w:szCs w:val="24"/>
          <w:lang w:val="lt-LT"/>
        </w:rPr>
        <w:tab/>
      </w:r>
      <w:bookmarkEnd w:id="122"/>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F003F4">
      <w:headerReference w:type="default" r:id="rId18"/>
      <w:footerReference w:type="default" r:id="rId19"/>
      <w:headerReference w:type="first" r:id="rId20"/>
      <w:pgSz w:w="11906" w:h="16838"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3ACA" w14:textId="77777777" w:rsidR="000342F3" w:rsidRDefault="000342F3" w:rsidP="00184B8C">
      <w:pPr>
        <w:spacing w:after="0" w:line="240" w:lineRule="auto"/>
      </w:pPr>
      <w:r>
        <w:separator/>
      </w:r>
    </w:p>
  </w:endnote>
  <w:endnote w:type="continuationSeparator" w:id="0">
    <w:p w14:paraId="02B653CD" w14:textId="77777777" w:rsidR="000342F3" w:rsidRDefault="000342F3" w:rsidP="00184B8C">
      <w:pPr>
        <w:spacing w:after="0" w:line="240" w:lineRule="auto"/>
      </w:pPr>
      <w:r>
        <w:continuationSeparator/>
      </w:r>
    </w:p>
  </w:endnote>
  <w:endnote w:type="continuationNotice" w:id="1">
    <w:p w14:paraId="168EF736" w14:textId="77777777" w:rsidR="000342F3" w:rsidRDefault="00034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23E9" w14:textId="77777777" w:rsidR="000342F3" w:rsidRDefault="000342F3" w:rsidP="00184B8C">
      <w:pPr>
        <w:spacing w:after="0" w:line="240" w:lineRule="auto"/>
      </w:pPr>
      <w:r>
        <w:separator/>
      </w:r>
    </w:p>
  </w:footnote>
  <w:footnote w:type="continuationSeparator" w:id="0">
    <w:p w14:paraId="04040A3B" w14:textId="77777777" w:rsidR="000342F3" w:rsidRDefault="000342F3" w:rsidP="00184B8C">
      <w:pPr>
        <w:spacing w:after="0" w:line="240" w:lineRule="auto"/>
      </w:pPr>
      <w:r>
        <w:continuationSeparator/>
      </w:r>
    </w:p>
  </w:footnote>
  <w:footnote w:type="continuationNotice" w:id="1">
    <w:p w14:paraId="3AC252B3" w14:textId="77777777" w:rsidR="000342F3" w:rsidRDefault="000342F3">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42F3"/>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6C8"/>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4793"/>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316"/>
    <w:rsid w:val="00157596"/>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773"/>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D61"/>
    <w:rsid w:val="00374806"/>
    <w:rsid w:val="003764CB"/>
    <w:rsid w:val="0038274D"/>
    <w:rsid w:val="003839B2"/>
    <w:rsid w:val="003844CE"/>
    <w:rsid w:val="00384C17"/>
    <w:rsid w:val="00385DD2"/>
    <w:rsid w:val="003868BC"/>
    <w:rsid w:val="003905C5"/>
    <w:rsid w:val="00390649"/>
    <w:rsid w:val="003915E2"/>
    <w:rsid w:val="00391F1F"/>
    <w:rsid w:val="0039323B"/>
    <w:rsid w:val="00394793"/>
    <w:rsid w:val="00394F54"/>
    <w:rsid w:val="00395684"/>
    <w:rsid w:val="00395B68"/>
    <w:rsid w:val="0039612F"/>
    <w:rsid w:val="003963B1"/>
    <w:rsid w:val="00396585"/>
    <w:rsid w:val="00396D71"/>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5899"/>
    <w:rsid w:val="003C62FB"/>
    <w:rsid w:val="003C6D3E"/>
    <w:rsid w:val="003C722B"/>
    <w:rsid w:val="003C77C4"/>
    <w:rsid w:val="003C7810"/>
    <w:rsid w:val="003D0544"/>
    <w:rsid w:val="003D1ADA"/>
    <w:rsid w:val="003D27B4"/>
    <w:rsid w:val="003D2CCD"/>
    <w:rsid w:val="003D30C7"/>
    <w:rsid w:val="003D3124"/>
    <w:rsid w:val="003D4771"/>
    <w:rsid w:val="003D4B08"/>
    <w:rsid w:val="003D510F"/>
    <w:rsid w:val="003D57D4"/>
    <w:rsid w:val="003D641B"/>
    <w:rsid w:val="003D65E3"/>
    <w:rsid w:val="003D6DF9"/>
    <w:rsid w:val="003E0F11"/>
    <w:rsid w:val="003E190C"/>
    <w:rsid w:val="003E1948"/>
    <w:rsid w:val="003E2A30"/>
    <w:rsid w:val="003E450F"/>
    <w:rsid w:val="003E547E"/>
    <w:rsid w:val="003E6EB8"/>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627"/>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2F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4E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C76"/>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6F5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E3"/>
    <w:rsid w:val="00871F89"/>
    <w:rsid w:val="008726F2"/>
    <w:rsid w:val="0087296B"/>
    <w:rsid w:val="008739A7"/>
    <w:rsid w:val="0087506E"/>
    <w:rsid w:val="0087576C"/>
    <w:rsid w:val="00875E17"/>
    <w:rsid w:val="00876778"/>
    <w:rsid w:val="00880460"/>
    <w:rsid w:val="00882CD2"/>
    <w:rsid w:val="00882EF1"/>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6343"/>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3C34"/>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32B9"/>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4CC"/>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F6F"/>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35"/>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3F4"/>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372C"/>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38383</Words>
  <Characters>21879</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60142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6</cp:revision>
  <cp:lastPrinted>2026-05-28T08:21:00Z</cp:lastPrinted>
  <dcterms:created xsi:type="dcterms:W3CDTF">2026-05-27T14:04:00Z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