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16273D60"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CE3DF2" w:rsidRPr="00CE3DF2">
        <w:rPr>
          <w:b/>
        </w:rPr>
        <w:t>GYDYMO PASKIRTIES PASTATO (SKUODO PSPC), ŠATRIJOS G. 5, SKUODAS, PATALPŲ PAPRASTOJO REMONTO APRAŠO PARENGIMO</w:t>
      </w:r>
      <w:r w:rsidR="00CE3DF2" w:rsidRPr="0017552A">
        <w:rPr>
          <w:bCs/>
        </w:rPr>
        <w:t xml:space="preserve">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w:t>
      </w:r>
      <w:proofErr w:type="spellStart"/>
      <w:r w:rsidR="004020B6" w:rsidRPr="00384511">
        <w:rPr>
          <w:i/>
          <w:sz w:val="20"/>
          <w:szCs w:val="20"/>
          <w:lang w:val="x-none" w:eastAsia="lt-LT"/>
        </w:rPr>
        <w:t>jei</w:t>
      </w:r>
      <w:proofErr w:type="spellEnd"/>
      <w:r w:rsidR="004020B6" w:rsidRPr="00384511">
        <w:rPr>
          <w:i/>
          <w:sz w:val="20"/>
          <w:szCs w:val="20"/>
          <w:lang w:val="x-none" w:eastAsia="lt-LT"/>
        </w:rPr>
        <w:t xml:space="preserve"> </w:t>
      </w:r>
      <w:proofErr w:type="spellStart"/>
      <w:r w:rsidR="004020B6" w:rsidRPr="00384511">
        <w:rPr>
          <w:i/>
          <w:sz w:val="20"/>
          <w:szCs w:val="20"/>
          <w:lang w:val="x-none" w:eastAsia="lt-LT"/>
        </w:rPr>
        <w:t>taikoma</w:t>
      </w:r>
      <w:proofErr w:type="spellEnd"/>
      <w:r w:rsidR="004020B6" w:rsidRPr="00384511">
        <w:rPr>
          <w:i/>
          <w:sz w:val="20"/>
          <w:szCs w:val="20"/>
          <w:lang w:val="x-none" w:eastAsia="lt-LT"/>
        </w:rPr>
        <w:t>)</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59DC280E" w14:textId="77777777" w:rsidR="00CE3DF2" w:rsidRDefault="00CE3DF2" w:rsidP="00C07009">
      <w:pPr>
        <w:jc w:val="center"/>
        <w:rPr>
          <w:b/>
        </w:rPr>
      </w:pPr>
    </w:p>
    <w:p w14:paraId="186916B4" w14:textId="77777777" w:rsidR="00CE3DF2" w:rsidRDefault="00CE3DF2" w:rsidP="00C07009">
      <w:pPr>
        <w:jc w:val="center"/>
        <w:rPr>
          <w:b/>
        </w:rPr>
      </w:pPr>
    </w:p>
    <w:p w14:paraId="539B473E" w14:textId="14E2901F" w:rsidR="00563C2E" w:rsidRDefault="001209CF" w:rsidP="00C07009">
      <w:pPr>
        <w:jc w:val="center"/>
        <w:rPr>
          <w:b/>
        </w:rPr>
      </w:pPr>
      <w:r w:rsidRPr="006616F2">
        <w:rPr>
          <w:b/>
        </w:rPr>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0A7E4587" w:rsidR="005A181A" w:rsidRPr="008A5100" w:rsidRDefault="00CE3DF2" w:rsidP="005A181A">
            <w:pPr>
              <w:jc w:val="both"/>
              <w:rPr>
                <w:bCs/>
                <w:iCs/>
                <w:color w:val="00000A"/>
                <w:lang w:eastAsia="lt-LT"/>
              </w:rPr>
            </w:pPr>
            <w:r w:rsidRPr="0017552A">
              <w:rPr>
                <w:bCs/>
              </w:rPr>
              <w:t>Gydymo paskirties pastato (Skuodo PSPC), Šatrijos g. 5, Skuodas, patalpų paprastojo remonto aprašo parengimas</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1BD437BA" w:rsidR="000D7F8C" w:rsidRDefault="00215697" w:rsidP="004F3CA2">
      <w:pPr>
        <w:rPr>
          <w:b/>
        </w:rPr>
      </w:pPr>
      <w:r w:rsidRPr="00215697">
        <w:rPr>
          <w:b/>
        </w:rPr>
        <w:t>Pasiūlymo kaina su PVM (žodžiais)</w:t>
      </w:r>
      <w:r w:rsidR="00C329A0">
        <w:rPr>
          <w:b/>
        </w:rPr>
        <w:t>:</w:t>
      </w:r>
    </w:p>
    <w:p w14:paraId="6B071B72" w14:textId="3AC41EDF" w:rsidR="00215697" w:rsidRPr="00215697" w:rsidRDefault="00215697" w:rsidP="004F3CA2">
      <w:pPr>
        <w:rPr>
          <w:b/>
        </w:rPr>
      </w:pPr>
      <w:r>
        <w:rPr>
          <w:b/>
        </w:rPr>
        <w:t>______________________________________________________________________________</w:t>
      </w: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D662B1">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FB6E" w14:textId="77777777" w:rsidR="006663E5" w:rsidRDefault="006663E5" w:rsidP="00A227B1">
      <w:r>
        <w:separator/>
      </w:r>
    </w:p>
  </w:endnote>
  <w:endnote w:type="continuationSeparator" w:id="0">
    <w:p w14:paraId="5582DE7A" w14:textId="77777777" w:rsidR="006663E5" w:rsidRDefault="006663E5"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3410" w14:textId="77777777" w:rsidR="006663E5" w:rsidRDefault="006663E5" w:rsidP="00A227B1">
      <w:r>
        <w:separator/>
      </w:r>
    </w:p>
  </w:footnote>
  <w:footnote w:type="continuationSeparator" w:id="0">
    <w:p w14:paraId="6071AA3D" w14:textId="77777777" w:rsidR="006663E5" w:rsidRDefault="006663E5"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A781D"/>
    <w:rsid w:val="000D6AE0"/>
    <w:rsid w:val="000D7F8C"/>
    <w:rsid w:val="00111BAE"/>
    <w:rsid w:val="001209CF"/>
    <w:rsid w:val="00163C0C"/>
    <w:rsid w:val="00175CD0"/>
    <w:rsid w:val="001B46B8"/>
    <w:rsid w:val="001C4C63"/>
    <w:rsid w:val="001E0DE6"/>
    <w:rsid w:val="001E3C09"/>
    <w:rsid w:val="001E56C4"/>
    <w:rsid w:val="00215697"/>
    <w:rsid w:val="00246090"/>
    <w:rsid w:val="00250929"/>
    <w:rsid w:val="002842D5"/>
    <w:rsid w:val="002E1789"/>
    <w:rsid w:val="00304897"/>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57A8"/>
    <w:rsid w:val="0054144E"/>
    <w:rsid w:val="00552739"/>
    <w:rsid w:val="00563C2E"/>
    <w:rsid w:val="005820AD"/>
    <w:rsid w:val="005A181A"/>
    <w:rsid w:val="005C5E07"/>
    <w:rsid w:val="005D641B"/>
    <w:rsid w:val="005E1A7B"/>
    <w:rsid w:val="00605DA4"/>
    <w:rsid w:val="00614C7D"/>
    <w:rsid w:val="0062305E"/>
    <w:rsid w:val="0065229D"/>
    <w:rsid w:val="006616F2"/>
    <w:rsid w:val="006663E5"/>
    <w:rsid w:val="00677A83"/>
    <w:rsid w:val="006F1861"/>
    <w:rsid w:val="007023CA"/>
    <w:rsid w:val="007423A0"/>
    <w:rsid w:val="007520F1"/>
    <w:rsid w:val="00754A38"/>
    <w:rsid w:val="00773B4E"/>
    <w:rsid w:val="00794707"/>
    <w:rsid w:val="00796763"/>
    <w:rsid w:val="007E471A"/>
    <w:rsid w:val="007F09C9"/>
    <w:rsid w:val="00801213"/>
    <w:rsid w:val="0085110C"/>
    <w:rsid w:val="008A5100"/>
    <w:rsid w:val="008C078F"/>
    <w:rsid w:val="008D3A86"/>
    <w:rsid w:val="008D6C2E"/>
    <w:rsid w:val="008F6E76"/>
    <w:rsid w:val="0097239A"/>
    <w:rsid w:val="009F5AA5"/>
    <w:rsid w:val="00A10D7E"/>
    <w:rsid w:val="00A227B1"/>
    <w:rsid w:val="00A50A36"/>
    <w:rsid w:val="00A5559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E3DF2"/>
    <w:rsid w:val="00CE5ED9"/>
    <w:rsid w:val="00CE6D77"/>
    <w:rsid w:val="00D032E5"/>
    <w:rsid w:val="00D0410B"/>
    <w:rsid w:val="00D50912"/>
    <w:rsid w:val="00D662B1"/>
    <w:rsid w:val="00DB23A2"/>
    <w:rsid w:val="00DD326C"/>
    <w:rsid w:val="00DD7425"/>
    <w:rsid w:val="00E041C6"/>
    <w:rsid w:val="00E14214"/>
    <w:rsid w:val="00E17D45"/>
    <w:rsid w:val="00E34B29"/>
    <w:rsid w:val="00E62C37"/>
    <w:rsid w:val="00E80F5E"/>
    <w:rsid w:val="00E87B58"/>
    <w:rsid w:val="00EF47AC"/>
    <w:rsid w:val="00F03F62"/>
    <w:rsid w:val="00F26A03"/>
    <w:rsid w:val="00F41F4C"/>
    <w:rsid w:val="00F60682"/>
    <w:rsid w:val="00F67BFA"/>
    <w:rsid w:val="00F972AF"/>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75</cp:revision>
  <cp:lastPrinted>2022-12-21T08:41:00Z</cp:lastPrinted>
  <dcterms:created xsi:type="dcterms:W3CDTF">2022-06-27T13:43:00Z</dcterms:created>
  <dcterms:modified xsi:type="dcterms:W3CDTF">2025-01-15T14:42:00Z</dcterms:modified>
</cp:coreProperties>
</file>