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D20B49" w:rsidRPr="0035304F" w14:paraId="6DD98871" w14:textId="77777777" w:rsidTr="00D13881">
        <w:trPr>
          <w:trHeight w:val="816"/>
        </w:trPr>
        <w:tc>
          <w:tcPr>
            <w:tcW w:w="5599" w:type="dxa"/>
          </w:tcPr>
          <w:p w14:paraId="27F040DA" w14:textId="77777777" w:rsidR="00D20B49" w:rsidRPr="00D20B49" w:rsidRDefault="00D20B49" w:rsidP="00D13881">
            <w:pPr>
              <w:spacing w:after="120"/>
              <w:rPr>
                <w:rFonts w:ascii="Times New Roman" w:hAnsi="Times New Roman"/>
                <w:sz w:val="24"/>
                <w:szCs w:val="24"/>
              </w:rPr>
            </w:pPr>
            <w:r w:rsidRPr="00D20B49">
              <w:rPr>
                <w:rFonts w:ascii="Times New Roman" w:hAnsi="Times New Roman"/>
                <w:sz w:val="24"/>
                <w:szCs w:val="24"/>
              </w:rPr>
              <w:t>Tiekėjams prisijungusiems prie pirkimo</w:t>
            </w:r>
          </w:p>
          <w:p w14:paraId="46F4ABC9" w14:textId="77777777" w:rsidR="00D20B49" w:rsidRPr="0035304F" w:rsidRDefault="00D20B49" w:rsidP="00D13881">
            <w:pPr>
              <w:spacing w:after="120"/>
            </w:pPr>
            <w:r w:rsidRPr="00D20B49">
              <w:rPr>
                <w:rFonts w:ascii="Times New Roman" w:hAnsi="Times New Roman"/>
                <w:sz w:val="24"/>
                <w:szCs w:val="24"/>
              </w:rPr>
              <w:t>(siunčiama CVP IS priemonėmis)</w:t>
            </w:r>
          </w:p>
        </w:tc>
        <w:tc>
          <w:tcPr>
            <w:tcW w:w="4483" w:type="dxa"/>
          </w:tcPr>
          <w:p w14:paraId="336F0786" w14:textId="1C259A19" w:rsidR="00D20B49" w:rsidRPr="00406711" w:rsidRDefault="00D20B49" w:rsidP="00D13881">
            <w:pPr>
              <w:pStyle w:val="Footer"/>
              <w:tabs>
                <w:tab w:val="left" w:pos="2337"/>
                <w:tab w:val="left" w:pos="6480"/>
              </w:tabs>
              <w:spacing w:after="120"/>
              <w:ind w:left="494" w:right="-145"/>
            </w:pPr>
            <w:r w:rsidRPr="00406711">
              <w:t xml:space="preserve">                                   </w:t>
            </w:r>
            <w:r w:rsidRPr="00406711">
              <w:rPr>
                <w:lang w:val="pt-BR"/>
              </w:rPr>
              <w:t>20</w:t>
            </w:r>
            <w:r w:rsidRPr="00406711">
              <w:rPr>
                <w:lang w:val="en-US"/>
              </w:rPr>
              <w:t>2</w:t>
            </w:r>
            <w:r>
              <w:rPr>
                <w:lang w:val="en-US"/>
              </w:rPr>
              <w:t>5</w:t>
            </w:r>
            <w:r w:rsidRPr="00406711">
              <w:rPr>
                <w:lang w:val="pt-BR"/>
              </w:rPr>
              <w:t>-</w:t>
            </w:r>
            <w:r>
              <w:rPr>
                <w:lang w:val="pt-BR"/>
              </w:rPr>
              <w:t>01-1</w:t>
            </w:r>
            <w:r w:rsidR="00495093">
              <w:rPr>
                <w:lang w:val="pt-BR"/>
              </w:rPr>
              <w:t>7</w:t>
            </w:r>
          </w:p>
          <w:p w14:paraId="458080C9" w14:textId="77777777" w:rsidR="00D20B49" w:rsidRPr="0035304F" w:rsidRDefault="00D20B49" w:rsidP="00D13881">
            <w:pPr>
              <w:pStyle w:val="Footer"/>
              <w:tabs>
                <w:tab w:val="left" w:pos="6480"/>
              </w:tabs>
              <w:spacing w:after="120"/>
              <w:ind w:left="743"/>
              <w:rPr>
                <w:highlight w:val="yellow"/>
                <w:lang w:val="pt-BR"/>
              </w:rPr>
            </w:pPr>
          </w:p>
        </w:tc>
      </w:tr>
      <w:tr w:rsidR="00D20B49" w:rsidRPr="0035304F" w14:paraId="7D3361CF" w14:textId="77777777" w:rsidTr="00D13881">
        <w:trPr>
          <w:trHeight w:val="408"/>
        </w:trPr>
        <w:tc>
          <w:tcPr>
            <w:tcW w:w="5599" w:type="dxa"/>
          </w:tcPr>
          <w:p w14:paraId="4D5446B2" w14:textId="77777777" w:rsidR="00D20B49" w:rsidRPr="0035304F" w:rsidRDefault="00D20B49" w:rsidP="00D13881">
            <w:pPr>
              <w:overflowPunct w:val="0"/>
              <w:autoSpaceDE w:val="0"/>
              <w:autoSpaceDN w:val="0"/>
              <w:adjustRightInd w:val="0"/>
              <w:spacing w:after="120"/>
              <w:rPr>
                <w:lang w:val="pt-BR"/>
              </w:rPr>
            </w:pPr>
          </w:p>
        </w:tc>
        <w:tc>
          <w:tcPr>
            <w:tcW w:w="4483" w:type="dxa"/>
          </w:tcPr>
          <w:p w14:paraId="3528E704" w14:textId="77777777" w:rsidR="00D20B49" w:rsidRPr="0035304F" w:rsidRDefault="00D20B49" w:rsidP="00D13881">
            <w:pPr>
              <w:pStyle w:val="Footer"/>
              <w:tabs>
                <w:tab w:val="left" w:pos="6480"/>
              </w:tabs>
              <w:spacing w:after="120"/>
              <w:ind w:left="743" w:right="884"/>
              <w:rPr>
                <w:lang w:val="pt-BR"/>
              </w:rPr>
            </w:pPr>
          </w:p>
        </w:tc>
      </w:tr>
    </w:tbl>
    <w:p w14:paraId="373C4ED7" w14:textId="77777777" w:rsidR="00D20B49" w:rsidRDefault="00D20B49" w:rsidP="00D20B49">
      <w:pPr>
        <w:overflowPunct w:val="0"/>
        <w:autoSpaceDE w:val="0"/>
        <w:autoSpaceDN w:val="0"/>
        <w:adjustRightInd w:val="0"/>
        <w:spacing w:after="120"/>
        <w:rPr>
          <w:rFonts w:ascii="Times New Roman" w:hAnsi="Times New Roman" w:cs="Times New Roman"/>
          <w:b/>
          <w:sz w:val="24"/>
          <w:szCs w:val="24"/>
        </w:rPr>
      </w:pPr>
      <w:r w:rsidRPr="00D20B49">
        <w:rPr>
          <w:rFonts w:ascii="Times New Roman" w:hAnsi="Times New Roman" w:cs="Times New Roman"/>
          <w:b/>
          <w:sz w:val="24"/>
          <w:szCs w:val="24"/>
        </w:rPr>
        <w:t>DĖL ATSAKYMŲ Į TIEKĖJŲ KLAUSIMUS</w:t>
      </w:r>
    </w:p>
    <w:p w14:paraId="2FA6BC7C" w14:textId="5BD723DB" w:rsidR="004959B6" w:rsidRPr="00D20B49" w:rsidRDefault="004959B6" w:rsidP="00D20B49">
      <w:pPr>
        <w:overflowPunct w:val="0"/>
        <w:autoSpaceDE w:val="0"/>
        <w:autoSpaceDN w:val="0"/>
        <w:adjustRightInd w:val="0"/>
        <w:spacing w:after="120"/>
        <w:rPr>
          <w:rFonts w:ascii="Times New Roman" w:hAnsi="Times New Roman" w:cs="Times New Roman"/>
          <w:b/>
          <w:sz w:val="24"/>
          <w:szCs w:val="24"/>
        </w:rPr>
      </w:pPr>
      <w:r>
        <w:rPr>
          <w:rFonts w:ascii="Times New Roman" w:hAnsi="Times New Roman" w:cs="Times New Roman"/>
          <w:b/>
          <w:sz w:val="24"/>
          <w:szCs w:val="24"/>
        </w:rPr>
        <w:t xml:space="preserve">REGARDING </w:t>
      </w:r>
      <w:r w:rsidRPr="004959B6">
        <w:rPr>
          <w:rFonts w:ascii="Times New Roman" w:hAnsi="Times New Roman" w:cs="Times New Roman"/>
          <w:b/>
          <w:sz w:val="24"/>
          <w:szCs w:val="24"/>
        </w:rPr>
        <w:t>ANSWERS TO SUPPLIERS' QUESTIONS</w:t>
      </w:r>
    </w:p>
    <w:p w14:paraId="1FA965B3" w14:textId="77777777" w:rsidR="00D20B49" w:rsidRPr="00D20B49" w:rsidRDefault="00D20B49" w:rsidP="00D20B49">
      <w:pPr>
        <w:tabs>
          <w:tab w:val="left" w:pos="567"/>
          <w:tab w:val="left" w:pos="709"/>
        </w:tabs>
        <w:spacing w:after="120"/>
        <w:jc w:val="both"/>
        <w:rPr>
          <w:rFonts w:ascii="Times New Roman" w:hAnsi="Times New Roman" w:cs="Times New Roman"/>
          <w:b/>
          <w:bCs/>
          <w:sz w:val="24"/>
          <w:szCs w:val="24"/>
        </w:rPr>
      </w:pPr>
    </w:p>
    <w:p w14:paraId="40AF4477" w14:textId="7A381C93" w:rsidR="00D20B49" w:rsidRPr="00D20B49" w:rsidRDefault="00D20B49" w:rsidP="00D20B49">
      <w:pPr>
        <w:tabs>
          <w:tab w:val="left" w:pos="567"/>
          <w:tab w:val="left" w:pos="709"/>
        </w:tabs>
        <w:spacing w:line="276" w:lineRule="auto"/>
        <w:ind w:right="687"/>
        <w:jc w:val="both"/>
        <w:rPr>
          <w:rFonts w:ascii="Times New Roman" w:hAnsi="Times New Roman" w:cs="Times New Roman"/>
          <w:sz w:val="24"/>
          <w:szCs w:val="24"/>
        </w:rPr>
      </w:pPr>
      <w:r w:rsidRPr="00D20B49">
        <w:rPr>
          <w:rFonts w:ascii="Times New Roman" w:hAnsi="Times New Roman" w:cs="Times New Roman"/>
          <w:b/>
          <w:bCs/>
          <w:sz w:val="24"/>
          <w:szCs w:val="24"/>
        </w:rPr>
        <w:tab/>
      </w:r>
      <w:r w:rsidRPr="00D20B49">
        <w:rPr>
          <w:rFonts w:ascii="Times New Roman" w:hAnsi="Times New Roman" w:cs="Times New Roman"/>
          <w:sz w:val="24"/>
          <w:szCs w:val="24"/>
        </w:rPr>
        <w:t xml:space="preserve">Europos socialinio fondo agentūra Centrinės viešųjų pirkimų informacinės sistemos (toliau – CVP IS) priemonėmis gavo suinteresuotų tiekėjų prašymus paaiškinti atviro konkurso </w:t>
      </w:r>
      <w:r>
        <w:rPr>
          <w:rFonts w:ascii="Times New Roman" w:hAnsi="Times New Roman" w:cs="Times New Roman"/>
          <w:sz w:val="24"/>
          <w:szCs w:val="24"/>
        </w:rPr>
        <w:t>„S</w:t>
      </w:r>
      <w:r w:rsidRPr="00D20B49">
        <w:rPr>
          <w:rFonts w:ascii="Times New Roman" w:hAnsi="Times New Roman" w:cs="Times New Roman"/>
          <w:sz w:val="24"/>
          <w:szCs w:val="24"/>
        </w:rPr>
        <w:t>ocialinės srities ekspert</w:t>
      </w:r>
      <w:r>
        <w:rPr>
          <w:rFonts w:ascii="Times New Roman" w:hAnsi="Times New Roman" w:cs="Times New Roman"/>
          <w:sz w:val="24"/>
          <w:szCs w:val="24"/>
        </w:rPr>
        <w:t xml:space="preserve">ai“ </w:t>
      </w:r>
      <w:r w:rsidRPr="00D20B49">
        <w:rPr>
          <w:rFonts w:ascii="Times New Roman" w:hAnsi="Times New Roman" w:cs="Times New Roman"/>
          <w:sz w:val="24"/>
          <w:szCs w:val="24"/>
        </w:rPr>
        <w:t xml:space="preserve">(CVPIS IS NR. 399373) dokumentus. </w:t>
      </w:r>
    </w:p>
    <w:p w14:paraId="1EE26B2A" w14:textId="77777777" w:rsid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r w:rsidRPr="00D20B49">
        <w:rPr>
          <w:rFonts w:ascii="Times New Roman" w:hAnsi="Times New Roman" w:cs="Times New Roman"/>
          <w:sz w:val="24"/>
          <w:szCs w:val="24"/>
        </w:rPr>
        <w:t xml:space="preserve">Pirkimo komisija išnagrinėjo tiekėjų klausimus ir teikia atsakymus, paaiškindama pirkimo dokumentus. </w:t>
      </w:r>
    </w:p>
    <w:p w14:paraId="0CE76632" w14:textId="77777777" w:rsid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r w:rsidRPr="00D20B49">
        <w:rPr>
          <w:rFonts w:ascii="Times New Roman" w:hAnsi="Times New Roman" w:cs="Times New Roman"/>
          <w:sz w:val="24"/>
          <w:szCs w:val="24"/>
        </w:rPr>
        <w:t xml:space="preserve">The European Social Fund Agency received requests from interested suppliers via the Central Public Procurement Information System (hereinafter referred to as CVP IS) to clarify the documents of the open tender "Experts in the Social Field" (CVPIS IS NR. 399373). </w:t>
      </w:r>
    </w:p>
    <w:p w14:paraId="77663137" w14:textId="06FC020D" w:rsid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r w:rsidRPr="00D20B49">
        <w:rPr>
          <w:rFonts w:ascii="Times New Roman" w:hAnsi="Times New Roman" w:cs="Times New Roman"/>
          <w:sz w:val="24"/>
          <w:szCs w:val="24"/>
        </w:rPr>
        <w:t>The Procurement Commission has examined the suppliers' questions and is providing answers, clarifying the procurement documents.</w:t>
      </w:r>
    </w:p>
    <w:p w14:paraId="571016ED" w14:textId="77777777" w:rsidR="00D20B49" w:rsidRPr="00D20B49" w:rsidRDefault="00D20B49" w:rsidP="00D20B49">
      <w:pPr>
        <w:tabs>
          <w:tab w:val="left" w:pos="567"/>
          <w:tab w:val="left" w:pos="709"/>
        </w:tabs>
        <w:spacing w:after="120" w:line="276" w:lineRule="auto"/>
        <w:ind w:right="687" w:firstLine="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4253"/>
        <w:gridCol w:w="4671"/>
      </w:tblGrid>
      <w:tr w:rsidR="00495093" w14:paraId="1B6D0EF0" w14:textId="77777777" w:rsidTr="00ED04C9">
        <w:tc>
          <w:tcPr>
            <w:tcW w:w="704" w:type="dxa"/>
          </w:tcPr>
          <w:p w14:paraId="445C1378"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 xml:space="preserve">Eilės nr. </w:t>
            </w:r>
          </w:p>
        </w:tc>
        <w:tc>
          <w:tcPr>
            <w:tcW w:w="4253" w:type="dxa"/>
          </w:tcPr>
          <w:p w14:paraId="1B63C1FB" w14:textId="4837E9AF"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Klausimas</w:t>
            </w:r>
            <w:r>
              <w:rPr>
                <w:rFonts w:ascii="Times New Roman" w:hAnsi="Times New Roman"/>
                <w:sz w:val="24"/>
                <w:szCs w:val="24"/>
              </w:rPr>
              <w:t>/Question</w:t>
            </w:r>
          </w:p>
        </w:tc>
        <w:tc>
          <w:tcPr>
            <w:tcW w:w="4671" w:type="dxa"/>
          </w:tcPr>
          <w:p w14:paraId="5D15766D" w14:textId="3EE4DF1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Atsakymas</w:t>
            </w:r>
            <w:r>
              <w:rPr>
                <w:rFonts w:ascii="Times New Roman" w:hAnsi="Times New Roman"/>
                <w:sz w:val="24"/>
                <w:szCs w:val="24"/>
              </w:rPr>
              <w:t>/Answer</w:t>
            </w:r>
          </w:p>
        </w:tc>
      </w:tr>
      <w:tr w:rsidR="00495093" w14:paraId="3AFDBB4A" w14:textId="77777777" w:rsidTr="00ED04C9">
        <w:tc>
          <w:tcPr>
            <w:tcW w:w="704" w:type="dxa"/>
          </w:tcPr>
          <w:p w14:paraId="41E2D0C6" w14:textId="77777777" w:rsidR="00495093" w:rsidRPr="00875291" w:rsidRDefault="00495093" w:rsidP="00495093">
            <w:pPr>
              <w:pStyle w:val="ListParagraph"/>
              <w:numPr>
                <w:ilvl w:val="0"/>
                <w:numId w:val="1"/>
              </w:numPr>
              <w:spacing w:line="276" w:lineRule="auto"/>
              <w:jc w:val="both"/>
              <w:rPr>
                <w:rFonts w:ascii="Times New Roman" w:hAnsi="Times New Roman"/>
                <w:sz w:val="24"/>
                <w:szCs w:val="24"/>
              </w:rPr>
            </w:pPr>
          </w:p>
        </w:tc>
        <w:tc>
          <w:tcPr>
            <w:tcW w:w="4253" w:type="dxa"/>
          </w:tcPr>
          <w:p w14:paraId="35700FA0"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In Lot 4 and Lot 5, in the Declaration of knowledge and experience, point 8 for primary and additional thematic experts require "Information on having at least two years of expert work experience with the European Commission or another EU institution. Could you please clarify if in this point you will accept experience in projects where the expert worked for the European Commision via an intermediary organisation (e.g. in organising events for COP EES, where the expert was employed by ESFA, but the project itself is funded by the Commission), or only those where the expert was contracted directly by the Commission?</w:t>
            </w:r>
          </w:p>
          <w:p w14:paraId="271442D8" w14:textId="77777777" w:rsidR="00495093" w:rsidRDefault="00495093" w:rsidP="00ED04C9">
            <w:pPr>
              <w:spacing w:line="276" w:lineRule="auto"/>
              <w:jc w:val="both"/>
              <w:rPr>
                <w:rFonts w:ascii="Times New Roman" w:hAnsi="Times New Roman"/>
                <w:sz w:val="24"/>
                <w:szCs w:val="24"/>
              </w:rPr>
            </w:pPr>
          </w:p>
          <w:p w14:paraId="4F552A84"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lastRenderedPageBreak/>
              <w:t xml:space="preserve">Vertimas: </w:t>
            </w:r>
          </w:p>
          <w:p w14:paraId="114CDFD3"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Žinių ir patirties deklaracijos 4 ir 5 dalių 8 punkte, skirtame pirminiams ir papildomiems teminiams ekspertams, reikalaujama „Informacija apie ne mažesnę kaip dvejų metų ekspertinio darbo Europos Komisijoje ar kitoje ES institucijoje patirtį. Ar galėtumėte paaiškinti, ar Šiame punkte jūs priimsite patirtį projektuose, kuriuose ekspertas dirbo Europos Komisijoje per tarpinę organizaciją (pvz., organizuojant COP EES renginius, kai ekspertas buvo įdarbintas ESFA, tačiau Pats projektas finansuojamas Komisijos), ar tik tuos, kuri</w:t>
            </w:r>
            <w:r>
              <w:rPr>
                <w:rFonts w:ascii="Times New Roman" w:hAnsi="Times New Roman"/>
                <w:sz w:val="24"/>
                <w:szCs w:val="24"/>
              </w:rPr>
              <w:t xml:space="preserve">e dirbo tiesiogiai </w:t>
            </w:r>
            <w:r w:rsidRPr="00670077">
              <w:rPr>
                <w:rFonts w:ascii="Times New Roman" w:hAnsi="Times New Roman"/>
                <w:sz w:val="24"/>
                <w:szCs w:val="24"/>
              </w:rPr>
              <w:t>Komisija</w:t>
            </w:r>
            <w:r>
              <w:rPr>
                <w:rFonts w:ascii="Times New Roman" w:hAnsi="Times New Roman"/>
                <w:sz w:val="24"/>
                <w:szCs w:val="24"/>
              </w:rPr>
              <w:t>i</w:t>
            </w:r>
            <w:r w:rsidRPr="00670077">
              <w:rPr>
                <w:rFonts w:ascii="Times New Roman" w:hAnsi="Times New Roman"/>
                <w:sz w:val="24"/>
                <w:szCs w:val="24"/>
              </w:rPr>
              <w:t>?</w:t>
            </w:r>
            <w:r w:rsidRPr="00670077">
              <w:rPr>
                <w:rFonts w:ascii="Times New Roman" w:hAnsi="Times New Roman"/>
                <w:sz w:val="24"/>
                <w:szCs w:val="24"/>
              </w:rPr>
              <w:br/>
            </w:r>
          </w:p>
        </w:tc>
        <w:tc>
          <w:tcPr>
            <w:tcW w:w="4671" w:type="dxa"/>
          </w:tcPr>
          <w:p w14:paraId="4D335B46"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lastRenderedPageBreak/>
              <w:t>We will accept experience in projects, commissioned by the European Commission or another EU institution, where work was carried out via an intermediary organisation. Working arrangements have to be clearly described, as stated in the tender conditions “The specialist’s employment history must clearly indicate that the proposed specialist has the required experience in the specified field.’.</w:t>
            </w:r>
          </w:p>
          <w:p w14:paraId="46415A0E" w14:textId="77777777" w:rsidR="00495093" w:rsidRDefault="00495093" w:rsidP="00ED04C9">
            <w:pPr>
              <w:spacing w:line="276" w:lineRule="auto"/>
              <w:jc w:val="both"/>
              <w:rPr>
                <w:rFonts w:ascii="Times New Roman" w:hAnsi="Times New Roman"/>
                <w:sz w:val="24"/>
                <w:szCs w:val="24"/>
              </w:rPr>
            </w:pPr>
          </w:p>
          <w:p w14:paraId="5428ABD1" w14:textId="77777777" w:rsidR="00495093" w:rsidRDefault="00495093" w:rsidP="00ED04C9">
            <w:pPr>
              <w:spacing w:line="276" w:lineRule="auto"/>
              <w:jc w:val="both"/>
              <w:rPr>
                <w:rFonts w:ascii="Times New Roman" w:hAnsi="Times New Roman"/>
                <w:sz w:val="24"/>
                <w:szCs w:val="24"/>
              </w:rPr>
            </w:pPr>
          </w:p>
          <w:p w14:paraId="37545DDF" w14:textId="77777777" w:rsidR="00495093" w:rsidRDefault="00495093" w:rsidP="00ED04C9">
            <w:pPr>
              <w:spacing w:line="276" w:lineRule="auto"/>
              <w:jc w:val="both"/>
              <w:rPr>
                <w:rFonts w:ascii="Times New Roman" w:hAnsi="Times New Roman"/>
                <w:sz w:val="24"/>
                <w:szCs w:val="24"/>
              </w:rPr>
            </w:pPr>
          </w:p>
          <w:p w14:paraId="3AA211E6" w14:textId="77777777" w:rsidR="00495093" w:rsidRDefault="00495093" w:rsidP="00ED04C9">
            <w:pPr>
              <w:spacing w:line="276" w:lineRule="auto"/>
              <w:jc w:val="both"/>
              <w:rPr>
                <w:rFonts w:ascii="Times New Roman" w:hAnsi="Times New Roman"/>
                <w:sz w:val="24"/>
                <w:szCs w:val="24"/>
              </w:rPr>
            </w:pPr>
          </w:p>
          <w:p w14:paraId="76956EE1" w14:textId="77777777" w:rsidR="00495093" w:rsidRDefault="00495093" w:rsidP="00ED04C9">
            <w:pPr>
              <w:spacing w:line="276" w:lineRule="auto"/>
              <w:jc w:val="both"/>
              <w:rPr>
                <w:rFonts w:ascii="Times New Roman" w:hAnsi="Times New Roman"/>
                <w:sz w:val="24"/>
                <w:szCs w:val="24"/>
              </w:rPr>
            </w:pPr>
          </w:p>
          <w:p w14:paraId="5DCBB522" w14:textId="77777777" w:rsidR="00495093" w:rsidRDefault="00495093" w:rsidP="00ED04C9">
            <w:pPr>
              <w:spacing w:line="276" w:lineRule="auto"/>
              <w:jc w:val="both"/>
              <w:rPr>
                <w:rFonts w:ascii="Times New Roman" w:hAnsi="Times New Roman"/>
                <w:sz w:val="24"/>
                <w:szCs w:val="24"/>
              </w:rPr>
            </w:pPr>
          </w:p>
          <w:p w14:paraId="6AF0BBE1" w14:textId="77777777" w:rsidR="00495093" w:rsidRDefault="00495093" w:rsidP="00ED04C9">
            <w:pPr>
              <w:spacing w:line="276" w:lineRule="auto"/>
              <w:jc w:val="both"/>
              <w:rPr>
                <w:rFonts w:ascii="Times New Roman" w:hAnsi="Times New Roman"/>
                <w:sz w:val="24"/>
                <w:szCs w:val="24"/>
              </w:rPr>
            </w:pPr>
          </w:p>
          <w:p w14:paraId="3064A179" w14:textId="77777777" w:rsidR="00495093" w:rsidRDefault="00495093" w:rsidP="00ED04C9">
            <w:pPr>
              <w:spacing w:line="276" w:lineRule="auto"/>
              <w:jc w:val="both"/>
              <w:rPr>
                <w:rFonts w:ascii="Times New Roman" w:hAnsi="Times New Roman"/>
                <w:sz w:val="24"/>
                <w:szCs w:val="24"/>
              </w:rPr>
            </w:pPr>
          </w:p>
          <w:p w14:paraId="1F9366D1"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lastRenderedPageBreak/>
              <w:t xml:space="preserve">Vertimas: </w:t>
            </w:r>
          </w:p>
          <w:p w14:paraId="74DC1AD1"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Priimsime patirtį Europos Komisijos ar kitos ES institucijos užsakymu</w:t>
            </w:r>
            <w:r>
              <w:rPr>
                <w:rFonts w:ascii="Times New Roman" w:hAnsi="Times New Roman"/>
                <w:sz w:val="24"/>
                <w:szCs w:val="24"/>
              </w:rPr>
              <w:t xml:space="preserve"> vykdytuose</w:t>
            </w:r>
            <w:r w:rsidRPr="00670077">
              <w:rPr>
                <w:rFonts w:ascii="Times New Roman" w:hAnsi="Times New Roman"/>
                <w:sz w:val="24"/>
                <w:szCs w:val="24"/>
              </w:rPr>
              <w:t xml:space="preserve"> projektuose, kuriuose darbas buvo vykdomas per tarpinę organizaciją. Darbo </w:t>
            </w:r>
            <w:r>
              <w:rPr>
                <w:rFonts w:ascii="Times New Roman" w:hAnsi="Times New Roman"/>
                <w:sz w:val="24"/>
                <w:szCs w:val="24"/>
              </w:rPr>
              <w:t>patirtis</w:t>
            </w:r>
            <w:r w:rsidRPr="00670077">
              <w:rPr>
                <w:rFonts w:ascii="Times New Roman" w:hAnsi="Times New Roman"/>
                <w:sz w:val="24"/>
                <w:szCs w:val="24"/>
              </w:rPr>
              <w:t xml:space="preserve"> turi būti aiškiai aprašyt</w:t>
            </w:r>
            <w:r>
              <w:rPr>
                <w:rFonts w:ascii="Times New Roman" w:hAnsi="Times New Roman"/>
                <w:sz w:val="24"/>
                <w:szCs w:val="24"/>
              </w:rPr>
              <w:t>a</w:t>
            </w:r>
            <w:r w:rsidRPr="00670077">
              <w:rPr>
                <w:rFonts w:ascii="Times New Roman" w:hAnsi="Times New Roman"/>
                <w:sz w:val="24"/>
                <w:szCs w:val="24"/>
              </w:rPr>
              <w:t>, kaip nurodyta konkurso sąlygose „Specialisto darbo istorijoje turi būti aiškiai nurodyta, kad siūlomas specialistas turi reikiamos patirties nurodytoje srityje“.</w:t>
            </w:r>
          </w:p>
        </w:tc>
      </w:tr>
      <w:tr w:rsidR="00495093" w14:paraId="6BFB26E8" w14:textId="77777777" w:rsidTr="00ED04C9">
        <w:tc>
          <w:tcPr>
            <w:tcW w:w="704" w:type="dxa"/>
          </w:tcPr>
          <w:p w14:paraId="3306C6FF"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lastRenderedPageBreak/>
              <w:t>2.</w:t>
            </w:r>
          </w:p>
        </w:tc>
        <w:tc>
          <w:tcPr>
            <w:tcW w:w="4253" w:type="dxa"/>
          </w:tcPr>
          <w:p w14:paraId="260CF88F"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When submitting the tender form (Annex 3), can I keep only the Lots that I am bidding for and delete the empty tables for other Lots?</w:t>
            </w:r>
          </w:p>
          <w:p w14:paraId="5AA84A35" w14:textId="77777777" w:rsidR="00495093" w:rsidRDefault="00495093" w:rsidP="00ED04C9">
            <w:pPr>
              <w:spacing w:line="276" w:lineRule="auto"/>
              <w:jc w:val="both"/>
              <w:rPr>
                <w:rFonts w:ascii="Times New Roman" w:hAnsi="Times New Roman"/>
                <w:sz w:val="24"/>
                <w:szCs w:val="24"/>
              </w:rPr>
            </w:pPr>
          </w:p>
          <w:p w14:paraId="0533BF4E" w14:textId="77777777" w:rsidR="00495093" w:rsidRDefault="00495093" w:rsidP="00ED04C9">
            <w:pPr>
              <w:spacing w:line="276" w:lineRule="auto"/>
              <w:jc w:val="both"/>
              <w:rPr>
                <w:rFonts w:ascii="Times New Roman" w:hAnsi="Times New Roman"/>
                <w:sz w:val="24"/>
                <w:szCs w:val="24"/>
              </w:rPr>
            </w:pPr>
          </w:p>
          <w:p w14:paraId="2D3EC3F7" w14:textId="77777777" w:rsidR="00495093" w:rsidRDefault="00495093" w:rsidP="00ED04C9">
            <w:pPr>
              <w:spacing w:line="276" w:lineRule="auto"/>
              <w:jc w:val="both"/>
              <w:rPr>
                <w:rFonts w:ascii="Times New Roman" w:hAnsi="Times New Roman"/>
                <w:sz w:val="24"/>
                <w:szCs w:val="24"/>
              </w:rPr>
            </w:pPr>
          </w:p>
          <w:p w14:paraId="5BF0B026" w14:textId="77777777" w:rsidR="00495093" w:rsidRDefault="00495093" w:rsidP="00ED04C9">
            <w:pPr>
              <w:spacing w:line="276" w:lineRule="auto"/>
              <w:jc w:val="both"/>
              <w:rPr>
                <w:rFonts w:ascii="Times New Roman" w:hAnsi="Times New Roman"/>
                <w:sz w:val="24"/>
                <w:szCs w:val="24"/>
              </w:rPr>
            </w:pPr>
          </w:p>
          <w:p w14:paraId="3BA27E57" w14:textId="77777777" w:rsidR="00495093" w:rsidRDefault="00495093" w:rsidP="00ED04C9">
            <w:pPr>
              <w:spacing w:line="276" w:lineRule="auto"/>
              <w:jc w:val="both"/>
              <w:rPr>
                <w:rFonts w:ascii="Times New Roman" w:hAnsi="Times New Roman"/>
                <w:sz w:val="24"/>
                <w:szCs w:val="24"/>
              </w:rPr>
            </w:pPr>
          </w:p>
          <w:p w14:paraId="63D5B5F5"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Vertimas:</w:t>
            </w:r>
          </w:p>
          <w:p w14:paraId="18B2567E"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 xml:space="preserve">Ar pateikdamas pasiūlymo formą (3 priedas) galiu palikti tik tas dalis, kurioms </w:t>
            </w:r>
            <w:r>
              <w:rPr>
                <w:rFonts w:ascii="Times New Roman" w:hAnsi="Times New Roman"/>
                <w:sz w:val="24"/>
                <w:szCs w:val="24"/>
              </w:rPr>
              <w:t>teikiu pasiūlymą</w:t>
            </w:r>
            <w:r w:rsidRPr="00670077">
              <w:rPr>
                <w:rFonts w:ascii="Times New Roman" w:hAnsi="Times New Roman"/>
                <w:sz w:val="24"/>
                <w:szCs w:val="24"/>
              </w:rPr>
              <w:t xml:space="preserve"> ir ištrinti tuščias kitų dalių lenteles?</w:t>
            </w:r>
          </w:p>
        </w:tc>
        <w:tc>
          <w:tcPr>
            <w:tcW w:w="4671" w:type="dxa"/>
          </w:tcPr>
          <w:p w14:paraId="0CACD520"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 xml:space="preserve">Yes, you can delete empty tables. </w:t>
            </w:r>
          </w:p>
          <w:p w14:paraId="5D78ECB0" w14:textId="77777777" w:rsidR="00495093" w:rsidRPr="00670077"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 xml:space="preserve">As stated in the tender documents, Annex 3 ‘Tender form’ to the procurement conditions,point No3 </w:t>
            </w:r>
            <w:r w:rsidRPr="00670077">
              <w:rPr>
                <w:rFonts w:ascii="Times New Roman" w:hAnsi="Times New Roman"/>
                <w:sz w:val="24"/>
                <w:szCs w:val="24"/>
                <w:lang w:val="en-US"/>
              </w:rPr>
              <w:t xml:space="preserve">“&lt;….&gt; the relevant table for the procurement lot to which the tender is submitted is to be filled in”. Therefore, </w:t>
            </w:r>
            <w:r w:rsidRPr="00670077">
              <w:rPr>
                <w:rFonts w:ascii="Times New Roman" w:hAnsi="Times New Roman"/>
                <w:sz w:val="24"/>
                <w:szCs w:val="24"/>
              </w:rPr>
              <w:t>when submitting the tender form (Annex 3), information is provided for the Lots that the expert is bidding for.</w:t>
            </w:r>
          </w:p>
          <w:p w14:paraId="031D0165"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Vertimas:</w:t>
            </w:r>
          </w:p>
          <w:p w14:paraId="0ACB30EC"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 xml:space="preserve">Taip, tuščias lenteles galite ištrinti. Kaip nurodyta konkurso dokumentuose, pirkimo sąlygų 3 priedo „Pasiūlymo forma“ Nr.3 punktas „&lt;….&gt; turi būti užpildyta atitinkama pirkimo daliai, kuriai teikiamas pasiūlymas, lentelė“. Todėl teikiant pasiūlymo formą (3 priedas) pateikiama informacija apie dalis, dėl kurių ekspertas </w:t>
            </w:r>
            <w:r>
              <w:rPr>
                <w:rFonts w:ascii="Times New Roman" w:hAnsi="Times New Roman"/>
                <w:sz w:val="24"/>
                <w:szCs w:val="24"/>
              </w:rPr>
              <w:t>teikia</w:t>
            </w:r>
            <w:r w:rsidRPr="00670077">
              <w:rPr>
                <w:rFonts w:ascii="Times New Roman" w:hAnsi="Times New Roman"/>
                <w:sz w:val="24"/>
                <w:szCs w:val="24"/>
              </w:rPr>
              <w:t xml:space="preserve"> pasiūlymą.</w:t>
            </w:r>
          </w:p>
          <w:p w14:paraId="30208E2D" w14:textId="77777777" w:rsidR="00495093" w:rsidRDefault="00495093" w:rsidP="00ED04C9">
            <w:pPr>
              <w:spacing w:line="276" w:lineRule="auto"/>
              <w:jc w:val="both"/>
              <w:rPr>
                <w:rFonts w:ascii="Times New Roman" w:hAnsi="Times New Roman"/>
                <w:sz w:val="24"/>
                <w:szCs w:val="24"/>
              </w:rPr>
            </w:pPr>
          </w:p>
        </w:tc>
      </w:tr>
      <w:tr w:rsidR="00495093" w14:paraId="1B1E79D5" w14:textId="77777777" w:rsidTr="00ED04C9">
        <w:tc>
          <w:tcPr>
            <w:tcW w:w="704" w:type="dxa"/>
          </w:tcPr>
          <w:p w14:paraId="1D1089AF" w14:textId="77777777" w:rsidR="00495093" w:rsidRPr="00A1026F" w:rsidRDefault="00495093" w:rsidP="00ED04C9">
            <w:pPr>
              <w:spacing w:line="276" w:lineRule="auto"/>
              <w:jc w:val="both"/>
              <w:rPr>
                <w:rFonts w:ascii="Times New Roman" w:hAnsi="Times New Roman"/>
                <w:sz w:val="24"/>
                <w:szCs w:val="24"/>
              </w:rPr>
            </w:pPr>
            <w:r w:rsidRPr="00A1026F">
              <w:rPr>
                <w:rFonts w:ascii="Times New Roman" w:hAnsi="Times New Roman"/>
                <w:sz w:val="24"/>
                <w:szCs w:val="24"/>
              </w:rPr>
              <w:t>3.</w:t>
            </w:r>
            <w:r>
              <w:rPr>
                <w:rFonts w:ascii="Times New Roman" w:hAnsi="Times New Roman"/>
                <w:sz w:val="24"/>
                <w:szCs w:val="24"/>
              </w:rPr>
              <w:t xml:space="preserve"> </w:t>
            </w:r>
          </w:p>
        </w:tc>
        <w:tc>
          <w:tcPr>
            <w:tcW w:w="4253" w:type="dxa"/>
          </w:tcPr>
          <w:p w14:paraId="1E7EAFF4"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 xml:space="preserve">In Lot 4, the maximum quantity is set at 333 days over 36 months. In my bid, can I specify a lower number of days (i.e. less </w:t>
            </w:r>
            <w:r w:rsidRPr="00670077">
              <w:rPr>
                <w:rFonts w:ascii="Times New Roman" w:hAnsi="Times New Roman"/>
                <w:sz w:val="24"/>
                <w:szCs w:val="24"/>
              </w:rPr>
              <w:lastRenderedPageBreak/>
              <w:t>than 333 days) I can supply over 36 months?</w:t>
            </w:r>
          </w:p>
          <w:p w14:paraId="7D30F203" w14:textId="77777777" w:rsidR="00495093" w:rsidRDefault="00495093" w:rsidP="00ED04C9">
            <w:pPr>
              <w:spacing w:line="276" w:lineRule="auto"/>
              <w:jc w:val="both"/>
              <w:rPr>
                <w:rFonts w:ascii="Times New Roman" w:hAnsi="Times New Roman"/>
                <w:sz w:val="24"/>
                <w:szCs w:val="24"/>
              </w:rPr>
            </w:pPr>
          </w:p>
          <w:p w14:paraId="59C15D24" w14:textId="77777777" w:rsidR="00495093" w:rsidRDefault="00495093" w:rsidP="00ED04C9">
            <w:pPr>
              <w:spacing w:line="276" w:lineRule="auto"/>
              <w:jc w:val="both"/>
              <w:rPr>
                <w:rFonts w:ascii="Times New Roman" w:hAnsi="Times New Roman"/>
                <w:sz w:val="24"/>
                <w:szCs w:val="24"/>
              </w:rPr>
            </w:pPr>
          </w:p>
          <w:p w14:paraId="6A1F1840" w14:textId="77777777" w:rsidR="00495093" w:rsidRDefault="00495093" w:rsidP="00ED04C9">
            <w:pPr>
              <w:spacing w:line="276" w:lineRule="auto"/>
              <w:jc w:val="both"/>
              <w:rPr>
                <w:rFonts w:ascii="Times New Roman" w:hAnsi="Times New Roman"/>
                <w:sz w:val="24"/>
                <w:szCs w:val="24"/>
              </w:rPr>
            </w:pPr>
          </w:p>
          <w:p w14:paraId="45F237DA" w14:textId="77777777" w:rsidR="00495093" w:rsidRDefault="00495093" w:rsidP="00ED04C9">
            <w:pPr>
              <w:spacing w:line="276" w:lineRule="auto"/>
              <w:jc w:val="both"/>
              <w:rPr>
                <w:rFonts w:ascii="Times New Roman" w:hAnsi="Times New Roman"/>
                <w:sz w:val="24"/>
                <w:szCs w:val="24"/>
              </w:rPr>
            </w:pPr>
          </w:p>
          <w:p w14:paraId="78556F8C" w14:textId="77777777" w:rsidR="00495093" w:rsidRDefault="00495093" w:rsidP="00ED04C9">
            <w:pPr>
              <w:spacing w:line="276" w:lineRule="auto"/>
              <w:jc w:val="both"/>
              <w:rPr>
                <w:rFonts w:ascii="Times New Roman" w:hAnsi="Times New Roman"/>
                <w:sz w:val="24"/>
                <w:szCs w:val="24"/>
              </w:rPr>
            </w:pPr>
          </w:p>
          <w:p w14:paraId="00A54766" w14:textId="77777777" w:rsidR="00495093" w:rsidRDefault="00495093" w:rsidP="00ED04C9">
            <w:pPr>
              <w:spacing w:line="276" w:lineRule="auto"/>
              <w:jc w:val="both"/>
              <w:rPr>
                <w:rFonts w:ascii="Times New Roman" w:hAnsi="Times New Roman"/>
                <w:sz w:val="24"/>
                <w:szCs w:val="24"/>
              </w:rPr>
            </w:pPr>
          </w:p>
          <w:p w14:paraId="5FB0B925" w14:textId="77777777" w:rsidR="00495093" w:rsidRDefault="00495093" w:rsidP="00ED04C9">
            <w:pPr>
              <w:spacing w:line="276" w:lineRule="auto"/>
              <w:jc w:val="both"/>
              <w:rPr>
                <w:rFonts w:ascii="Times New Roman" w:hAnsi="Times New Roman"/>
                <w:sz w:val="24"/>
                <w:szCs w:val="24"/>
              </w:rPr>
            </w:pPr>
          </w:p>
          <w:p w14:paraId="19BB96EA" w14:textId="77777777" w:rsidR="00495093" w:rsidRDefault="00495093" w:rsidP="00ED04C9">
            <w:pPr>
              <w:spacing w:line="276" w:lineRule="auto"/>
              <w:jc w:val="both"/>
              <w:rPr>
                <w:rFonts w:ascii="Times New Roman" w:hAnsi="Times New Roman"/>
                <w:sz w:val="24"/>
                <w:szCs w:val="24"/>
              </w:rPr>
            </w:pPr>
          </w:p>
          <w:p w14:paraId="4C993F1D" w14:textId="77777777" w:rsidR="00495093" w:rsidRDefault="00495093" w:rsidP="00ED04C9">
            <w:pPr>
              <w:spacing w:line="276" w:lineRule="auto"/>
              <w:jc w:val="both"/>
              <w:rPr>
                <w:rFonts w:ascii="Times New Roman" w:hAnsi="Times New Roman"/>
                <w:sz w:val="24"/>
                <w:szCs w:val="24"/>
              </w:rPr>
            </w:pPr>
          </w:p>
          <w:p w14:paraId="2E17068A" w14:textId="77777777" w:rsidR="00495093" w:rsidRDefault="00495093" w:rsidP="00ED04C9">
            <w:pPr>
              <w:spacing w:line="276" w:lineRule="auto"/>
              <w:jc w:val="both"/>
              <w:rPr>
                <w:rFonts w:ascii="Times New Roman" w:hAnsi="Times New Roman"/>
                <w:sz w:val="24"/>
                <w:szCs w:val="24"/>
              </w:rPr>
            </w:pPr>
          </w:p>
          <w:p w14:paraId="4462AF27"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Vertimas:</w:t>
            </w:r>
          </w:p>
          <w:p w14:paraId="18E64EE6" w14:textId="77777777" w:rsidR="00495093" w:rsidRPr="00670077" w:rsidRDefault="00495093" w:rsidP="00ED04C9">
            <w:pPr>
              <w:spacing w:line="276" w:lineRule="auto"/>
              <w:jc w:val="both"/>
              <w:rPr>
                <w:rFonts w:ascii="Times New Roman" w:hAnsi="Times New Roman"/>
                <w:sz w:val="24"/>
                <w:szCs w:val="24"/>
              </w:rPr>
            </w:pPr>
            <w:r w:rsidRPr="00A1026F">
              <w:rPr>
                <w:rFonts w:ascii="Times New Roman" w:hAnsi="Times New Roman"/>
                <w:sz w:val="24"/>
                <w:szCs w:val="24"/>
              </w:rPr>
              <w:t>4 dalyje nustatytas didžiausias kiekis – 333 dienos per 36 mėnesius. Ar savo pasiūlyme galiu nurodyti mažesnį dienų skaičių (t. y. mažiau nei 333 dienas), kurį galiu pateikti per 36 mėnesius?</w:t>
            </w:r>
            <w:r w:rsidRPr="00670077">
              <w:rPr>
                <w:rFonts w:ascii="Times New Roman" w:hAnsi="Times New Roman"/>
                <w:sz w:val="24"/>
                <w:szCs w:val="24"/>
              </w:rPr>
              <w:br/>
            </w:r>
          </w:p>
        </w:tc>
        <w:tc>
          <w:tcPr>
            <w:tcW w:w="4671" w:type="dxa"/>
          </w:tcPr>
          <w:p w14:paraId="566D9E54" w14:textId="77777777" w:rsidR="00495093" w:rsidRPr="00A1026F" w:rsidRDefault="00495093" w:rsidP="00ED04C9">
            <w:pPr>
              <w:spacing w:line="276" w:lineRule="auto"/>
              <w:jc w:val="both"/>
              <w:rPr>
                <w:rFonts w:ascii="Times New Roman" w:hAnsi="Times New Roman"/>
                <w:sz w:val="24"/>
                <w:szCs w:val="24"/>
              </w:rPr>
            </w:pPr>
            <w:r>
              <w:rPr>
                <w:rFonts w:ascii="Times New Roman" w:hAnsi="Times New Roman"/>
                <w:sz w:val="24"/>
                <w:szCs w:val="24"/>
              </w:rPr>
              <w:lastRenderedPageBreak/>
              <w:t xml:space="preserve">No, you cannot. </w:t>
            </w:r>
            <w:r w:rsidRPr="00A1026F">
              <w:rPr>
                <w:rFonts w:ascii="Times New Roman" w:hAnsi="Times New Roman"/>
                <w:sz w:val="24"/>
                <w:szCs w:val="24"/>
              </w:rPr>
              <w:t xml:space="preserve">„Maximum quantity over 36 months“ is a predefined information in the tender documentation and an indication of the  maximum quantity of services to be </w:t>
            </w:r>
            <w:r w:rsidRPr="00A1026F">
              <w:rPr>
                <w:rFonts w:ascii="Times New Roman" w:hAnsi="Times New Roman"/>
                <w:sz w:val="24"/>
                <w:szCs w:val="24"/>
              </w:rPr>
              <w:lastRenderedPageBreak/>
              <w:t>acquired over the entire duration of the Contract.</w:t>
            </w:r>
          </w:p>
          <w:p w14:paraId="465FCF03" w14:textId="77777777" w:rsidR="00495093" w:rsidRPr="00A1026F" w:rsidRDefault="00495093" w:rsidP="00ED04C9">
            <w:pPr>
              <w:spacing w:line="276" w:lineRule="auto"/>
              <w:jc w:val="both"/>
              <w:rPr>
                <w:rFonts w:ascii="Times New Roman" w:hAnsi="Times New Roman"/>
                <w:sz w:val="24"/>
                <w:szCs w:val="24"/>
              </w:rPr>
            </w:pPr>
            <w:r w:rsidRPr="00A1026F">
              <w:rPr>
                <w:rFonts w:ascii="Times New Roman" w:hAnsi="Times New Roman"/>
                <w:sz w:val="24"/>
                <w:szCs w:val="24"/>
              </w:rPr>
              <w:t>As stated in the  Annex 3 ‘Tender form’ to the procurement conditions, „The Contracting Authority does not commit to purchasing the entire indicated maximum quantity. Services shall be ordered based on the needs of the Contracting Authority.“ Therefore, the tender conditions and predefined information in them must not be changed.</w:t>
            </w:r>
          </w:p>
          <w:p w14:paraId="64957F67" w14:textId="77777777" w:rsidR="00495093" w:rsidRDefault="00495093" w:rsidP="00ED04C9">
            <w:pPr>
              <w:spacing w:line="276" w:lineRule="auto"/>
              <w:jc w:val="both"/>
              <w:rPr>
                <w:rFonts w:ascii="Times New Roman" w:hAnsi="Times New Roman"/>
                <w:sz w:val="24"/>
                <w:szCs w:val="24"/>
              </w:rPr>
            </w:pPr>
          </w:p>
          <w:p w14:paraId="56458009"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Vertimas:</w:t>
            </w:r>
          </w:p>
          <w:p w14:paraId="434DCF82" w14:textId="77777777" w:rsidR="00495093" w:rsidRDefault="00495093" w:rsidP="00ED04C9">
            <w:pPr>
              <w:spacing w:line="276" w:lineRule="auto"/>
              <w:jc w:val="both"/>
              <w:rPr>
                <w:rFonts w:ascii="Times New Roman" w:hAnsi="Times New Roman"/>
                <w:sz w:val="24"/>
                <w:szCs w:val="24"/>
              </w:rPr>
            </w:pPr>
            <w:r w:rsidRPr="00A1026F">
              <w:rPr>
                <w:rFonts w:ascii="Times New Roman" w:hAnsi="Times New Roman"/>
                <w:sz w:val="24"/>
                <w:szCs w:val="24"/>
              </w:rPr>
              <w:t xml:space="preserve">Ne, </w:t>
            </w:r>
            <w:r>
              <w:rPr>
                <w:rFonts w:ascii="Times New Roman" w:hAnsi="Times New Roman"/>
                <w:sz w:val="24"/>
                <w:szCs w:val="24"/>
              </w:rPr>
              <w:t>negalima</w:t>
            </w:r>
            <w:r w:rsidRPr="00A1026F">
              <w:rPr>
                <w:rFonts w:ascii="Times New Roman" w:hAnsi="Times New Roman"/>
                <w:sz w:val="24"/>
                <w:szCs w:val="24"/>
              </w:rPr>
              <w:t>. „Maksimalus kiekis per 36 mėnesius“ – tai konkurso dokumentuose iš anksto nustatyta informacija ir maksimalaus perkamo paslaugų kiekio per visą Sutarties galiojimo laikotarpį nuoroda. Kaip nurodyta pirkimo sąlygų 3 priede „Pasiūlymo forma“, „Perkančioji organizacija neįsipareigoja pirkti viso nurodyto maksimalaus kiekio. Paslaugos užsakomos atsižvelgiant į Perkančiosios organizacijos poreikius.“ Todėl konkurso sąlygos ir iš anksto jose nurodyta informacija n</w:t>
            </w:r>
            <w:r>
              <w:rPr>
                <w:rFonts w:ascii="Times New Roman" w:hAnsi="Times New Roman"/>
                <w:sz w:val="24"/>
                <w:szCs w:val="24"/>
              </w:rPr>
              <w:t>egali</w:t>
            </w:r>
            <w:r w:rsidRPr="00A1026F">
              <w:rPr>
                <w:rFonts w:ascii="Times New Roman" w:hAnsi="Times New Roman"/>
                <w:sz w:val="24"/>
                <w:szCs w:val="24"/>
              </w:rPr>
              <w:t xml:space="preserve"> būti keičiamos.</w:t>
            </w:r>
          </w:p>
        </w:tc>
      </w:tr>
      <w:tr w:rsidR="00495093" w14:paraId="1C9C54B2" w14:textId="77777777" w:rsidTr="00ED04C9">
        <w:tc>
          <w:tcPr>
            <w:tcW w:w="704" w:type="dxa"/>
          </w:tcPr>
          <w:p w14:paraId="7B349E6B" w14:textId="77777777" w:rsidR="00495093" w:rsidRPr="00A1026F" w:rsidRDefault="00495093" w:rsidP="00ED04C9">
            <w:pPr>
              <w:spacing w:line="276" w:lineRule="auto"/>
              <w:jc w:val="both"/>
              <w:rPr>
                <w:rFonts w:ascii="Times New Roman" w:hAnsi="Times New Roman"/>
                <w:sz w:val="24"/>
                <w:szCs w:val="24"/>
              </w:rPr>
            </w:pPr>
            <w:r>
              <w:rPr>
                <w:rFonts w:ascii="Times New Roman" w:hAnsi="Times New Roman"/>
                <w:sz w:val="24"/>
                <w:szCs w:val="24"/>
              </w:rPr>
              <w:lastRenderedPageBreak/>
              <w:t xml:space="preserve">4. </w:t>
            </w:r>
          </w:p>
        </w:tc>
        <w:tc>
          <w:tcPr>
            <w:tcW w:w="4253" w:type="dxa"/>
          </w:tcPr>
          <w:p w14:paraId="2CAE57FF" w14:textId="77777777" w:rsidR="00495093" w:rsidRDefault="00495093" w:rsidP="00ED04C9">
            <w:pPr>
              <w:spacing w:line="276" w:lineRule="auto"/>
              <w:jc w:val="both"/>
              <w:rPr>
                <w:rFonts w:ascii="Times New Roman" w:hAnsi="Times New Roman"/>
                <w:sz w:val="24"/>
                <w:szCs w:val="24"/>
              </w:rPr>
            </w:pPr>
            <w:r w:rsidRPr="00670077">
              <w:rPr>
                <w:rFonts w:ascii="Times New Roman" w:hAnsi="Times New Roman"/>
                <w:sz w:val="24"/>
                <w:szCs w:val="24"/>
              </w:rPr>
              <w:t>Is there a possibility that you award several contractors per Lot if they score the same, or there will only be one winner for each Lot?</w:t>
            </w:r>
          </w:p>
          <w:p w14:paraId="3772A57B" w14:textId="77777777" w:rsidR="00495093" w:rsidRDefault="00495093" w:rsidP="00ED04C9">
            <w:pPr>
              <w:spacing w:line="276" w:lineRule="auto"/>
              <w:jc w:val="both"/>
              <w:rPr>
                <w:rFonts w:ascii="Times New Roman" w:hAnsi="Times New Roman"/>
                <w:sz w:val="24"/>
                <w:szCs w:val="24"/>
              </w:rPr>
            </w:pPr>
          </w:p>
          <w:p w14:paraId="44434357" w14:textId="77777777" w:rsidR="00495093" w:rsidRDefault="00495093" w:rsidP="00ED04C9">
            <w:pPr>
              <w:spacing w:line="276" w:lineRule="auto"/>
              <w:jc w:val="both"/>
              <w:rPr>
                <w:rFonts w:ascii="Times New Roman" w:hAnsi="Times New Roman"/>
                <w:sz w:val="24"/>
                <w:szCs w:val="24"/>
              </w:rPr>
            </w:pPr>
          </w:p>
          <w:p w14:paraId="637B2A68" w14:textId="77777777" w:rsidR="00495093" w:rsidRDefault="00495093" w:rsidP="00ED04C9">
            <w:pPr>
              <w:spacing w:line="276" w:lineRule="auto"/>
              <w:jc w:val="both"/>
              <w:rPr>
                <w:rFonts w:ascii="Times New Roman" w:hAnsi="Times New Roman"/>
                <w:sz w:val="24"/>
                <w:szCs w:val="24"/>
              </w:rPr>
            </w:pPr>
          </w:p>
          <w:p w14:paraId="0716D4C4" w14:textId="77777777" w:rsidR="00495093" w:rsidRDefault="00495093" w:rsidP="00ED04C9">
            <w:pPr>
              <w:spacing w:line="276" w:lineRule="auto"/>
              <w:jc w:val="both"/>
              <w:rPr>
                <w:rFonts w:ascii="Times New Roman" w:hAnsi="Times New Roman"/>
                <w:sz w:val="24"/>
                <w:szCs w:val="24"/>
              </w:rPr>
            </w:pPr>
          </w:p>
          <w:p w14:paraId="11ED15C8" w14:textId="77777777" w:rsidR="00495093" w:rsidRDefault="00495093" w:rsidP="00ED04C9">
            <w:pPr>
              <w:spacing w:line="276" w:lineRule="auto"/>
              <w:jc w:val="both"/>
              <w:rPr>
                <w:rFonts w:ascii="Times New Roman" w:hAnsi="Times New Roman"/>
                <w:sz w:val="24"/>
                <w:szCs w:val="24"/>
              </w:rPr>
            </w:pPr>
          </w:p>
          <w:p w14:paraId="4F69646F" w14:textId="77777777" w:rsidR="00495093" w:rsidRDefault="00495093" w:rsidP="00ED04C9">
            <w:pPr>
              <w:spacing w:line="276" w:lineRule="auto"/>
              <w:jc w:val="both"/>
              <w:rPr>
                <w:rFonts w:ascii="Times New Roman" w:hAnsi="Times New Roman"/>
                <w:sz w:val="24"/>
                <w:szCs w:val="24"/>
              </w:rPr>
            </w:pPr>
          </w:p>
          <w:p w14:paraId="193EDACE" w14:textId="77777777" w:rsidR="00495093" w:rsidRDefault="00495093" w:rsidP="00ED04C9">
            <w:pPr>
              <w:spacing w:line="276" w:lineRule="auto"/>
              <w:jc w:val="both"/>
              <w:rPr>
                <w:rFonts w:ascii="Times New Roman" w:hAnsi="Times New Roman"/>
                <w:sz w:val="24"/>
                <w:szCs w:val="24"/>
              </w:rPr>
            </w:pPr>
          </w:p>
          <w:p w14:paraId="1B5CDA91" w14:textId="77777777" w:rsidR="00495093" w:rsidRDefault="00495093" w:rsidP="00ED04C9">
            <w:pPr>
              <w:spacing w:line="276" w:lineRule="auto"/>
              <w:jc w:val="both"/>
              <w:rPr>
                <w:rFonts w:ascii="Times New Roman" w:hAnsi="Times New Roman"/>
                <w:sz w:val="24"/>
                <w:szCs w:val="24"/>
              </w:rPr>
            </w:pPr>
          </w:p>
          <w:p w14:paraId="5439BC53"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Vertimas:</w:t>
            </w:r>
          </w:p>
          <w:p w14:paraId="45FA9937" w14:textId="77777777" w:rsidR="00495093" w:rsidRPr="00670077" w:rsidRDefault="00495093" w:rsidP="00ED04C9">
            <w:pPr>
              <w:spacing w:line="276" w:lineRule="auto"/>
              <w:jc w:val="both"/>
              <w:rPr>
                <w:rFonts w:ascii="Times New Roman" w:hAnsi="Times New Roman"/>
                <w:sz w:val="24"/>
                <w:szCs w:val="24"/>
              </w:rPr>
            </w:pPr>
            <w:r w:rsidRPr="00A1026F">
              <w:rPr>
                <w:rFonts w:ascii="Times New Roman" w:hAnsi="Times New Roman"/>
                <w:sz w:val="24"/>
                <w:szCs w:val="24"/>
              </w:rPr>
              <w:t xml:space="preserve">Ar yra galimybė, kad kiekvienai daliai </w:t>
            </w:r>
            <w:r>
              <w:rPr>
                <w:rFonts w:ascii="Times New Roman" w:hAnsi="Times New Roman"/>
                <w:sz w:val="24"/>
                <w:szCs w:val="24"/>
              </w:rPr>
              <w:t>atrinksite kelis laimėtojus</w:t>
            </w:r>
            <w:r w:rsidRPr="00A1026F">
              <w:rPr>
                <w:rFonts w:ascii="Times New Roman" w:hAnsi="Times New Roman"/>
                <w:sz w:val="24"/>
                <w:szCs w:val="24"/>
              </w:rPr>
              <w:t xml:space="preserve">, jei jie surinks tą </w:t>
            </w:r>
            <w:r w:rsidRPr="00A1026F">
              <w:rPr>
                <w:rFonts w:ascii="Times New Roman" w:hAnsi="Times New Roman"/>
                <w:sz w:val="24"/>
                <w:szCs w:val="24"/>
              </w:rPr>
              <w:lastRenderedPageBreak/>
              <w:t>patį balą, ar kiekvienoje dalyje bus tik vienas laimėtojas?</w:t>
            </w:r>
          </w:p>
        </w:tc>
        <w:tc>
          <w:tcPr>
            <w:tcW w:w="4671" w:type="dxa"/>
          </w:tcPr>
          <w:p w14:paraId="39D49D63"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lastRenderedPageBreak/>
              <w:t>As it is stated in Special Condition 9.2: „</w:t>
            </w:r>
            <w:r w:rsidRPr="0014545A">
              <w:rPr>
                <w:rFonts w:ascii="Times New Roman" w:hAnsi="Times New Roman"/>
                <w:sz w:val="24"/>
                <w:szCs w:val="24"/>
              </w:rPr>
              <w:t>Only one  most economically advantageous tender ranked first in each lot of the subject matter of the Procurement may be accepted as the successful tender. The Supplier shall not be restricted to submit tenders for all lots, however:</w:t>
            </w:r>
            <w:r>
              <w:rPr>
                <w:rFonts w:ascii="Times New Roman" w:hAnsi="Times New Roman"/>
                <w:sz w:val="24"/>
                <w:szCs w:val="24"/>
              </w:rPr>
              <w:t xml:space="preserve"> 9.2.1 and 9.2.2. </w:t>
            </w:r>
          </w:p>
          <w:p w14:paraId="2CA6A09B"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 xml:space="preserve">In the event of the same score for several applicants in the same lot, the tenders will be valued in accordance with Lithuanian Public Procurement Law. </w:t>
            </w:r>
          </w:p>
          <w:p w14:paraId="0F6C1249" w14:textId="77777777" w:rsidR="00495093" w:rsidRDefault="00495093" w:rsidP="00ED04C9">
            <w:pPr>
              <w:spacing w:line="276" w:lineRule="auto"/>
              <w:jc w:val="both"/>
              <w:rPr>
                <w:rFonts w:ascii="Times New Roman" w:hAnsi="Times New Roman"/>
                <w:sz w:val="24"/>
                <w:szCs w:val="24"/>
              </w:rPr>
            </w:pPr>
          </w:p>
          <w:p w14:paraId="400621EF" w14:textId="77777777" w:rsidR="00495093" w:rsidRDefault="00495093" w:rsidP="00ED04C9">
            <w:pPr>
              <w:spacing w:line="276" w:lineRule="auto"/>
              <w:jc w:val="both"/>
              <w:rPr>
                <w:rFonts w:ascii="Times New Roman" w:hAnsi="Times New Roman"/>
                <w:sz w:val="24"/>
                <w:szCs w:val="24"/>
              </w:rPr>
            </w:pPr>
            <w:r>
              <w:rPr>
                <w:rFonts w:ascii="Times New Roman" w:hAnsi="Times New Roman"/>
                <w:sz w:val="24"/>
                <w:szCs w:val="24"/>
              </w:rPr>
              <w:t>Vertimas:</w:t>
            </w:r>
          </w:p>
          <w:p w14:paraId="46509621" w14:textId="77777777" w:rsidR="00495093" w:rsidRDefault="00495093" w:rsidP="00ED04C9">
            <w:pPr>
              <w:spacing w:line="276" w:lineRule="auto"/>
              <w:jc w:val="both"/>
              <w:rPr>
                <w:rFonts w:ascii="Times New Roman" w:hAnsi="Times New Roman"/>
                <w:sz w:val="24"/>
                <w:szCs w:val="24"/>
              </w:rPr>
            </w:pPr>
            <w:r w:rsidRPr="00525A2E">
              <w:rPr>
                <w:rFonts w:ascii="Times New Roman" w:hAnsi="Times New Roman"/>
                <w:sz w:val="24"/>
                <w:szCs w:val="24"/>
              </w:rPr>
              <w:t xml:space="preserve">Kaip nurodyta </w:t>
            </w:r>
            <w:r>
              <w:rPr>
                <w:rFonts w:ascii="Times New Roman" w:hAnsi="Times New Roman"/>
                <w:sz w:val="24"/>
                <w:szCs w:val="24"/>
              </w:rPr>
              <w:t>Specialiųjų sąlygų 9.</w:t>
            </w:r>
            <w:r w:rsidRPr="00525A2E">
              <w:rPr>
                <w:rFonts w:ascii="Times New Roman" w:hAnsi="Times New Roman"/>
                <w:sz w:val="24"/>
                <w:szCs w:val="24"/>
              </w:rPr>
              <w:t>2</w:t>
            </w:r>
            <w:r>
              <w:rPr>
                <w:rFonts w:ascii="Times New Roman" w:hAnsi="Times New Roman"/>
                <w:sz w:val="24"/>
                <w:szCs w:val="24"/>
              </w:rPr>
              <w:t xml:space="preserve"> punkte: </w:t>
            </w:r>
            <w:r w:rsidRPr="00525A2E">
              <w:rPr>
                <w:rFonts w:ascii="Times New Roman" w:hAnsi="Times New Roman"/>
                <w:sz w:val="24"/>
                <w:szCs w:val="24"/>
              </w:rPr>
              <w:t xml:space="preserve">„9.2. Laimėjusiu pasiūlymu kiekvienoje pirkimo objekto dalyje galės būti pripažinti tik </w:t>
            </w:r>
            <w:r w:rsidRPr="00525A2E">
              <w:rPr>
                <w:rFonts w:ascii="Times New Roman" w:hAnsi="Times New Roman"/>
                <w:sz w:val="24"/>
                <w:szCs w:val="24"/>
              </w:rPr>
              <w:lastRenderedPageBreak/>
              <w:t>po 1 (vieną) ekonomiškai naudingiausią pasiūlymą, esantį atitinkamos pirkimo objekto dalies pasiūlymų eilės pirmojoje vietoje. Tiekėjas nėra ribojamas teikti pasiūlymus visoms pirkimo dalims, tačiau: 9.2.1</w:t>
            </w:r>
            <w:r>
              <w:rPr>
                <w:rFonts w:ascii="Times New Roman" w:hAnsi="Times New Roman"/>
                <w:sz w:val="24"/>
                <w:szCs w:val="24"/>
              </w:rPr>
              <w:t>. (...)</w:t>
            </w:r>
            <w:r w:rsidRPr="00525A2E">
              <w:rPr>
                <w:rFonts w:ascii="Times New Roman" w:hAnsi="Times New Roman"/>
                <w:sz w:val="24"/>
                <w:szCs w:val="24"/>
              </w:rPr>
              <w:t xml:space="preserve"> ir 9.2.2.</w:t>
            </w:r>
            <w:r>
              <w:rPr>
                <w:rFonts w:ascii="Times New Roman" w:hAnsi="Times New Roman"/>
                <w:sz w:val="24"/>
                <w:szCs w:val="24"/>
              </w:rPr>
              <w:t xml:space="preserve"> (...)</w:t>
            </w:r>
            <w:r w:rsidRPr="00525A2E">
              <w:rPr>
                <w:rFonts w:ascii="Times New Roman" w:hAnsi="Times New Roman"/>
                <w:sz w:val="24"/>
                <w:szCs w:val="24"/>
              </w:rPr>
              <w:t xml:space="preserve"> Jeigu toje pačioje dalyje keli pretendentai surinks tą patį balą, pasiūlymai bus vertinami </w:t>
            </w:r>
            <w:r>
              <w:rPr>
                <w:rFonts w:ascii="Times New Roman" w:hAnsi="Times New Roman"/>
                <w:sz w:val="24"/>
                <w:szCs w:val="24"/>
              </w:rPr>
              <w:t>vadovaujantis VPĮ</w:t>
            </w:r>
            <w:r w:rsidRPr="00525A2E">
              <w:rPr>
                <w:rFonts w:ascii="Times New Roman" w:hAnsi="Times New Roman"/>
                <w:sz w:val="24"/>
                <w:szCs w:val="24"/>
              </w:rPr>
              <w:t>.</w:t>
            </w:r>
          </w:p>
        </w:tc>
      </w:tr>
    </w:tbl>
    <w:p w14:paraId="1F2B0770" w14:textId="77777777" w:rsidR="00D20B49" w:rsidRDefault="00D20B49" w:rsidP="00D20B49">
      <w:pPr>
        <w:spacing w:line="276" w:lineRule="auto"/>
        <w:jc w:val="both"/>
        <w:rPr>
          <w:rFonts w:ascii="Times New Roman" w:hAnsi="Times New Roman" w:cs="Times New Roman"/>
          <w:sz w:val="24"/>
          <w:szCs w:val="24"/>
        </w:rPr>
      </w:pPr>
    </w:p>
    <w:p w14:paraId="52065993" w14:textId="77777777" w:rsidR="00D20B49" w:rsidRDefault="00D20B49"/>
    <w:sectPr w:rsidR="00D20B49"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A4E76"/>
    <w:multiLevelType w:val="hybridMultilevel"/>
    <w:tmpl w:val="A4AAB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23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49"/>
    <w:rsid w:val="001D552E"/>
    <w:rsid w:val="00436F89"/>
    <w:rsid w:val="00495093"/>
    <w:rsid w:val="004959B6"/>
    <w:rsid w:val="004D27FE"/>
    <w:rsid w:val="005E3DB2"/>
    <w:rsid w:val="005F646E"/>
    <w:rsid w:val="00612875"/>
    <w:rsid w:val="0083118D"/>
    <w:rsid w:val="00A75A81"/>
    <w:rsid w:val="00C44AAD"/>
    <w:rsid w:val="00C819A4"/>
    <w:rsid w:val="00CD3679"/>
    <w:rsid w:val="00D20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AA7"/>
  <w15:chartTrackingRefBased/>
  <w15:docId w15:val="{034641C8-9615-4666-BDFF-17879F16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49"/>
    <w:pPr>
      <w:spacing w:line="259" w:lineRule="auto"/>
    </w:pPr>
    <w:rPr>
      <w:kern w:val="0"/>
      <w:sz w:val="22"/>
      <w:szCs w:val="22"/>
      <w14:ligatures w14:val="none"/>
    </w:rPr>
  </w:style>
  <w:style w:type="paragraph" w:styleId="Heading1">
    <w:name w:val="heading 1"/>
    <w:basedOn w:val="Normal"/>
    <w:next w:val="Normal"/>
    <w:link w:val="Heading1Char"/>
    <w:uiPriority w:val="9"/>
    <w:qFormat/>
    <w:rsid w:val="00D20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B49"/>
    <w:rPr>
      <w:rFonts w:eastAsiaTheme="majorEastAsia" w:cstheme="majorBidi"/>
      <w:color w:val="272727" w:themeColor="text1" w:themeTint="D8"/>
    </w:rPr>
  </w:style>
  <w:style w:type="paragraph" w:styleId="Title">
    <w:name w:val="Title"/>
    <w:basedOn w:val="Normal"/>
    <w:next w:val="Normal"/>
    <w:link w:val="TitleChar"/>
    <w:uiPriority w:val="10"/>
    <w:qFormat/>
    <w:rsid w:val="00D20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B49"/>
    <w:pPr>
      <w:spacing w:before="160"/>
      <w:jc w:val="center"/>
    </w:pPr>
    <w:rPr>
      <w:i/>
      <w:iCs/>
      <w:color w:val="404040" w:themeColor="text1" w:themeTint="BF"/>
    </w:rPr>
  </w:style>
  <w:style w:type="character" w:customStyle="1" w:styleId="QuoteChar">
    <w:name w:val="Quote Char"/>
    <w:basedOn w:val="DefaultParagraphFont"/>
    <w:link w:val="Quote"/>
    <w:uiPriority w:val="29"/>
    <w:rsid w:val="00D20B49"/>
    <w:rPr>
      <w:i/>
      <w:iCs/>
      <w:color w:val="404040" w:themeColor="text1" w:themeTint="BF"/>
    </w:rPr>
  </w:style>
  <w:style w:type="paragraph" w:styleId="ListParagraph">
    <w:name w:val="List Paragraph"/>
    <w:basedOn w:val="Normal"/>
    <w:uiPriority w:val="34"/>
    <w:qFormat/>
    <w:rsid w:val="00D20B49"/>
    <w:pPr>
      <w:ind w:left="720"/>
      <w:contextualSpacing/>
    </w:pPr>
  </w:style>
  <w:style w:type="character" w:styleId="IntenseEmphasis">
    <w:name w:val="Intense Emphasis"/>
    <w:basedOn w:val="DefaultParagraphFont"/>
    <w:uiPriority w:val="21"/>
    <w:qFormat/>
    <w:rsid w:val="00D20B49"/>
    <w:rPr>
      <w:i/>
      <w:iCs/>
      <w:color w:val="0F4761" w:themeColor="accent1" w:themeShade="BF"/>
    </w:rPr>
  </w:style>
  <w:style w:type="paragraph" w:styleId="IntenseQuote">
    <w:name w:val="Intense Quote"/>
    <w:basedOn w:val="Normal"/>
    <w:next w:val="Normal"/>
    <w:link w:val="IntenseQuoteChar"/>
    <w:uiPriority w:val="30"/>
    <w:qFormat/>
    <w:rsid w:val="00D20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B49"/>
    <w:rPr>
      <w:i/>
      <w:iCs/>
      <w:color w:val="0F4761" w:themeColor="accent1" w:themeShade="BF"/>
    </w:rPr>
  </w:style>
  <w:style w:type="character" w:styleId="IntenseReference">
    <w:name w:val="Intense Reference"/>
    <w:basedOn w:val="DefaultParagraphFont"/>
    <w:uiPriority w:val="32"/>
    <w:qFormat/>
    <w:rsid w:val="00D20B49"/>
    <w:rPr>
      <w:b/>
      <w:bCs/>
      <w:smallCaps/>
      <w:color w:val="0F4761" w:themeColor="accent1" w:themeShade="BF"/>
      <w:spacing w:val="5"/>
    </w:rPr>
  </w:style>
  <w:style w:type="table" w:styleId="TableGrid">
    <w:name w:val="Table Grid"/>
    <w:basedOn w:val="TableNormal"/>
    <w:rsid w:val="00D20B49"/>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20B4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20B4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4227</Words>
  <Characters>2410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3</cp:revision>
  <dcterms:created xsi:type="dcterms:W3CDTF">2025-01-17T09:00:00Z</dcterms:created>
  <dcterms:modified xsi:type="dcterms:W3CDTF">2025-01-17T09:01:00Z</dcterms:modified>
</cp:coreProperties>
</file>