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194F97AA" w14:textId="222763FF" w:rsidR="0099717A" w:rsidRPr="0099717A" w:rsidRDefault="0099717A" w:rsidP="0099717A">
      <w:pPr>
        <w:pStyle w:val="Caption"/>
        <w:rPr>
          <w:rFonts w:ascii="Calibri" w:hAnsi="Calibri"/>
          <w:color w:val="595959"/>
        </w:rPr>
      </w:pPr>
      <w:r w:rsidRPr="0099717A">
        <w:rPr>
          <w:rFonts w:ascii="Calibri" w:hAnsi="Calibri"/>
          <w:color w:val="595959"/>
        </w:rPr>
        <w:t>PUBLIC LIMITED LIABILITY COMPANY ORO NAVIGACIJA</w:t>
      </w:r>
    </w:p>
    <w:p w14:paraId="41671B60" w14:textId="77777777" w:rsidR="001C17D1" w:rsidRDefault="001C17D1" w:rsidP="00A13693">
      <w:pPr>
        <w:rPr>
          <w:rFonts w:ascii="Calibri" w:hAnsi="Calibri"/>
          <w:sz w:val="22"/>
          <w:szCs w:val="22"/>
        </w:rPr>
      </w:pPr>
    </w:p>
    <w:p w14:paraId="74080C45" w14:textId="7CC3D137" w:rsidR="00FB2D7E" w:rsidRDefault="00FB2D7E" w:rsidP="00A13693">
      <w:pPr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>DĖL ATSAKYMO Į KLAUSIM</w:t>
      </w:r>
      <w:r w:rsidR="00D370D0">
        <w:rPr>
          <w:rFonts w:ascii="Calibri" w:hAnsi="Calibri"/>
          <w:b/>
          <w:bCs/>
          <w:sz w:val="22"/>
          <w:szCs w:val="22"/>
        </w:rPr>
        <w:t>Ą</w:t>
      </w:r>
    </w:p>
    <w:p w14:paraId="2C901295" w14:textId="77777777" w:rsidR="00BC5A91" w:rsidRDefault="00BC5A91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5D4509A4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</w:t>
      </w:r>
      <w:r w:rsidR="0099717A">
        <w:rPr>
          <w:rFonts w:ascii="Calibri" w:hAnsi="Calibri"/>
          <w:sz w:val="22"/>
          <w:szCs w:val="22"/>
        </w:rPr>
        <w:t xml:space="preserve">vykdo </w:t>
      </w:r>
      <w:r w:rsidR="0099717A" w:rsidRPr="0099717A">
        <w:rPr>
          <w:rFonts w:ascii="Calibri" w:hAnsi="Calibri"/>
          <w:sz w:val="22"/>
          <w:szCs w:val="22"/>
        </w:rPr>
        <w:t>antžeminio aerodromo eismo valdymo pozicijos (GND) VASVC įsteigimo galimybių studijos ir darbų eigos plano sudarymo konsultacinių paslaugų pirkimą</w:t>
      </w:r>
      <w:r w:rsidR="00D370D0" w:rsidRPr="00D370D0">
        <w:rPr>
          <w:rFonts w:ascii="Calibri" w:hAnsi="Calibri"/>
          <w:sz w:val="22"/>
          <w:szCs w:val="22"/>
        </w:rPr>
        <w:t xml:space="preserve"> (pirkimo ID. </w:t>
      </w:r>
      <w:r w:rsidR="0099717A" w:rsidRPr="0099717A">
        <w:rPr>
          <w:rFonts w:ascii="Calibri" w:hAnsi="Calibri"/>
          <w:sz w:val="22"/>
          <w:szCs w:val="22"/>
        </w:rPr>
        <w:t>8033249</w:t>
      </w:r>
      <w:r w:rsidR="00D370D0" w:rsidRPr="00D370D0">
        <w:rPr>
          <w:rFonts w:ascii="Calibri" w:hAnsi="Calibri"/>
          <w:sz w:val="22"/>
          <w:szCs w:val="22"/>
        </w:rPr>
        <w:t xml:space="preserve"> CVP IS)</w:t>
      </w:r>
      <w:r w:rsidR="00D370D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ir gavo klausim</w:t>
      </w:r>
      <w:r w:rsidR="00D370D0"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sz w:val="22"/>
          <w:szCs w:val="22"/>
        </w:rPr>
        <w:t>.</w:t>
      </w:r>
    </w:p>
    <w:p w14:paraId="2383EA4A" w14:textId="3E6CBA51" w:rsidR="00327F34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>Komisija išnagrinėjo pateikt</w:t>
      </w:r>
      <w:r w:rsidR="00D370D0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klausim</w:t>
      </w:r>
      <w:r w:rsidR="00D370D0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D370D0">
        <w:rPr>
          <w:rFonts w:ascii="Calibri" w:hAnsi="Calibri"/>
          <w:sz w:val="22"/>
          <w:szCs w:val="22"/>
        </w:rPr>
        <w:t>ą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D370D0">
        <w:rPr>
          <w:rFonts w:ascii="Calibri" w:hAnsi="Calibri"/>
          <w:sz w:val="22"/>
          <w:szCs w:val="22"/>
        </w:rPr>
        <w:t>į</w:t>
      </w:r>
      <w:r w:rsidRPr="000C420B">
        <w:rPr>
          <w:rFonts w:ascii="Calibri" w:hAnsi="Calibri"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99717A" w:rsidRPr="000D30B2" w14:paraId="7BDF049A" w14:textId="77777777" w:rsidTr="00266C51">
        <w:trPr>
          <w:trHeight w:val="387"/>
        </w:trPr>
        <w:tc>
          <w:tcPr>
            <w:tcW w:w="421" w:type="dxa"/>
            <w:vAlign w:val="center"/>
          </w:tcPr>
          <w:p w14:paraId="74DF25A2" w14:textId="77777777" w:rsidR="0099717A" w:rsidRPr="000D30B2" w:rsidRDefault="0099717A" w:rsidP="00266C51">
            <w:pPr>
              <w:ind w:right="-106" w:hanging="11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0" w:name="_Hlk163043725"/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</w:t>
            </w:r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4677" w:type="dxa"/>
            <w:vAlign w:val="center"/>
          </w:tcPr>
          <w:p w14:paraId="2FB3ADDD" w14:textId="77777777" w:rsidR="0099717A" w:rsidRPr="000D30B2" w:rsidRDefault="0099717A" w:rsidP="00266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Klausimas</w:t>
            </w:r>
            <w:proofErr w:type="spellEnd"/>
          </w:p>
        </w:tc>
        <w:tc>
          <w:tcPr>
            <w:tcW w:w="4530" w:type="dxa"/>
            <w:vAlign w:val="center"/>
          </w:tcPr>
          <w:p w14:paraId="1B21D46C" w14:textId="77777777" w:rsidR="0099717A" w:rsidRPr="000D30B2" w:rsidRDefault="0099717A" w:rsidP="00266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Atsakymas</w:t>
            </w:r>
            <w:proofErr w:type="spellEnd"/>
          </w:p>
        </w:tc>
      </w:tr>
      <w:tr w:rsidR="0099717A" w:rsidRPr="000D30B2" w14:paraId="77952A27" w14:textId="77777777" w:rsidTr="00266C51">
        <w:trPr>
          <w:trHeight w:val="1029"/>
        </w:trPr>
        <w:tc>
          <w:tcPr>
            <w:tcW w:w="421" w:type="dxa"/>
          </w:tcPr>
          <w:p w14:paraId="35C09230" w14:textId="77777777" w:rsidR="0099717A" w:rsidRPr="000D30B2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</w:tcPr>
          <w:p w14:paraId="37B51A39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9BBCDEE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Prašome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patvirtinti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kad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atveju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jei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tiekėjo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kaina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viršija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Specialiųjų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pirkimo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sąlygų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dokumento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2.8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punkte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nustatytą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sumą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tai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nereikštų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automatini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pasiūlymo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atmetimo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pagrind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proofErr w:type="spellEnd"/>
            <w:r w:rsidRPr="003D0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74D7F967" w14:textId="77777777" w:rsidR="0099717A" w:rsidRPr="00006E15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530" w:type="dxa"/>
          </w:tcPr>
          <w:p w14:paraId="1C87CB5F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091C52B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C2C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čioji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organizacija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paaiškina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Specialiųjų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pirkimo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sąlygų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2.8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punkte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išviešintos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pirkimui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skirtos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lėšos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Perkančioji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organizacija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laikys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kad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pasiūlyta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didelė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nepriimtina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pasiūlymo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viršys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45 000,00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Eur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 PVM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 J</w:t>
            </w:r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ei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pasiūlymo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kaina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viršys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45 000,00 </w:t>
            </w:r>
            <w:proofErr w:type="spellStart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Eur</w:t>
            </w:r>
            <w:proofErr w:type="spellEnd"/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 PVM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pasiūlymas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bus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atmestas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345CB4E" w14:textId="77777777" w:rsidR="0099717A" w:rsidRPr="00986DFD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5D697487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1DF143E5" w14:textId="4E585A55" w:rsidR="003776D5" w:rsidRDefault="00B46388" w:rsidP="001C17D1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Viešųjų pirkimų komisijos pirmininkė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0D0">
        <w:rPr>
          <w:rFonts w:ascii="Calibri" w:hAnsi="Calibri"/>
          <w:sz w:val="22"/>
          <w:szCs w:val="22"/>
        </w:rPr>
        <w:t>Aušra Jasukaitienė</w:t>
      </w:r>
      <w:r>
        <w:rPr>
          <w:rFonts w:ascii="Calibri" w:hAnsi="Calibri"/>
          <w:sz w:val="22"/>
          <w:szCs w:val="22"/>
        </w:rPr>
        <w:tab/>
      </w:r>
    </w:p>
    <w:p w14:paraId="181E4E1A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67766D6C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520D9A3" w14:textId="7796E080" w:rsidR="003776D5" w:rsidRPr="0099717A" w:rsidRDefault="0099717A" w:rsidP="0099717A">
      <w:pPr>
        <w:jc w:val="both"/>
        <w:rPr>
          <w:rFonts w:ascii="Calibri" w:hAnsi="Calibri"/>
          <w:b/>
          <w:bCs/>
          <w:sz w:val="22"/>
          <w:szCs w:val="22"/>
        </w:rPr>
      </w:pPr>
      <w:r w:rsidRPr="0099717A">
        <w:rPr>
          <w:rFonts w:ascii="Calibri" w:hAnsi="Calibri"/>
          <w:b/>
          <w:bCs/>
          <w:sz w:val="22"/>
          <w:szCs w:val="22"/>
        </w:rPr>
        <w:t>REGARDING THE ANSWER FOR THE QUESTION</w:t>
      </w:r>
    </w:p>
    <w:p w14:paraId="69B665B2" w14:textId="77777777" w:rsidR="00F232E0" w:rsidRDefault="00F232E0" w:rsidP="0099717A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</w:p>
    <w:p w14:paraId="72345FF8" w14:textId="01D29944" w:rsidR="00F232E0" w:rsidRDefault="0099717A" w:rsidP="0099717A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Public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limited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liability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company</w:t>
      </w:r>
      <w:proofErr w:type="spellEnd"/>
      <w:r w:rsidRPr="0099717A">
        <w:rPr>
          <w:rFonts w:ascii="Calibri" w:hAnsi="Calibri"/>
          <w:sz w:val="22"/>
          <w:szCs w:val="22"/>
        </w:rPr>
        <w:t xml:space="preserve"> Oro </w:t>
      </w:r>
      <w:r>
        <w:rPr>
          <w:rFonts w:ascii="Calibri" w:hAnsi="Calibri"/>
          <w:sz w:val="22"/>
          <w:szCs w:val="22"/>
        </w:rPr>
        <w:t>N</w:t>
      </w:r>
      <w:r w:rsidRPr="0099717A">
        <w:rPr>
          <w:rFonts w:ascii="Calibri" w:hAnsi="Calibri"/>
          <w:sz w:val="22"/>
          <w:szCs w:val="22"/>
        </w:rPr>
        <w:t xml:space="preserve">avigacija </w:t>
      </w:r>
      <w:proofErr w:type="spellStart"/>
      <w:r w:rsidRPr="0099717A">
        <w:rPr>
          <w:rFonts w:ascii="Calibri" w:hAnsi="Calibri"/>
          <w:sz w:val="22"/>
          <w:szCs w:val="22"/>
        </w:rPr>
        <w:t>is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carrying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out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the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procurement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Consultation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services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for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feasibility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study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on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establishing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ground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aerodrome </w:t>
      </w:r>
      <w:proofErr w:type="spellStart"/>
      <w:r w:rsidR="00F232E0" w:rsidRPr="00F232E0">
        <w:rPr>
          <w:rFonts w:ascii="Calibri" w:hAnsi="Calibri"/>
          <w:sz w:val="22"/>
          <w:szCs w:val="22"/>
        </w:rPr>
        <w:t>traffic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control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position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(GND) at Vilnius aerodrome </w:t>
      </w:r>
      <w:proofErr w:type="spellStart"/>
      <w:r w:rsidR="00F232E0" w:rsidRPr="00F232E0">
        <w:rPr>
          <w:rFonts w:ascii="Calibri" w:hAnsi="Calibri"/>
          <w:sz w:val="22"/>
          <w:szCs w:val="22"/>
        </w:rPr>
        <w:t>air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traffic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control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centre </w:t>
      </w:r>
      <w:proofErr w:type="spellStart"/>
      <w:r w:rsidR="00F232E0" w:rsidRPr="00F232E0">
        <w:rPr>
          <w:rFonts w:ascii="Calibri" w:hAnsi="Calibri"/>
          <w:sz w:val="22"/>
          <w:szCs w:val="22"/>
        </w:rPr>
        <w:t>and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work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schedule</w:t>
      </w:r>
      <w:proofErr w:type="spellEnd"/>
      <w:r w:rsidR="00F232E0"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="00F232E0" w:rsidRPr="00F232E0">
        <w:rPr>
          <w:rFonts w:ascii="Calibri" w:hAnsi="Calibri"/>
          <w:sz w:val="22"/>
          <w:szCs w:val="22"/>
        </w:rPr>
        <w:t>development</w:t>
      </w:r>
      <w:proofErr w:type="spellEnd"/>
      <w:r w:rsidRPr="0099717A"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procurement</w:t>
      </w:r>
      <w:proofErr w:type="spellEnd"/>
      <w:r w:rsidRPr="0099717A">
        <w:rPr>
          <w:rFonts w:ascii="Calibri" w:hAnsi="Calibri"/>
          <w:sz w:val="22"/>
          <w:szCs w:val="22"/>
        </w:rPr>
        <w:t xml:space="preserve"> ID. 8033249 C</w:t>
      </w:r>
      <w:r>
        <w:rPr>
          <w:rFonts w:ascii="Calibri" w:hAnsi="Calibri"/>
          <w:sz w:val="22"/>
          <w:szCs w:val="22"/>
        </w:rPr>
        <w:t>P</w:t>
      </w:r>
      <w:r w:rsidRPr="0099717A">
        <w:rPr>
          <w:rFonts w:ascii="Calibri" w:hAnsi="Calibri"/>
          <w:sz w:val="22"/>
          <w:szCs w:val="22"/>
        </w:rPr>
        <w:t xml:space="preserve">P IS) </w:t>
      </w:r>
      <w:proofErr w:type="spellStart"/>
      <w:r w:rsidRPr="0099717A">
        <w:rPr>
          <w:rFonts w:ascii="Calibri" w:hAnsi="Calibri"/>
          <w:sz w:val="22"/>
          <w:szCs w:val="22"/>
        </w:rPr>
        <w:t>and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received</w:t>
      </w:r>
      <w:proofErr w:type="spellEnd"/>
      <w:r w:rsidRPr="0099717A">
        <w:rPr>
          <w:rFonts w:ascii="Calibri" w:hAnsi="Calibri"/>
          <w:sz w:val="22"/>
          <w:szCs w:val="22"/>
        </w:rPr>
        <w:t xml:space="preserve"> a </w:t>
      </w:r>
      <w:proofErr w:type="spellStart"/>
      <w:r w:rsidRPr="0099717A">
        <w:rPr>
          <w:rFonts w:ascii="Calibri" w:hAnsi="Calibri"/>
          <w:sz w:val="22"/>
          <w:szCs w:val="22"/>
        </w:rPr>
        <w:t>question</w:t>
      </w:r>
      <w:proofErr w:type="spellEnd"/>
      <w:r w:rsidRPr="0099717A">
        <w:rPr>
          <w:rFonts w:ascii="Calibri" w:hAnsi="Calibri"/>
          <w:sz w:val="22"/>
          <w:szCs w:val="22"/>
        </w:rPr>
        <w:t xml:space="preserve">. </w:t>
      </w:r>
    </w:p>
    <w:p w14:paraId="2090B99C" w14:textId="26ED21BF" w:rsidR="003776D5" w:rsidRDefault="0099717A" w:rsidP="0099717A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proofErr w:type="spellStart"/>
      <w:r w:rsidRPr="0099717A">
        <w:rPr>
          <w:rFonts w:ascii="Calibri" w:hAnsi="Calibri"/>
          <w:sz w:val="22"/>
          <w:szCs w:val="22"/>
        </w:rPr>
        <w:t>The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Commission</w:t>
      </w:r>
      <w:proofErr w:type="spellEnd"/>
      <w:r w:rsidRPr="0099717A">
        <w:rPr>
          <w:rFonts w:ascii="Calibri" w:hAnsi="Calibri"/>
          <w:sz w:val="22"/>
          <w:szCs w:val="22"/>
        </w:rPr>
        <w:t xml:space="preserve"> has </w:t>
      </w:r>
      <w:proofErr w:type="spellStart"/>
      <w:r w:rsidRPr="0099717A">
        <w:rPr>
          <w:rFonts w:ascii="Calibri" w:hAnsi="Calibri"/>
          <w:sz w:val="22"/>
          <w:szCs w:val="22"/>
        </w:rPr>
        <w:t>examined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the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submitted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question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and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is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providing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an</w:t>
      </w:r>
      <w:proofErr w:type="spellEnd"/>
      <w:r w:rsidRPr="0099717A">
        <w:rPr>
          <w:rFonts w:ascii="Calibri" w:hAnsi="Calibri"/>
          <w:sz w:val="22"/>
          <w:szCs w:val="22"/>
        </w:rPr>
        <w:t xml:space="preserve"> </w:t>
      </w:r>
      <w:proofErr w:type="spellStart"/>
      <w:r w:rsidRPr="0099717A">
        <w:rPr>
          <w:rFonts w:ascii="Calibri" w:hAnsi="Calibri"/>
          <w:sz w:val="22"/>
          <w:szCs w:val="22"/>
        </w:rPr>
        <w:t>answer</w:t>
      </w:r>
      <w:proofErr w:type="spellEnd"/>
      <w:r w:rsidRPr="0099717A">
        <w:rPr>
          <w:rFonts w:ascii="Calibri" w:hAnsi="Calibri"/>
          <w:sz w:val="22"/>
          <w:szCs w:val="22"/>
        </w:rPr>
        <w:t xml:space="preserve"> to it:</w:t>
      </w:r>
    </w:p>
    <w:p w14:paraId="16166BAA" w14:textId="77777777" w:rsidR="00F232E0" w:rsidRDefault="00F232E0" w:rsidP="0099717A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99717A" w:rsidRPr="000D30B2" w14:paraId="182A9121" w14:textId="77777777" w:rsidTr="00266C51">
        <w:trPr>
          <w:trHeight w:val="387"/>
        </w:trPr>
        <w:tc>
          <w:tcPr>
            <w:tcW w:w="421" w:type="dxa"/>
            <w:vAlign w:val="center"/>
          </w:tcPr>
          <w:p w14:paraId="54E10F37" w14:textId="77777777" w:rsidR="0099717A" w:rsidRPr="000D30B2" w:rsidRDefault="0099717A" w:rsidP="00266C51">
            <w:pPr>
              <w:ind w:right="-106" w:hanging="11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</w:t>
            </w:r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4677" w:type="dxa"/>
            <w:vAlign w:val="center"/>
          </w:tcPr>
          <w:p w14:paraId="59118307" w14:textId="77777777" w:rsidR="0099717A" w:rsidRPr="000D30B2" w:rsidRDefault="0099717A" w:rsidP="00266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4530" w:type="dxa"/>
            <w:vAlign w:val="center"/>
          </w:tcPr>
          <w:p w14:paraId="0FDC796A" w14:textId="77777777" w:rsidR="0099717A" w:rsidRPr="000D30B2" w:rsidRDefault="0099717A" w:rsidP="00266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Answer</w:t>
            </w:r>
          </w:p>
        </w:tc>
      </w:tr>
      <w:tr w:rsidR="0099717A" w:rsidRPr="000D30B2" w14:paraId="499D25AA" w14:textId="77777777" w:rsidTr="00266C51">
        <w:trPr>
          <w:trHeight w:val="1029"/>
        </w:trPr>
        <w:tc>
          <w:tcPr>
            <w:tcW w:w="421" w:type="dxa"/>
          </w:tcPr>
          <w:p w14:paraId="340E6C9D" w14:textId="77777777" w:rsidR="0099717A" w:rsidRPr="000D30B2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</w:tcPr>
          <w:p w14:paraId="2869A3C5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7BC8325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94F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We would like to confirm whether, </w:t>
            </w:r>
            <w:proofErr w:type="gramStart"/>
            <w:r w:rsidRPr="00594F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the event that</w:t>
            </w:r>
            <w:proofErr w:type="gramEnd"/>
            <w:r w:rsidRPr="00594F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bidder’s price exceeds the amount established in Clause 2.8 of the Special Procurement Conditions document, this would not constitute an automatic ground for rejection of the bid.</w:t>
            </w:r>
          </w:p>
          <w:p w14:paraId="160026B1" w14:textId="77777777" w:rsidR="0099717A" w:rsidRPr="00006E15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530" w:type="dxa"/>
          </w:tcPr>
          <w:p w14:paraId="1ED91EB5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DF9487E" w14:textId="77777777" w:rsidR="0099717A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contracting authority explains that the funds allocated for the procurement are disclosed in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clause</w:t>
            </w:r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2.8 of the Special Procurement Conditions. The contracting authority will consider the price offered to be too high, unacceptable, if the price of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ender exceeds EUR 45,000.00 excluding VAT. If the price of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ender exceeds EUR 45,000.00 excluding VAT,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1715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ender will be rejected.</w:t>
            </w:r>
          </w:p>
          <w:p w14:paraId="0A7BC765" w14:textId="77777777" w:rsidR="0099717A" w:rsidRPr="00986DFD" w:rsidRDefault="0099717A" w:rsidP="00266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AA508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1DE1ADA5" w14:textId="2350E209" w:rsidR="00F232E0" w:rsidRDefault="00F232E0" w:rsidP="00F232E0">
      <w:pPr>
        <w:tabs>
          <w:tab w:val="left" w:pos="6521"/>
        </w:tabs>
        <w:ind w:firstLine="709"/>
        <w:jc w:val="both"/>
        <w:rPr>
          <w:rFonts w:ascii="Calibri" w:hAnsi="Calibri"/>
          <w:sz w:val="22"/>
          <w:szCs w:val="22"/>
        </w:rPr>
      </w:pPr>
      <w:proofErr w:type="spellStart"/>
      <w:r w:rsidRPr="00F232E0">
        <w:rPr>
          <w:rFonts w:ascii="Calibri" w:hAnsi="Calibri"/>
          <w:sz w:val="22"/>
          <w:szCs w:val="22"/>
        </w:rPr>
        <w:t>Chair</w:t>
      </w:r>
      <w:r>
        <w:rPr>
          <w:rFonts w:ascii="Calibri" w:hAnsi="Calibri"/>
          <w:sz w:val="22"/>
          <w:szCs w:val="22"/>
        </w:rPr>
        <w:t>person</w:t>
      </w:r>
      <w:proofErr w:type="spellEnd"/>
      <w:r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Pr="00F232E0">
        <w:rPr>
          <w:rFonts w:ascii="Calibri" w:hAnsi="Calibri"/>
          <w:sz w:val="22"/>
          <w:szCs w:val="22"/>
        </w:rPr>
        <w:t>of</w:t>
      </w:r>
      <w:proofErr w:type="spellEnd"/>
      <w:r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Pr="00F232E0">
        <w:rPr>
          <w:rFonts w:ascii="Calibri" w:hAnsi="Calibri"/>
          <w:sz w:val="22"/>
          <w:szCs w:val="22"/>
        </w:rPr>
        <w:t>the</w:t>
      </w:r>
      <w:proofErr w:type="spellEnd"/>
      <w:r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Pr="00F232E0">
        <w:rPr>
          <w:rFonts w:ascii="Calibri" w:hAnsi="Calibri"/>
          <w:sz w:val="22"/>
          <w:szCs w:val="22"/>
        </w:rPr>
        <w:t>Public</w:t>
      </w:r>
      <w:proofErr w:type="spellEnd"/>
      <w:r>
        <w:rPr>
          <w:rFonts w:ascii="Calibri" w:hAnsi="Calibri"/>
          <w:sz w:val="22"/>
          <w:szCs w:val="22"/>
        </w:rPr>
        <w:tab/>
        <w:t xml:space="preserve"> </w:t>
      </w:r>
      <w:r w:rsidRPr="00F232E0">
        <w:rPr>
          <w:rFonts w:ascii="Calibri" w:hAnsi="Calibri"/>
          <w:sz w:val="22"/>
          <w:szCs w:val="22"/>
        </w:rPr>
        <w:t>Aušra Jasukaitienė</w:t>
      </w:r>
    </w:p>
    <w:p w14:paraId="23E358F7" w14:textId="47D3A805" w:rsidR="00F232E0" w:rsidRDefault="00F232E0" w:rsidP="001C17D1">
      <w:pPr>
        <w:ind w:firstLine="709"/>
        <w:jc w:val="both"/>
        <w:rPr>
          <w:rFonts w:ascii="Calibri" w:hAnsi="Calibri"/>
          <w:sz w:val="22"/>
          <w:szCs w:val="22"/>
        </w:rPr>
      </w:pPr>
      <w:r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Pr="00F232E0">
        <w:rPr>
          <w:rFonts w:ascii="Calibri" w:hAnsi="Calibri"/>
          <w:sz w:val="22"/>
          <w:szCs w:val="22"/>
        </w:rPr>
        <w:t>Procurement</w:t>
      </w:r>
      <w:proofErr w:type="spellEnd"/>
      <w:r w:rsidRPr="00F232E0">
        <w:rPr>
          <w:rFonts w:ascii="Calibri" w:hAnsi="Calibri"/>
          <w:sz w:val="22"/>
          <w:szCs w:val="22"/>
        </w:rPr>
        <w:t xml:space="preserve"> </w:t>
      </w:r>
      <w:proofErr w:type="spellStart"/>
      <w:r w:rsidRPr="00F232E0">
        <w:rPr>
          <w:rFonts w:ascii="Calibri" w:hAnsi="Calibri"/>
          <w:sz w:val="22"/>
          <w:szCs w:val="22"/>
        </w:rPr>
        <w:t>Commission</w:t>
      </w:r>
      <w:proofErr w:type="spellEnd"/>
    </w:p>
    <w:sectPr w:rsidR="00F232E0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DE4A" w14:textId="77777777" w:rsidR="00BA3621" w:rsidRDefault="00BA3621" w:rsidP="003776D5">
      <w:r>
        <w:separator/>
      </w:r>
    </w:p>
  </w:endnote>
  <w:endnote w:type="continuationSeparator" w:id="0">
    <w:p w14:paraId="78201BB4" w14:textId="77777777" w:rsidR="00BA3621" w:rsidRDefault="00BA3621" w:rsidP="003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  <w:sig w:usb0="00000007" w:usb1="00000000" w:usb2="00000000" w:usb3="00000000" w:csb0="00000081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2092" w14:textId="77777777" w:rsidR="00BA3621" w:rsidRDefault="00BA3621" w:rsidP="003776D5">
      <w:r>
        <w:separator/>
      </w:r>
    </w:p>
  </w:footnote>
  <w:footnote w:type="continuationSeparator" w:id="0">
    <w:p w14:paraId="6DB1C442" w14:textId="77777777" w:rsidR="00BA3621" w:rsidRDefault="00BA3621" w:rsidP="0037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137DC"/>
    <w:rsid w:val="00020418"/>
    <w:rsid w:val="000217A9"/>
    <w:rsid w:val="00023B21"/>
    <w:rsid w:val="00023F14"/>
    <w:rsid w:val="00025285"/>
    <w:rsid w:val="00032550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C17D1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1FBB"/>
    <w:rsid w:val="00352CA2"/>
    <w:rsid w:val="003776D5"/>
    <w:rsid w:val="003943D1"/>
    <w:rsid w:val="003A2114"/>
    <w:rsid w:val="003A2131"/>
    <w:rsid w:val="003B18D5"/>
    <w:rsid w:val="003C678E"/>
    <w:rsid w:val="003D2035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9452E"/>
    <w:rsid w:val="004A374F"/>
    <w:rsid w:val="004A5C85"/>
    <w:rsid w:val="004B15E9"/>
    <w:rsid w:val="004B3D0B"/>
    <w:rsid w:val="004C529C"/>
    <w:rsid w:val="004C576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15B8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7DE6"/>
    <w:rsid w:val="0061225C"/>
    <w:rsid w:val="00620FD3"/>
    <w:rsid w:val="00623B53"/>
    <w:rsid w:val="006311EB"/>
    <w:rsid w:val="00653D35"/>
    <w:rsid w:val="0065461B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4351B"/>
    <w:rsid w:val="00754E36"/>
    <w:rsid w:val="00765F2F"/>
    <w:rsid w:val="007904D0"/>
    <w:rsid w:val="00793A4F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43481"/>
    <w:rsid w:val="00860FEF"/>
    <w:rsid w:val="008665C9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473A"/>
    <w:rsid w:val="0091701C"/>
    <w:rsid w:val="009267D9"/>
    <w:rsid w:val="00937167"/>
    <w:rsid w:val="00941108"/>
    <w:rsid w:val="0094474F"/>
    <w:rsid w:val="00944C81"/>
    <w:rsid w:val="00951721"/>
    <w:rsid w:val="00951C84"/>
    <w:rsid w:val="00954AA6"/>
    <w:rsid w:val="00954F62"/>
    <w:rsid w:val="00961D49"/>
    <w:rsid w:val="00966220"/>
    <w:rsid w:val="00967297"/>
    <w:rsid w:val="00992ED8"/>
    <w:rsid w:val="009966A8"/>
    <w:rsid w:val="0099717A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3693"/>
    <w:rsid w:val="00A15C24"/>
    <w:rsid w:val="00A2170F"/>
    <w:rsid w:val="00A260FE"/>
    <w:rsid w:val="00A42003"/>
    <w:rsid w:val="00A53D5D"/>
    <w:rsid w:val="00A6595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D080F"/>
    <w:rsid w:val="00AE38F3"/>
    <w:rsid w:val="00B0318F"/>
    <w:rsid w:val="00B21F3D"/>
    <w:rsid w:val="00B22B36"/>
    <w:rsid w:val="00B24FFE"/>
    <w:rsid w:val="00B275C3"/>
    <w:rsid w:val="00B37936"/>
    <w:rsid w:val="00B4281D"/>
    <w:rsid w:val="00B44606"/>
    <w:rsid w:val="00B46388"/>
    <w:rsid w:val="00B466DA"/>
    <w:rsid w:val="00B47CF7"/>
    <w:rsid w:val="00B60A93"/>
    <w:rsid w:val="00B62568"/>
    <w:rsid w:val="00B674DA"/>
    <w:rsid w:val="00B84F41"/>
    <w:rsid w:val="00B91B2F"/>
    <w:rsid w:val="00B94FFB"/>
    <w:rsid w:val="00B97950"/>
    <w:rsid w:val="00BA1106"/>
    <w:rsid w:val="00BA3621"/>
    <w:rsid w:val="00BA539E"/>
    <w:rsid w:val="00BA575A"/>
    <w:rsid w:val="00BA798D"/>
    <w:rsid w:val="00BC1EBE"/>
    <w:rsid w:val="00BC2B9F"/>
    <w:rsid w:val="00BC431B"/>
    <w:rsid w:val="00BC5A91"/>
    <w:rsid w:val="00BD1FA6"/>
    <w:rsid w:val="00BE186E"/>
    <w:rsid w:val="00BE6B03"/>
    <w:rsid w:val="00BE6BE3"/>
    <w:rsid w:val="00BF1493"/>
    <w:rsid w:val="00BF2694"/>
    <w:rsid w:val="00C113C4"/>
    <w:rsid w:val="00C16471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C38"/>
    <w:rsid w:val="00CF3F12"/>
    <w:rsid w:val="00D000C7"/>
    <w:rsid w:val="00D03A31"/>
    <w:rsid w:val="00D07B63"/>
    <w:rsid w:val="00D120E3"/>
    <w:rsid w:val="00D152FC"/>
    <w:rsid w:val="00D161B8"/>
    <w:rsid w:val="00D370D0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D1D36"/>
    <w:rsid w:val="00DD3DAA"/>
    <w:rsid w:val="00DE55B7"/>
    <w:rsid w:val="00DF5B6E"/>
    <w:rsid w:val="00E01EA9"/>
    <w:rsid w:val="00E07031"/>
    <w:rsid w:val="00E150D9"/>
    <w:rsid w:val="00E15264"/>
    <w:rsid w:val="00E21DFF"/>
    <w:rsid w:val="00E22AB8"/>
    <w:rsid w:val="00E26AC9"/>
    <w:rsid w:val="00E33B8C"/>
    <w:rsid w:val="00E35C30"/>
    <w:rsid w:val="00E43453"/>
    <w:rsid w:val="00E4707B"/>
    <w:rsid w:val="00E50A6E"/>
    <w:rsid w:val="00E544E8"/>
    <w:rsid w:val="00E60EC0"/>
    <w:rsid w:val="00E62088"/>
    <w:rsid w:val="00E64838"/>
    <w:rsid w:val="00E651E2"/>
    <w:rsid w:val="00E83493"/>
    <w:rsid w:val="00E852DD"/>
    <w:rsid w:val="00E85451"/>
    <w:rsid w:val="00E90F96"/>
    <w:rsid w:val="00E94AB3"/>
    <w:rsid w:val="00E97313"/>
    <w:rsid w:val="00E97729"/>
    <w:rsid w:val="00EA0513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5158"/>
    <w:rsid w:val="00F0692C"/>
    <w:rsid w:val="00F1071A"/>
    <w:rsid w:val="00F139E6"/>
    <w:rsid w:val="00F1643B"/>
    <w:rsid w:val="00F1746C"/>
    <w:rsid w:val="00F232E0"/>
    <w:rsid w:val="00F31607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3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C5A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3C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370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99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27</cp:revision>
  <dcterms:created xsi:type="dcterms:W3CDTF">2024-11-12T07:34:00Z</dcterms:created>
  <dcterms:modified xsi:type="dcterms:W3CDTF">2026-05-28T08:24:00Z</dcterms:modified>
</cp:coreProperties>
</file>