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4137" w14:textId="29D85DF0" w:rsidR="00E53562" w:rsidRPr="0065502E" w:rsidRDefault="00FB6E91" w:rsidP="005530B4">
      <w:pPr>
        <w:ind w:right="-360"/>
        <w:jc w:val="right"/>
        <w:rPr>
          <w:rFonts w:cstheme="minorHAnsi"/>
          <w:color w:val="2E74B5" w:themeColor="accent5" w:themeShade="BF"/>
          <w:sz w:val="20"/>
          <w:szCs w:val="20"/>
        </w:rPr>
      </w:pPr>
      <w:r w:rsidRPr="009A6C78">
        <w:rPr>
          <w:rFonts w:cstheme="minorHAnsi"/>
          <w:sz w:val="20"/>
          <w:szCs w:val="20"/>
        </w:rPr>
        <w:t xml:space="preserve">SPS Priedas Nr. </w:t>
      </w:r>
      <w:r w:rsidR="00ED01B1" w:rsidRPr="00ED01B1">
        <w:rPr>
          <w:rFonts w:cstheme="minorHAnsi"/>
          <w:sz w:val="20"/>
          <w:szCs w:val="20"/>
        </w:rPr>
        <w:t>6</w:t>
      </w:r>
    </w:p>
    <w:p w14:paraId="258A5164" w14:textId="6F724406" w:rsidR="00FB6E91" w:rsidRPr="009A6C78" w:rsidRDefault="00FB6E91" w:rsidP="00FB6E91">
      <w:pPr>
        <w:spacing w:before="60" w:after="60"/>
        <w:jc w:val="center"/>
        <w:rPr>
          <w:rFonts w:eastAsia="Times New Roman" w:cstheme="minorHAnsi"/>
          <w:b/>
          <w:sz w:val="20"/>
          <w:szCs w:val="20"/>
        </w:rPr>
      </w:pPr>
      <w:r w:rsidRPr="009A6C78">
        <w:rPr>
          <w:rFonts w:cstheme="minorHAnsi"/>
          <w:sz w:val="20"/>
          <w:szCs w:val="20"/>
        </w:rPr>
        <w:tab/>
      </w:r>
      <w:r w:rsidRPr="009A6C78">
        <w:rPr>
          <w:rFonts w:eastAsia="Times New Roman" w:cstheme="minorHAnsi"/>
          <w:b/>
          <w:sz w:val="20"/>
          <w:szCs w:val="20"/>
        </w:rPr>
        <w:t>Ekonomiškai naudingiausio Pasiūlymo vertinimo metodika</w:t>
      </w:r>
    </w:p>
    <w:p w14:paraId="466140B2" w14:textId="77777777" w:rsidR="00FB6E91" w:rsidRPr="009A6C78" w:rsidRDefault="00FB6E91" w:rsidP="006A0CD0">
      <w:pPr>
        <w:ind w:right="-450"/>
        <w:rPr>
          <w:rFonts w:eastAsia="Times New Roman" w:cstheme="minorHAnsi"/>
          <w:sz w:val="20"/>
          <w:szCs w:val="20"/>
        </w:rPr>
      </w:pPr>
    </w:p>
    <w:p w14:paraId="1BFBBE90" w14:textId="21C1D069" w:rsidR="00FB6E91" w:rsidRPr="009A6C78" w:rsidRDefault="00FB6E91" w:rsidP="006A0CD0">
      <w:pPr>
        <w:numPr>
          <w:ilvl w:val="0"/>
          <w:numId w:val="1"/>
        </w:numPr>
        <w:tabs>
          <w:tab w:val="left" w:pos="360"/>
        </w:tabs>
        <w:spacing w:after="0" w:line="240" w:lineRule="auto"/>
        <w:ind w:left="0" w:right="-450" w:firstLine="0"/>
        <w:jc w:val="both"/>
        <w:rPr>
          <w:rFonts w:eastAsia="Times New Roman" w:cstheme="minorHAnsi"/>
          <w:sz w:val="20"/>
          <w:szCs w:val="20"/>
        </w:rPr>
      </w:pPr>
      <w:r w:rsidRPr="009A6C78">
        <w:rPr>
          <w:rFonts w:eastAsia="Times New Roman" w:cstheme="minorHAnsi"/>
          <w:sz w:val="20"/>
          <w:szCs w:val="20"/>
        </w:rPr>
        <w:t xml:space="preserve">Šiame Priede pateikiami ekonomiškai naudingiausio Pasiūlymo vertinimo kriterijai, jų parametrai, lyginamieji svoriai, formulės, pagal kurias bus skaičiuojamas </w:t>
      </w:r>
      <w:r w:rsidR="005530B4" w:rsidRPr="009A6C78">
        <w:rPr>
          <w:rFonts w:eastAsia="Times New Roman" w:cstheme="minorHAnsi"/>
          <w:sz w:val="20"/>
          <w:szCs w:val="20"/>
        </w:rPr>
        <w:t>P</w:t>
      </w:r>
      <w:r w:rsidRPr="009A6C78">
        <w:rPr>
          <w:rFonts w:eastAsia="Times New Roman" w:cstheme="minorHAnsi"/>
          <w:sz w:val="20"/>
          <w:szCs w:val="20"/>
        </w:rPr>
        <w:t>asiūlymų ekonominis naudingumas, ekspertinio vertinimo metodikos aprašymas.</w:t>
      </w:r>
    </w:p>
    <w:p w14:paraId="2627CCC0" w14:textId="77777777" w:rsidR="00FB6E91" w:rsidRPr="009A6C78" w:rsidRDefault="00FB6E91" w:rsidP="006A0CD0">
      <w:pPr>
        <w:numPr>
          <w:ilvl w:val="0"/>
          <w:numId w:val="1"/>
        </w:numPr>
        <w:tabs>
          <w:tab w:val="left" w:pos="360"/>
        </w:tabs>
        <w:spacing w:after="0" w:line="240" w:lineRule="auto"/>
        <w:ind w:left="0" w:right="-450" w:firstLine="0"/>
        <w:jc w:val="both"/>
        <w:rPr>
          <w:rFonts w:eastAsia="Times New Roman" w:cstheme="minorHAnsi"/>
          <w:sz w:val="20"/>
          <w:szCs w:val="20"/>
        </w:rPr>
      </w:pPr>
      <w:r w:rsidRPr="009A6C78">
        <w:rPr>
          <w:rFonts w:eastAsia="Times New Roman" w:cstheme="minorHAnsi"/>
          <w:sz w:val="20"/>
          <w:szCs w:val="20"/>
        </w:rPr>
        <w:t xml:space="preserve">Ekonomiškai naudingiausio Pasiūlymo vertinimas bus atliekamas pagal vertinimo kriterijus ir jų lyginamuosius svorius. </w:t>
      </w:r>
    </w:p>
    <w:p w14:paraId="510ED737" w14:textId="3168DF63" w:rsidR="00847E71" w:rsidRPr="009A6C78" w:rsidRDefault="00847E71" w:rsidP="006A0CD0">
      <w:pPr>
        <w:pStyle w:val="ListParagraph"/>
        <w:numPr>
          <w:ilvl w:val="0"/>
          <w:numId w:val="1"/>
        </w:numPr>
        <w:tabs>
          <w:tab w:val="left" w:pos="360"/>
        </w:tabs>
        <w:ind w:left="0" w:right="-450" w:firstLine="0"/>
        <w:jc w:val="both"/>
        <w:rPr>
          <w:rFonts w:asciiTheme="minorHAnsi" w:hAnsiTheme="minorHAnsi" w:cstheme="minorHAnsi"/>
          <w:b/>
          <w:bCs/>
          <w:sz w:val="20"/>
          <w:szCs w:val="20"/>
        </w:rPr>
      </w:pPr>
      <w:bookmarkStart w:id="0" w:name="_Hlk88635127"/>
      <w:r w:rsidRPr="009A6C78">
        <w:rPr>
          <w:rFonts w:asciiTheme="minorHAnsi" w:hAnsiTheme="minorHAnsi" w:cstheme="minorHAnsi"/>
          <w:sz w:val="20"/>
          <w:szCs w:val="20"/>
        </w:rPr>
        <w:t>Pasiūlymai bus vertinami ekspertiniu vertinimo būdu:</w:t>
      </w:r>
      <w:r w:rsidRPr="009A6C78">
        <w:rPr>
          <w:rFonts w:asciiTheme="minorHAnsi" w:hAnsiTheme="minorHAnsi" w:cstheme="minorHAnsi"/>
          <w:b/>
          <w:bCs/>
          <w:sz w:val="20"/>
          <w:szCs w:val="20"/>
        </w:rPr>
        <w:t xml:space="preserve"> </w:t>
      </w:r>
      <w:r w:rsidR="00FB7105" w:rsidRPr="009A6C78">
        <w:rPr>
          <w:rFonts w:asciiTheme="minorHAnsi" w:hAnsiTheme="minorHAnsi" w:cstheme="minorHAnsi"/>
          <w:b/>
          <w:bCs/>
          <w:sz w:val="20"/>
          <w:szCs w:val="20"/>
        </w:rPr>
        <w:t>P</w:t>
      </w:r>
      <w:r w:rsidRPr="009A6C78">
        <w:rPr>
          <w:rFonts w:asciiTheme="minorHAnsi" w:hAnsiTheme="minorHAnsi" w:cstheme="minorHAnsi"/>
          <w:b/>
          <w:bCs/>
          <w:sz w:val="20"/>
          <w:szCs w:val="20"/>
        </w:rPr>
        <w:t xml:space="preserve">asiūlymų vertinimą atliks Pirkėjo paskirtas (-i) ekspertas (-ai). </w:t>
      </w:r>
      <w:r w:rsidRPr="009A6C78">
        <w:rPr>
          <w:rFonts w:asciiTheme="minorHAnsi" w:hAnsiTheme="minorHAnsi" w:cstheme="minorHAnsi"/>
          <w:sz w:val="20"/>
          <w:szCs w:val="20"/>
        </w:rPr>
        <w:t xml:space="preserve">Atlikęs (-ę) </w:t>
      </w:r>
      <w:r w:rsidR="00FB7105" w:rsidRPr="009A6C78">
        <w:rPr>
          <w:rFonts w:asciiTheme="minorHAnsi" w:hAnsiTheme="minorHAnsi" w:cstheme="minorHAnsi"/>
          <w:sz w:val="20"/>
          <w:szCs w:val="20"/>
        </w:rPr>
        <w:t>P</w:t>
      </w:r>
      <w:r w:rsidRPr="009A6C78">
        <w:rPr>
          <w:rFonts w:asciiTheme="minorHAnsi" w:hAnsiTheme="minorHAnsi" w:cstheme="minorHAnsi"/>
          <w:sz w:val="20"/>
          <w:szCs w:val="20"/>
        </w:rPr>
        <w:t>asiūlymų vertinimą, ekspertas (-ai) pateiks ekspertinio vertinimo pažymas.</w:t>
      </w:r>
      <w:r w:rsidRPr="009A6C78">
        <w:rPr>
          <w:rFonts w:asciiTheme="minorHAnsi" w:hAnsiTheme="minorHAnsi" w:cstheme="minorHAnsi"/>
          <w:b/>
          <w:bCs/>
          <w:sz w:val="20"/>
          <w:szCs w:val="20"/>
        </w:rPr>
        <w:t xml:space="preserve"> </w:t>
      </w:r>
    </w:p>
    <w:bookmarkEnd w:id="0"/>
    <w:p w14:paraId="2FC617E7" w14:textId="3B6AE85B" w:rsidR="00FB6E91" w:rsidRPr="009A6C78" w:rsidRDefault="00847E71" w:rsidP="006A0CD0">
      <w:pPr>
        <w:numPr>
          <w:ilvl w:val="0"/>
          <w:numId w:val="1"/>
        </w:numPr>
        <w:tabs>
          <w:tab w:val="left" w:pos="360"/>
        </w:tabs>
        <w:spacing w:after="0" w:line="240" w:lineRule="auto"/>
        <w:ind w:left="0" w:right="-450" w:firstLine="0"/>
        <w:jc w:val="both"/>
        <w:rPr>
          <w:rFonts w:eastAsia="Times New Roman" w:cstheme="minorHAnsi"/>
          <w:sz w:val="20"/>
          <w:szCs w:val="20"/>
        </w:rPr>
      </w:pPr>
      <w:r w:rsidRPr="009A6C78">
        <w:rPr>
          <w:rFonts w:eastAsia="Times New Roman" w:cstheme="minorHAnsi"/>
          <w:b/>
          <w:bCs/>
          <w:sz w:val="20"/>
          <w:szCs w:val="20"/>
        </w:rPr>
        <w:t>Tiekėjų</w:t>
      </w:r>
      <w:r w:rsidR="00FB7105" w:rsidRPr="009A6C78">
        <w:rPr>
          <w:rFonts w:eastAsia="Times New Roman" w:cstheme="minorHAnsi"/>
          <w:b/>
          <w:bCs/>
          <w:sz w:val="20"/>
          <w:szCs w:val="20"/>
        </w:rPr>
        <w:t xml:space="preserve"> Pasiūlymai</w:t>
      </w:r>
      <w:r w:rsidRPr="009A6C78">
        <w:rPr>
          <w:rFonts w:eastAsia="Times New Roman" w:cstheme="minorHAnsi"/>
          <w:b/>
          <w:bCs/>
          <w:sz w:val="20"/>
          <w:szCs w:val="20"/>
        </w:rPr>
        <w:t>, kuri</w:t>
      </w:r>
      <w:r w:rsidR="00FB7105" w:rsidRPr="009A6C78">
        <w:rPr>
          <w:rFonts w:eastAsia="Times New Roman" w:cstheme="minorHAnsi"/>
          <w:b/>
          <w:bCs/>
          <w:sz w:val="20"/>
          <w:szCs w:val="20"/>
        </w:rPr>
        <w:t>e</w:t>
      </w:r>
      <w:r w:rsidRPr="009A6C78">
        <w:rPr>
          <w:rFonts w:eastAsia="Times New Roman" w:cstheme="minorHAnsi"/>
          <w:b/>
          <w:bCs/>
          <w:sz w:val="20"/>
          <w:szCs w:val="20"/>
        </w:rPr>
        <w:t xml:space="preserve"> neatitiks techninių parametrų </w:t>
      </w:r>
      <w:r w:rsidR="00FB7105" w:rsidRPr="009A6C78">
        <w:rPr>
          <w:rFonts w:eastAsia="Times New Roman" w:cstheme="minorHAnsi"/>
          <w:b/>
          <w:bCs/>
          <w:sz w:val="20"/>
          <w:szCs w:val="20"/>
        </w:rPr>
        <w:t xml:space="preserve">arba viršys Pirkimui skirtas lėšas </w:t>
      </w:r>
      <w:r w:rsidRPr="009A6C78">
        <w:rPr>
          <w:rFonts w:eastAsia="Times New Roman" w:cstheme="minorHAnsi"/>
          <w:b/>
          <w:bCs/>
          <w:sz w:val="20"/>
          <w:szCs w:val="20"/>
        </w:rPr>
        <w:t xml:space="preserve">nebus vertinami ir </w:t>
      </w:r>
      <w:r w:rsidR="00FB7105" w:rsidRPr="009A6C78">
        <w:rPr>
          <w:rFonts w:eastAsia="Times New Roman" w:cstheme="minorHAnsi"/>
          <w:b/>
          <w:bCs/>
          <w:sz w:val="20"/>
          <w:szCs w:val="20"/>
        </w:rPr>
        <w:t>P</w:t>
      </w:r>
      <w:r w:rsidRPr="009A6C78">
        <w:rPr>
          <w:rFonts w:eastAsia="Times New Roman" w:cstheme="minorHAnsi"/>
          <w:b/>
          <w:bCs/>
          <w:sz w:val="20"/>
          <w:szCs w:val="20"/>
        </w:rPr>
        <w:t>asiūlymai bus atmesti kaip neatitinkantys Pirkimo sąlygų reikalavimų.</w:t>
      </w:r>
    </w:p>
    <w:p w14:paraId="11208102" w14:textId="77777777" w:rsidR="008A7F87" w:rsidRPr="009A6C78" w:rsidRDefault="008A7F87" w:rsidP="006A0CD0">
      <w:pPr>
        <w:keepNext/>
        <w:widowControl w:val="0"/>
        <w:numPr>
          <w:ilvl w:val="0"/>
          <w:numId w:val="1"/>
        </w:numPr>
        <w:tabs>
          <w:tab w:val="left" w:pos="360"/>
          <w:tab w:val="left" w:pos="851"/>
        </w:tabs>
        <w:spacing w:after="0" w:line="240" w:lineRule="auto"/>
        <w:ind w:left="0" w:right="-450" w:firstLine="0"/>
        <w:jc w:val="both"/>
        <w:rPr>
          <w:rFonts w:cstheme="minorHAnsi"/>
          <w:sz w:val="20"/>
          <w:szCs w:val="20"/>
        </w:rPr>
      </w:pPr>
      <w:bookmarkStart w:id="1" w:name="_Hlk88635062"/>
      <w:r w:rsidRPr="009A6C78">
        <w:rPr>
          <w:rFonts w:cstheme="minorHAnsi"/>
          <w:sz w:val="20"/>
          <w:szCs w:val="20"/>
        </w:rPr>
        <w:t xml:space="preserve">Pasiūlymuose nurodytos kainos vertinamos eurais be PVM. </w:t>
      </w:r>
    </w:p>
    <w:p w14:paraId="5AF6623B" w14:textId="4E0439DC" w:rsidR="008A7F87" w:rsidRPr="009A6C78" w:rsidRDefault="008A7F87" w:rsidP="006A0CD0">
      <w:pPr>
        <w:keepNext/>
        <w:widowControl w:val="0"/>
        <w:numPr>
          <w:ilvl w:val="0"/>
          <w:numId w:val="1"/>
        </w:numPr>
        <w:tabs>
          <w:tab w:val="left" w:pos="360"/>
          <w:tab w:val="left" w:pos="851"/>
        </w:tabs>
        <w:spacing w:after="0" w:line="240" w:lineRule="auto"/>
        <w:ind w:left="0" w:right="-450" w:firstLine="0"/>
        <w:jc w:val="both"/>
        <w:rPr>
          <w:rFonts w:cstheme="minorHAnsi"/>
          <w:sz w:val="20"/>
          <w:szCs w:val="20"/>
        </w:rPr>
      </w:pPr>
      <w:r w:rsidRPr="009A6C78">
        <w:rPr>
          <w:rFonts w:cstheme="minorHAnsi"/>
          <w:sz w:val="20"/>
          <w:szCs w:val="20"/>
        </w:rPr>
        <w:t>Visi skaičiai skaičiuojant yra apvalinami iki 2 skaičių po kablelio.</w:t>
      </w:r>
    </w:p>
    <w:bookmarkEnd w:id="1"/>
    <w:p w14:paraId="5D8FC259" w14:textId="77777777" w:rsidR="00FB6E91" w:rsidRPr="009A6C78" w:rsidRDefault="00FB6E91" w:rsidP="006A0CD0">
      <w:pPr>
        <w:numPr>
          <w:ilvl w:val="0"/>
          <w:numId w:val="1"/>
        </w:numPr>
        <w:tabs>
          <w:tab w:val="left" w:pos="360"/>
        </w:tabs>
        <w:spacing w:after="0" w:line="240" w:lineRule="auto"/>
        <w:ind w:left="0" w:right="-450" w:firstLine="0"/>
        <w:jc w:val="both"/>
        <w:rPr>
          <w:rFonts w:eastAsia="Times New Roman" w:cstheme="minorHAnsi"/>
          <w:sz w:val="20"/>
          <w:szCs w:val="20"/>
        </w:rPr>
      </w:pPr>
      <w:r w:rsidRPr="009A6C78">
        <w:rPr>
          <w:rFonts w:eastAsia="Times New Roman" w:cstheme="minorHAnsi"/>
          <w:sz w:val="20"/>
          <w:szCs w:val="20"/>
        </w:rPr>
        <w:t>Ekonomiškai naudingiausiu bus pripažįstamas pasiūlymas, surinkęs daugiausia balų.</w:t>
      </w:r>
    </w:p>
    <w:p w14:paraId="6EECFCBC" w14:textId="193A3ACE" w:rsidR="00FB6E91" w:rsidRPr="009A6C78" w:rsidRDefault="00FB6E91" w:rsidP="00FB6E91">
      <w:pPr>
        <w:tabs>
          <w:tab w:val="left" w:pos="4200"/>
        </w:tabs>
        <w:rPr>
          <w:rFonts w:cstheme="minorHAnsi"/>
          <w:sz w:val="20"/>
          <w:szCs w:val="20"/>
        </w:rPr>
      </w:pPr>
    </w:p>
    <w:p w14:paraId="029E28B0" w14:textId="6C3DE8B2" w:rsidR="00FB6E91" w:rsidRPr="009A6C78" w:rsidRDefault="00DC0AA6" w:rsidP="008A7F87">
      <w:pPr>
        <w:spacing w:before="60" w:after="60"/>
        <w:ind w:right="-360" w:firstLine="1080"/>
        <w:jc w:val="right"/>
        <w:rPr>
          <w:rFonts w:eastAsia="Calibri" w:cstheme="minorHAnsi"/>
          <w:i/>
          <w:iCs/>
          <w:sz w:val="20"/>
          <w:szCs w:val="20"/>
        </w:rPr>
      </w:pPr>
      <w:r w:rsidRPr="009A6C78">
        <w:rPr>
          <w:rFonts w:eastAsia="Calibri" w:cstheme="minorHAnsi"/>
          <w:i/>
          <w:iCs/>
          <w:sz w:val="20"/>
          <w:szCs w:val="20"/>
        </w:rPr>
        <w:t xml:space="preserve"> </w:t>
      </w:r>
      <w:r w:rsidR="00FB6E91" w:rsidRPr="009A6C78">
        <w:rPr>
          <w:rFonts w:eastAsia="Calibri" w:cstheme="minorHAnsi"/>
          <w:i/>
          <w:iCs/>
          <w:sz w:val="20"/>
          <w:szCs w:val="20"/>
        </w:rPr>
        <w:t>Lentelė Nr. 1. Pasiūlymų vertinimo kriterijai ir lyginamieji svoriai</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5"/>
        <w:gridCol w:w="2970"/>
        <w:gridCol w:w="3191"/>
      </w:tblGrid>
      <w:tr w:rsidR="00BD72B3" w:rsidRPr="009A6C78" w14:paraId="05159294" w14:textId="77777777" w:rsidTr="0B082C55">
        <w:trPr>
          <w:cantSplit/>
          <w:trHeight w:val="1064"/>
        </w:trPr>
        <w:tc>
          <w:tcPr>
            <w:tcW w:w="3595" w:type="dxa"/>
            <w:shd w:val="clear" w:color="auto" w:fill="E7E6E6" w:themeFill="background2"/>
            <w:tcMar>
              <w:top w:w="0" w:type="dxa"/>
              <w:left w:w="108" w:type="dxa"/>
              <w:bottom w:w="0" w:type="dxa"/>
              <w:right w:w="108" w:type="dxa"/>
            </w:tcMar>
            <w:vAlign w:val="center"/>
            <w:hideMark/>
          </w:tcPr>
          <w:p w14:paraId="1AC0BE6D" w14:textId="77777777" w:rsidR="00D6055F" w:rsidRPr="009A6C78" w:rsidRDefault="00D6055F" w:rsidP="00D6055F">
            <w:pPr>
              <w:jc w:val="center"/>
              <w:rPr>
                <w:rFonts w:cstheme="minorHAnsi"/>
                <w:b/>
                <w:bCs/>
                <w:sz w:val="20"/>
                <w:szCs w:val="20"/>
              </w:rPr>
            </w:pPr>
            <w:r w:rsidRPr="009A6C78">
              <w:rPr>
                <w:rFonts w:cstheme="minorHAnsi"/>
                <w:b/>
                <w:bCs/>
                <w:sz w:val="20"/>
                <w:szCs w:val="20"/>
              </w:rPr>
              <w:t>Vertinimo kriterijai</w:t>
            </w:r>
          </w:p>
        </w:tc>
        <w:tc>
          <w:tcPr>
            <w:tcW w:w="2970" w:type="dxa"/>
            <w:shd w:val="clear" w:color="auto" w:fill="E7E6E6" w:themeFill="background2"/>
            <w:tcMar>
              <w:top w:w="0" w:type="dxa"/>
              <w:left w:w="108" w:type="dxa"/>
              <w:bottom w:w="0" w:type="dxa"/>
              <w:right w:w="108" w:type="dxa"/>
            </w:tcMar>
            <w:vAlign w:val="center"/>
            <w:hideMark/>
          </w:tcPr>
          <w:p w14:paraId="6F561571" w14:textId="77777777" w:rsidR="00D6055F" w:rsidRPr="009A6C78" w:rsidRDefault="00D6055F" w:rsidP="00D6055F">
            <w:pPr>
              <w:ind w:hanging="7"/>
              <w:jc w:val="center"/>
              <w:rPr>
                <w:rFonts w:cstheme="minorHAnsi"/>
                <w:b/>
                <w:bCs/>
                <w:sz w:val="20"/>
                <w:szCs w:val="20"/>
              </w:rPr>
            </w:pPr>
            <w:r w:rsidRPr="009A6C78">
              <w:rPr>
                <w:rFonts w:cstheme="minorHAnsi"/>
                <w:b/>
                <w:bCs/>
                <w:sz w:val="20"/>
                <w:szCs w:val="20"/>
              </w:rPr>
              <w:t>Lyginamasis svoris ekonominio naudingumo įvertinime</w:t>
            </w:r>
          </w:p>
        </w:tc>
        <w:tc>
          <w:tcPr>
            <w:tcW w:w="3191" w:type="dxa"/>
            <w:shd w:val="clear" w:color="auto" w:fill="E7E6E6" w:themeFill="background2"/>
            <w:vAlign w:val="center"/>
          </w:tcPr>
          <w:p w14:paraId="54817295" w14:textId="77777777" w:rsidR="00D6055F" w:rsidRPr="009A6C78" w:rsidRDefault="00D6055F" w:rsidP="00D6055F">
            <w:pPr>
              <w:ind w:hanging="7"/>
              <w:jc w:val="center"/>
              <w:rPr>
                <w:rFonts w:cstheme="minorHAnsi"/>
                <w:b/>
                <w:bCs/>
                <w:sz w:val="20"/>
                <w:szCs w:val="20"/>
              </w:rPr>
            </w:pPr>
            <w:r w:rsidRPr="009A6C78">
              <w:rPr>
                <w:rFonts w:eastAsia="Calibri" w:cstheme="minorHAnsi"/>
                <w:b/>
                <w:bCs/>
                <w:sz w:val="20"/>
                <w:szCs w:val="20"/>
              </w:rPr>
              <w:t>Pasiūlyme reikalinga pateikti informacija, kuri bus vertinama pagal ekonominio naudingumo kriterijus</w:t>
            </w:r>
          </w:p>
        </w:tc>
      </w:tr>
      <w:tr w:rsidR="00BD72B3" w:rsidRPr="009A6C78" w14:paraId="54DD9599" w14:textId="77777777" w:rsidTr="0B082C55">
        <w:trPr>
          <w:cantSplit/>
          <w:trHeight w:val="286"/>
        </w:trPr>
        <w:tc>
          <w:tcPr>
            <w:tcW w:w="3595" w:type="dxa"/>
            <w:tcMar>
              <w:top w:w="0" w:type="dxa"/>
              <w:left w:w="108" w:type="dxa"/>
              <w:bottom w:w="0" w:type="dxa"/>
              <w:right w:w="108" w:type="dxa"/>
            </w:tcMar>
            <w:hideMark/>
          </w:tcPr>
          <w:p w14:paraId="29CFD18D" w14:textId="035C6441" w:rsidR="00D6055F" w:rsidRPr="0065502E" w:rsidRDefault="00D6055F" w:rsidP="00EA650C">
            <w:pPr>
              <w:pStyle w:val="Header"/>
              <w:rPr>
                <w:rFonts w:cstheme="minorHAnsi"/>
                <w:b/>
                <w:bCs/>
                <w:sz w:val="20"/>
                <w:szCs w:val="20"/>
              </w:rPr>
            </w:pPr>
            <w:r w:rsidRPr="009A6C78">
              <w:rPr>
                <w:rFonts w:cstheme="minorHAnsi"/>
                <w:b/>
                <w:bCs/>
                <w:sz w:val="20"/>
                <w:szCs w:val="20"/>
              </w:rPr>
              <w:t>Pirmas kriterijus</w:t>
            </w:r>
            <w:r w:rsidRPr="0065502E">
              <w:rPr>
                <w:rFonts w:cstheme="minorHAnsi"/>
                <w:b/>
                <w:bCs/>
                <w:sz w:val="20"/>
                <w:szCs w:val="20"/>
              </w:rPr>
              <w:t xml:space="preserve"> (</w:t>
            </w:r>
            <w:r w:rsidR="00FE0D9F" w:rsidRPr="0065502E">
              <w:rPr>
                <w:rFonts w:cstheme="minorHAnsi"/>
                <w:b/>
                <w:bCs/>
                <w:sz w:val="20"/>
                <w:szCs w:val="20"/>
              </w:rPr>
              <w:t>A</w:t>
            </w:r>
            <w:r w:rsidRPr="0065502E">
              <w:rPr>
                <w:rFonts w:cstheme="minorHAnsi"/>
                <w:b/>
                <w:bCs/>
                <w:sz w:val="20"/>
                <w:szCs w:val="20"/>
              </w:rPr>
              <w:t>) – Kaina</w:t>
            </w:r>
          </w:p>
          <w:p w14:paraId="314FA8ED" w14:textId="77777777" w:rsidR="006A0CD0" w:rsidRPr="009A6C78" w:rsidRDefault="006A0CD0" w:rsidP="00EA650C">
            <w:pPr>
              <w:pStyle w:val="Header"/>
              <w:rPr>
                <w:rFonts w:cstheme="minorHAnsi"/>
                <w:sz w:val="20"/>
                <w:szCs w:val="20"/>
              </w:rPr>
            </w:pPr>
          </w:p>
          <w:p w14:paraId="27A4E014" w14:textId="21CE0D3B" w:rsidR="006A0CD0" w:rsidRPr="009A6C78" w:rsidRDefault="006A0CD0" w:rsidP="006A0CD0">
            <w:pPr>
              <w:pStyle w:val="Header"/>
              <w:jc w:val="both"/>
              <w:rPr>
                <w:rFonts w:cstheme="minorHAnsi"/>
                <w:sz w:val="20"/>
                <w:szCs w:val="20"/>
              </w:rPr>
            </w:pPr>
            <w:r w:rsidRPr="009A6C78">
              <w:rPr>
                <w:rFonts w:cstheme="minorHAnsi"/>
                <w:i/>
                <w:iCs/>
                <w:sz w:val="20"/>
                <w:szCs w:val="20"/>
              </w:rPr>
              <w:t xml:space="preserve">Vertinama </w:t>
            </w:r>
            <w:r w:rsidR="00FE0D9F" w:rsidRPr="009A6C78">
              <w:rPr>
                <w:rFonts w:cstheme="minorHAnsi"/>
                <w:i/>
                <w:iCs/>
                <w:sz w:val="20"/>
                <w:szCs w:val="20"/>
              </w:rPr>
              <w:t>P</w:t>
            </w:r>
            <w:r w:rsidRPr="009A6C78">
              <w:rPr>
                <w:rFonts w:cstheme="minorHAnsi"/>
                <w:i/>
                <w:iCs/>
                <w:sz w:val="20"/>
                <w:szCs w:val="20"/>
              </w:rPr>
              <w:t xml:space="preserve">asiūlymo kaina EUR be PVM pagal šios metodikos </w:t>
            </w:r>
            <w:r w:rsidR="00FB7105" w:rsidRPr="009A6C78">
              <w:rPr>
                <w:rFonts w:cstheme="minorHAnsi"/>
                <w:i/>
                <w:iCs/>
                <w:sz w:val="20"/>
                <w:szCs w:val="20"/>
              </w:rPr>
              <w:t>8.1</w:t>
            </w:r>
            <w:r w:rsidRPr="0065502E">
              <w:rPr>
                <w:rFonts w:cstheme="minorHAnsi"/>
                <w:i/>
                <w:iCs/>
                <w:sz w:val="20"/>
                <w:szCs w:val="20"/>
              </w:rPr>
              <w:t xml:space="preserve"> </w:t>
            </w:r>
            <w:r w:rsidRPr="009A6C78">
              <w:rPr>
                <w:rFonts w:cstheme="minorHAnsi"/>
                <w:i/>
                <w:iCs/>
                <w:sz w:val="20"/>
                <w:szCs w:val="20"/>
              </w:rPr>
              <w:t>punkte nurodytą formulę, kur didžiausią įvertinimo balą gauna tas Pasiūlymas, kurio Pasiūlymo kaina yra mažiausia, o likę Pasiūlymai įvertinami proporcingai mažesniais balais.</w:t>
            </w:r>
          </w:p>
        </w:tc>
        <w:tc>
          <w:tcPr>
            <w:tcW w:w="2970" w:type="dxa"/>
            <w:tcMar>
              <w:top w:w="0" w:type="dxa"/>
              <w:left w:w="108" w:type="dxa"/>
              <w:bottom w:w="0" w:type="dxa"/>
              <w:right w:w="108" w:type="dxa"/>
            </w:tcMar>
            <w:vAlign w:val="center"/>
            <w:hideMark/>
          </w:tcPr>
          <w:p w14:paraId="7B352E76" w14:textId="06952A3E" w:rsidR="00D6055F" w:rsidRPr="009A6C78" w:rsidRDefault="006A0CD0" w:rsidP="00136394">
            <w:pPr>
              <w:ind w:firstLine="340"/>
              <w:jc w:val="center"/>
              <w:rPr>
                <w:rFonts w:cstheme="minorHAnsi"/>
                <w:sz w:val="20"/>
                <w:szCs w:val="20"/>
              </w:rPr>
            </w:pPr>
            <w:r w:rsidRPr="009A6C78">
              <w:rPr>
                <w:rFonts w:cstheme="minorHAnsi"/>
                <w:sz w:val="20"/>
                <w:szCs w:val="20"/>
              </w:rPr>
              <w:t>X</w:t>
            </w:r>
            <w:r w:rsidR="009A6C78" w:rsidRPr="009A6C78">
              <w:rPr>
                <w:rFonts w:cstheme="minorHAnsi"/>
                <w:sz w:val="20"/>
                <w:szCs w:val="20"/>
              </w:rPr>
              <w:t xml:space="preserve"> </w:t>
            </w:r>
            <w:r w:rsidR="00D6055F" w:rsidRPr="009A6C78">
              <w:rPr>
                <w:rFonts w:cstheme="minorHAnsi"/>
                <w:sz w:val="20"/>
                <w:szCs w:val="20"/>
              </w:rPr>
              <w:t>=</w:t>
            </w:r>
            <w:r w:rsidR="009A6C78" w:rsidRPr="009A6C78">
              <w:rPr>
                <w:rFonts w:cstheme="minorHAnsi"/>
                <w:sz w:val="20"/>
                <w:szCs w:val="20"/>
              </w:rPr>
              <w:t xml:space="preserve"> </w:t>
            </w:r>
            <w:r w:rsidR="0065502E">
              <w:rPr>
                <w:rFonts w:cstheme="minorHAnsi"/>
                <w:sz w:val="20"/>
                <w:szCs w:val="20"/>
              </w:rPr>
              <w:t>9</w:t>
            </w:r>
            <w:r w:rsidR="00147D5A">
              <w:rPr>
                <w:rFonts w:cstheme="minorHAnsi"/>
                <w:sz w:val="20"/>
                <w:szCs w:val="20"/>
              </w:rPr>
              <w:t>2</w:t>
            </w:r>
          </w:p>
        </w:tc>
        <w:tc>
          <w:tcPr>
            <w:tcW w:w="3191" w:type="dxa"/>
            <w:vAlign w:val="center"/>
          </w:tcPr>
          <w:p w14:paraId="424464D8" w14:textId="4D0C2135" w:rsidR="00D6055F" w:rsidRPr="009A6C78" w:rsidRDefault="00D6055F" w:rsidP="00DC0AA6">
            <w:pPr>
              <w:jc w:val="center"/>
              <w:rPr>
                <w:rFonts w:cstheme="minorHAnsi"/>
                <w:sz w:val="20"/>
                <w:szCs w:val="20"/>
              </w:rPr>
            </w:pPr>
            <w:r w:rsidRPr="009A6C78">
              <w:rPr>
                <w:rFonts w:eastAsia="Calibri" w:cstheme="minorHAnsi"/>
                <w:sz w:val="20"/>
                <w:szCs w:val="20"/>
              </w:rPr>
              <w:t>Užpildyta Pasiūlymo forma</w:t>
            </w:r>
            <w:r w:rsidR="00391FF6" w:rsidRPr="009A6C78">
              <w:rPr>
                <w:rFonts w:eastAsia="Calibri" w:cstheme="minorHAnsi"/>
                <w:sz w:val="20"/>
                <w:szCs w:val="20"/>
              </w:rPr>
              <w:t xml:space="preserve"> (SPS </w:t>
            </w:r>
            <w:r w:rsidR="00FE0D9F" w:rsidRPr="009A6C78">
              <w:rPr>
                <w:rFonts w:eastAsia="Calibri" w:cstheme="minorHAnsi"/>
                <w:sz w:val="20"/>
                <w:szCs w:val="20"/>
              </w:rPr>
              <w:t>p</w:t>
            </w:r>
            <w:r w:rsidR="00391FF6" w:rsidRPr="009A6C78">
              <w:rPr>
                <w:rFonts w:eastAsia="Calibri" w:cstheme="minorHAnsi"/>
                <w:sz w:val="20"/>
                <w:szCs w:val="20"/>
              </w:rPr>
              <w:t xml:space="preserve">riedas Nr. </w:t>
            </w:r>
            <w:r w:rsidR="00ED01B1">
              <w:rPr>
                <w:rFonts w:eastAsia="Calibri" w:cstheme="minorHAnsi"/>
                <w:sz w:val="20"/>
                <w:szCs w:val="20"/>
              </w:rPr>
              <w:t>1</w:t>
            </w:r>
            <w:r w:rsidR="00391FF6" w:rsidRPr="009A6C78">
              <w:rPr>
                <w:rFonts w:eastAsia="Calibri" w:cstheme="minorHAnsi"/>
                <w:sz w:val="20"/>
                <w:szCs w:val="20"/>
              </w:rPr>
              <w:t>)</w:t>
            </w:r>
          </w:p>
        </w:tc>
      </w:tr>
      <w:tr w:rsidR="00BD72B3" w:rsidRPr="009A6C78" w14:paraId="3184E38B" w14:textId="77777777" w:rsidTr="0B082C55">
        <w:trPr>
          <w:cantSplit/>
          <w:trHeight w:val="302"/>
        </w:trPr>
        <w:tc>
          <w:tcPr>
            <w:tcW w:w="3595" w:type="dxa"/>
            <w:tcMar>
              <w:top w:w="0" w:type="dxa"/>
              <w:left w:w="108" w:type="dxa"/>
              <w:bottom w:w="0" w:type="dxa"/>
              <w:right w:w="108" w:type="dxa"/>
            </w:tcMar>
          </w:tcPr>
          <w:p w14:paraId="02994DE5" w14:textId="3084C4FC" w:rsidR="00160BD6" w:rsidRPr="0065502E" w:rsidRDefault="00FE0D9F" w:rsidP="00533036">
            <w:pPr>
              <w:jc w:val="both"/>
              <w:rPr>
                <w:rFonts w:cstheme="minorHAnsi"/>
                <w:b/>
                <w:bCs/>
                <w:iCs/>
                <w:sz w:val="20"/>
                <w:szCs w:val="20"/>
                <w:lang w:eastAsia="lt-LT"/>
              </w:rPr>
            </w:pPr>
            <w:r w:rsidRPr="009A6C78">
              <w:rPr>
                <w:rFonts w:cstheme="minorHAnsi"/>
                <w:b/>
                <w:bCs/>
                <w:sz w:val="20"/>
                <w:szCs w:val="20"/>
              </w:rPr>
              <w:t>Antras k</w:t>
            </w:r>
            <w:r w:rsidR="00533036" w:rsidRPr="009A6C78">
              <w:rPr>
                <w:rFonts w:cstheme="minorHAnsi"/>
                <w:b/>
                <w:bCs/>
                <w:sz w:val="20"/>
                <w:szCs w:val="20"/>
              </w:rPr>
              <w:t>riterijus</w:t>
            </w:r>
            <w:r w:rsidRPr="0065502E">
              <w:rPr>
                <w:rFonts w:cstheme="minorHAnsi"/>
                <w:b/>
                <w:bCs/>
                <w:sz w:val="20"/>
                <w:szCs w:val="20"/>
              </w:rPr>
              <w:t xml:space="preserve"> (B)</w:t>
            </w:r>
            <w:r w:rsidR="00533036" w:rsidRPr="009A6C78">
              <w:rPr>
                <w:rFonts w:cstheme="minorHAnsi"/>
                <w:b/>
                <w:bCs/>
                <w:sz w:val="20"/>
                <w:szCs w:val="20"/>
              </w:rPr>
              <w:t xml:space="preserve"> </w:t>
            </w:r>
            <w:r w:rsidR="00160BD6" w:rsidRPr="009A6C78">
              <w:rPr>
                <w:rFonts w:cstheme="minorHAnsi"/>
                <w:b/>
                <w:bCs/>
                <w:sz w:val="20"/>
                <w:szCs w:val="20"/>
              </w:rPr>
              <w:t>–</w:t>
            </w:r>
            <w:r w:rsidR="00533036" w:rsidRPr="009A6C78">
              <w:rPr>
                <w:rFonts w:cstheme="minorHAnsi"/>
                <w:b/>
                <w:bCs/>
                <w:sz w:val="20"/>
                <w:szCs w:val="20"/>
              </w:rPr>
              <w:t xml:space="preserve"> </w:t>
            </w:r>
            <w:r w:rsidR="0065502E">
              <w:rPr>
                <w:rFonts w:cstheme="minorHAnsi"/>
                <w:b/>
                <w:bCs/>
                <w:sz w:val="20"/>
                <w:szCs w:val="20"/>
              </w:rPr>
              <w:t>Darbų</w:t>
            </w:r>
            <w:r w:rsidR="00533036" w:rsidRPr="0065502E">
              <w:rPr>
                <w:rFonts w:cstheme="minorHAnsi"/>
                <w:b/>
                <w:bCs/>
                <w:iCs/>
                <w:sz w:val="20"/>
                <w:szCs w:val="20"/>
                <w:lang w:eastAsia="lt-LT"/>
              </w:rPr>
              <w:t xml:space="preserve"> terminas</w:t>
            </w:r>
            <w:r w:rsidR="003673A1">
              <w:rPr>
                <w:rFonts w:cstheme="minorHAnsi"/>
                <w:b/>
                <w:bCs/>
                <w:iCs/>
                <w:sz w:val="20"/>
                <w:szCs w:val="20"/>
                <w:lang w:eastAsia="lt-LT"/>
              </w:rPr>
              <w:t>, įskaitant statybos užbaigimo procedūras</w:t>
            </w:r>
            <w:r w:rsidR="00160BD6" w:rsidRPr="009A6C78">
              <w:rPr>
                <w:rFonts w:cstheme="minorHAnsi"/>
                <w:b/>
                <w:bCs/>
                <w:iCs/>
                <w:sz w:val="20"/>
                <w:szCs w:val="20"/>
                <w:lang w:eastAsia="lt-LT"/>
              </w:rPr>
              <w:t xml:space="preserve"> </w:t>
            </w:r>
            <w:r w:rsidR="00160BD6" w:rsidRPr="0065502E">
              <w:rPr>
                <w:rFonts w:cstheme="minorHAnsi"/>
                <w:b/>
                <w:bCs/>
                <w:iCs/>
                <w:sz w:val="20"/>
                <w:szCs w:val="20"/>
                <w:u w:val="single"/>
                <w:lang w:eastAsia="lt-LT"/>
              </w:rPr>
              <w:t>(</w:t>
            </w:r>
            <w:r w:rsidR="007A6F65">
              <w:rPr>
                <w:rFonts w:cstheme="minorHAnsi"/>
                <w:b/>
                <w:bCs/>
                <w:iCs/>
                <w:sz w:val="20"/>
                <w:szCs w:val="20"/>
                <w:u w:val="single"/>
                <w:lang w:eastAsia="lt-LT"/>
              </w:rPr>
              <w:t>mėnesiais</w:t>
            </w:r>
            <w:r w:rsidR="00160BD6" w:rsidRPr="0065502E">
              <w:rPr>
                <w:rFonts w:cstheme="minorHAnsi"/>
                <w:b/>
                <w:bCs/>
                <w:iCs/>
                <w:sz w:val="20"/>
                <w:szCs w:val="20"/>
                <w:u w:val="single"/>
                <w:lang w:eastAsia="lt-LT"/>
              </w:rPr>
              <w:t>)</w:t>
            </w:r>
            <w:r w:rsidR="00533036" w:rsidRPr="0065502E">
              <w:rPr>
                <w:rFonts w:cstheme="minorHAnsi"/>
                <w:b/>
                <w:bCs/>
                <w:iCs/>
                <w:sz w:val="20"/>
                <w:szCs w:val="20"/>
                <w:lang w:eastAsia="lt-LT"/>
              </w:rPr>
              <w:t xml:space="preserve"> </w:t>
            </w:r>
            <w:r w:rsidR="00160BD6" w:rsidRPr="009A6C78">
              <w:rPr>
                <w:rFonts w:cstheme="minorHAnsi"/>
                <w:b/>
                <w:bCs/>
                <w:iCs/>
                <w:sz w:val="20"/>
                <w:szCs w:val="20"/>
                <w:lang w:eastAsia="lt-LT"/>
              </w:rPr>
              <w:t xml:space="preserve"> </w:t>
            </w:r>
          </w:p>
          <w:p w14:paraId="5C9A6FEE" w14:textId="6288D3A5" w:rsidR="00FF3E82" w:rsidRPr="0065502E" w:rsidRDefault="00160BD6" w:rsidP="0B082C55">
            <w:pPr>
              <w:jc w:val="both"/>
              <w:rPr>
                <w:i/>
                <w:iCs/>
                <w:sz w:val="20"/>
                <w:szCs w:val="20"/>
                <w:lang w:eastAsia="lt-LT"/>
              </w:rPr>
            </w:pPr>
            <w:r w:rsidRPr="0B082C55">
              <w:rPr>
                <w:b/>
                <w:bCs/>
                <w:i/>
                <w:iCs/>
                <w:sz w:val="20"/>
                <w:szCs w:val="20"/>
                <w:lang w:eastAsia="lt-LT"/>
              </w:rPr>
              <w:t>Pastaba:</w:t>
            </w:r>
            <w:r w:rsidRPr="0B082C55">
              <w:rPr>
                <w:i/>
                <w:iCs/>
                <w:sz w:val="20"/>
                <w:szCs w:val="20"/>
                <w:lang w:eastAsia="lt-LT"/>
              </w:rPr>
              <w:t xml:space="preserve"> </w:t>
            </w:r>
            <w:r w:rsidR="0065502E" w:rsidRPr="0B082C55">
              <w:rPr>
                <w:i/>
                <w:iCs/>
                <w:sz w:val="20"/>
                <w:szCs w:val="20"/>
                <w:lang w:eastAsia="lt-LT"/>
              </w:rPr>
              <w:t>Darbų</w:t>
            </w:r>
            <w:r w:rsidRPr="0B082C55">
              <w:rPr>
                <w:i/>
                <w:iCs/>
                <w:sz w:val="20"/>
                <w:szCs w:val="20"/>
                <w:lang w:eastAsia="lt-LT"/>
              </w:rPr>
              <w:t xml:space="preserve"> terminas </w:t>
            </w:r>
            <w:r w:rsidR="00533036" w:rsidRPr="0B082C55">
              <w:rPr>
                <w:i/>
                <w:iCs/>
                <w:sz w:val="20"/>
                <w:szCs w:val="20"/>
                <w:lang w:eastAsia="lt-LT"/>
              </w:rPr>
              <w:t xml:space="preserve">negali būti </w:t>
            </w:r>
            <w:r w:rsidR="00FF3E82" w:rsidRPr="0B082C55">
              <w:rPr>
                <w:i/>
                <w:iCs/>
                <w:sz w:val="20"/>
                <w:szCs w:val="20"/>
                <w:lang w:eastAsia="lt-LT"/>
              </w:rPr>
              <w:t>ilgesnis</w:t>
            </w:r>
            <w:r w:rsidR="00533036" w:rsidRPr="0B082C55">
              <w:rPr>
                <w:i/>
                <w:iCs/>
                <w:sz w:val="20"/>
                <w:szCs w:val="20"/>
                <w:lang w:eastAsia="lt-LT"/>
              </w:rPr>
              <w:t xml:space="preserve"> kaip </w:t>
            </w:r>
            <w:r w:rsidR="006B536F">
              <w:rPr>
                <w:i/>
                <w:iCs/>
                <w:sz w:val="20"/>
                <w:szCs w:val="20"/>
                <w:lang w:eastAsia="lt-LT"/>
              </w:rPr>
              <w:t>12</w:t>
            </w:r>
            <w:r w:rsidR="00533036" w:rsidRPr="0B082C55">
              <w:rPr>
                <w:i/>
                <w:iCs/>
                <w:sz w:val="20"/>
                <w:szCs w:val="20"/>
                <w:lang w:eastAsia="lt-LT"/>
              </w:rPr>
              <w:t xml:space="preserve"> </w:t>
            </w:r>
            <w:r w:rsidR="007A6F65" w:rsidRPr="0B082C55">
              <w:rPr>
                <w:i/>
                <w:iCs/>
                <w:sz w:val="20"/>
                <w:szCs w:val="20"/>
                <w:lang w:eastAsia="lt-LT"/>
              </w:rPr>
              <w:t>mėnesi</w:t>
            </w:r>
            <w:r w:rsidR="00172C3A" w:rsidRPr="0B082C55">
              <w:rPr>
                <w:i/>
                <w:iCs/>
                <w:sz w:val="20"/>
                <w:szCs w:val="20"/>
                <w:lang w:eastAsia="lt-LT"/>
              </w:rPr>
              <w:t>ai</w:t>
            </w:r>
            <w:r w:rsidRPr="0B082C55">
              <w:rPr>
                <w:i/>
                <w:iCs/>
                <w:sz w:val="20"/>
                <w:szCs w:val="20"/>
                <w:lang w:eastAsia="lt-LT"/>
              </w:rPr>
              <w:t xml:space="preserve"> nuo </w:t>
            </w:r>
            <w:r w:rsidR="0065502E" w:rsidRPr="0B082C55">
              <w:rPr>
                <w:i/>
                <w:iCs/>
                <w:sz w:val="20"/>
                <w:szCs w:val="20"/>
                <w:lang w:eastAsia="lt-LT"/>
              </w:rPr>
              <w:t>sutarties įsigaliojimo</w:t>
            </w:r>
            <w:r w:rsidRPr="0B082C55">
              <w:rPr>
                <w:i/>
                <w:iCs/>
                <w:sz w:val="20"/>
                <w:szCs w:val="20"/>
                <w:lang w:eastAsia="lt-LT"/>
              </w:rPr>
              <w:t xml:space="preserve"> dienos</w:t>
            </w:r>
            <w:r w:rsidR="006B536F">
              <w:rPr>
                <w:i/>
                <w:iCs/>
                <w:sz w:val="20"/>
                <w:szCs w:val="20"/>
                <w:lang w:eastAsia="lt-LT"/>
              </w:rPr>
              <w:t>.</w:t>
            </w:r>
          </w:p>
          <w:p w14:paraId="64A8C333" w14:textId="519B2C65" w:rsidR="006A0CD0" w:rsidRPr="0065502E" w:rsidRDefault="00BD72B3" w:rsidP="00533036">
            <w:pPr>
              <w:jc w:val="both"/>
              <w:rPr>
                <w:rFonts w:cstheme="minorHAnsi"/>
                <w:b/>
                <w:bCs/>
                <w:sz w:val="20"/>
                <w:szCs w:val="20"/>
              </w:rPr>
            </w:pPr>
            <w:r w:rsidRPr="009A6C78">
              <w:rPr>
                <w:rFonts w:cstheme="minorHAnsi"/>
                <w:i/>
                <w:iCs/>
                <w:sz w:val="20"/>
                <w:szCs w:val="20"/>
              </w:rPr>
              <w:t>Kriterijai su vertinimo tvarka, konkrečiais balais nurodomi šios metodikos 8.2. punkte</w:t>
            </w:r>
            <w:r w:rsidRPr="009A6C78">
              <w:rPr>
                <w:rFonts w:cstheme="minorHAnsi"/>
                <w:sz w:val="20"/>
                <w:szCs w:val="20"/>
              </w:rPr>
              <w:t>.</w:t>
            </w:r>
          </w:p>
        </w:tc>
        <w:tc>
          <w:tcPr>
            <w:tcW w:w="2970" w:type="dxa"/>
            <w:tcMar>
              <w:top w:w="0" w:type="dxa"/>
              <w:left w:w="108" w:type="dxa"/>
              <w:bottom w:w="0" w:type="dxa"/>
              <w:right w:w="108" w:type="dxa"/>
            </w:tcMar>
            <w:vAlign w:val="center"/>
          </w:tcPr>
          <w:p w14:paraId="42DDB622" w14:textId="7EBDFA67" w:rsidR="00533036" w:rsidRPr="009A6C78" w:rsidRDefault="009A6C78" w:rsidP="00136394">
            <w:pPr>
              <w:ind w:firstLine="340"/>
              <w:jc w:val="center"/>
              <w:rPr>
                <w:rFonts w:cstheme="minorHAnsi"/>
                <w:i/>
                <w:iCs/>
                <w:sz w:val="20"/>
                <w:szCs w:val="20"/>
              </w:rPr>
            </w:pPr>
            <w:r w:rsidRPr="009A6C78">
              <w:rPr>
                <w:rFonts w:cstheme="minorHAnsi"/>
                <w:i/>
                <w:iCs/>
                <w:sz w:val="20"/>
                <w:szCs w:val="20"/>
              </w:rPr>
              <w:t xml:space="preserve">Y </w:t>
            </w:r>
            <w:r w:rsidRPr="009A6C78">
              <w:rPr>
                <w:rFonts w:cstheme="minorHAnsi"/>
                <w:i/>
                <w:iCs/>
                <w:sz w:val="20"/>
                <w:szCs w:val="20"/>
                <w:lang w:val="en-US"/>
              </w:rPr>
              <w:t xml:space="preserve">= </w:t>
            </w:r>
            <w:r w:rsidR="00172C3A">
              <w:rPr>
                <w:rFonts w:cstheme="minorHAnsi"/>
                <w:i/>
                <w:iCs/>
                <w:sz w:val="20"/>
                <w:szCs w:val="20"/>
                <w:lang w:val="en-US"/>
              </w:rPr>
              <w:t>6</w:t>
            </w:r>
            <w:r w:rsidRPr="009A6C78">
              <w:rPr>
                <w:rFonts w:cstheme="minorHAnsi"/>
                <w:i/>
                <w:iCs/>
                <w:sz w:val="20"/>
                <w:szCs w:val="20"/>
              </w:rPr>
              <w:t xml:space="preserve"> (max.)</w:t>
            </w:r>
          </w:p>
          <w:p w14:paraId="39555DAF" w14:textId="309C69DC" w:rsidR="00533036" w:rsidRPr="009A6C78" w:rsidRDefault="00533036" w:rsidP="00136394">
            <w:pPr>
              <w:jc w:val="center"/>
              <w:rPr>
                <w:rFonts w:cstheme="minorHAnsi"/>
                <w:sz w:val="20"/>
                <w:szCs w:val="20"/>
              </w:rPr>
            </w:pPr>
          </w:p>
        </w:tc>
        <w:tc>
          <w:tcPr>
            <w:tcW w:w="3191" w:type="dxa"/>
            <w:vAlign w:val="center"/>
          </w:tcPr>
          <w:p w14:paraId="1AF7DA78" w14:textId="19D3F032" w:rsidR="00533036" w:rsidRPr="009A6C78" w:rsidRDefault="00160BD6" w:rsidP="00533036">
            <w:pPr>
              <w:jc w:val="center"/>
              <w:rPr>
                <w:rFonts w:cstheme="minorHAnsi"/>
                <w:i/>
                <w:iCs/>
                <w:sz w:val="20"/>
                <w:szCs w:val="20"/>
              </w:rPr>
            </w:pPr>
            <w:r w:rsidRPr="009A6C78">
              <w:rPr>
                <w:rFonts w:eastAsia="Calibri" w:cstheme="minorHAnsi"/>
                <w:sz w:val="20"/>
                <w:szCs w:val="20"/>
              </w:rPr>
              <w:t xml:space="preserve">Užpildyta Pasiūlymo forma (SPS priedas Nr. </w:t>
            </w:r>
            <w:r w:rsidR="00ED01B1">
              <w:rPr>
                <w:rFonts w:eastAsia="Calibri" w:cstheme="minorHAnsi"/>
                <w:sz w:val="20"/>
                <w:szCs w:val="20"/>
              </w:rPr>
              <w:t>1</w:t>
            </w:r>
            <w:r w:rsidRPr="009A6C78">
              <w:rPr>
                <w:rFonts w:eastAsia="Calibri" w:cstheme="minorHAnsi"/>
                <w:sz w:val="20"/>
                <w:szCs w:val="20"/>
              </w:rPr>
              <w:t>)</w:t>
            </w:r>
          </w:p>
        </w:tc>
      </w:tr>
      <w:tr w:rsidR="00147D5A" w:rsidRPr="009A6C78" w14:paraId="66BF6AE2" w14:textId="77777777" w:rsidTr="0B082C55">
        <w:trPr>
          <w:cantSplit/>
          <w:trHeight w:val="302"/>
        </w:trPr>
        <w:tc>
          <w:tcPr>
            <w:tcW w:w="3595" w:type="dxa"/>
            <w:tcMar>
              <w:top w:w="0" w:type="dxa"/>
              <w:left w:w="108" w:type="dxa"/>
              <w:bottom w:w="0" w:type="dxa"/>
              <w:right w:w="108" w:type="dxa"/>
            </w:tcMar>
          </w:tcPr>
          <w:p w14:paraId="689DF812" w14:textId="77777777" w:rsidR="00147D5A" w:rsidRPr="008B4BF0" w:rsidRDefault="00147D5A" w:rsidP="00147D5A">
            <w:pPr>
              <w:spacing w:after="0" w:line="256" w:lineRule="auto"/>
              <w:rPr>
                <w:rFonts w:ascii="Calibri" w:eastAsia="Calibri" w:hAnsi="Calibri" w:cs="Calibri"/>
                <w:b/>
                <w:bCs/>
                <w:sz w:val="20"/>
                <w:szCs w:val="20"/>
              </w:rPr>
            </w:pPr>
            <w:r w:rsidRPr="00FC5298">
              <w:rPr>
                <w:rFonts w:ascii="Calibri" w:eastAsia="Calibri" w:hAnsi="Calibri" w:cs="Calibri"/>
                <w:b/>
                <w:bCs/>
                <w:sz w:val="20"/>
                <w:szCs w:val="20"/>
              </w:rPr>
              <w:lastRenderedPageBreak/>
              <w:t>Trečias</w:t>
            </w:r>
            <w:r w:rsidRPr="008B4BF0">
              <w:rPr>
                <w:rFonts w:ascii="Calibri" w:eastAsia="Calibri" w:hAnsi="Calibri" w:cs="Calibri"/>
                <w:b/>
                <w:bCs/>
                <w:sz w:val="20"/>
                <w:szCs w:val="20"/>
              </w:rPr>
              <w:t xml:space="preserve"> kriterijus</w:t>
            </w:r>
            <w:r w:rsidRPr="008B4BF0">
              <w:rPr>
                <w:rFonts w:ascii="Calibri" w:eastAsia="Calibri" w:hAnsi="Calibri" w:cs="Calibri"/>
                <w:sz w:val="20"/>
                <w:szCs w:val="20"/>
              </w:rPr>
              <w:t xml:space="preserve"> </w:t>
            </w:r>
            <w:r w:rsidRPr="008B4BF0">
              <w:rPr>
                <w:rFonts w:ascii="Calibri" w:eastAsia="Calibri" w:hAnsi="Calibri" w:cs="Calibri"/>
                <w:b/>
                <w:bCs/>
                <w:sz w:val="20"/>
                <w:szCs w:val="20"/>
              </w:rPr>
              <w:t>(</w:t>
            </w:r>
            <w:r w:rsidRPr="00FC5298">
              <w:rPr>
                <w:rFonts w:ascii="Calibri" w:eastAsia="Calibri" w:hAnsi="Calibri" w:cs="Calibri"/>
                <w:b/>
                <w:bCs/>
                <w:sz w:val="20"/>
                <w:szCs w:val="20"/>
              </w:rPr>
              <w:t>C</w:t>
            </w:r>
            <w:r w:rsidRPr="008B4BF0">
              <w:rPr>
                <w:rFonts w:ascii="Calibri" w:eastAsia="Calibri" w:hAnsi="Calibri" w:cs="Calibri"/>
                <w:b/>
                <w:bCs/>
                <w:sz w:val="20"/>
                <w:szCs w:val="20"/>
              </w:rPr>
              <w:t>)</w:t>
            </w:r>
            <w:r w:rsidRPr="008B4BF0">
              <w:rPr>
                <w:rFonts w:ascii="Calibri" w:eastAsia="Calibri" w:hAnsi="Calibri" w:cs="Calibri"/>
                <w:b/>
                <w:bCs/>
                <w:color w:val="FF0000"/>
                <w:sz w:val="20"/>
                <w:szCs w:val="20"/>
              </w:rPr>
              <w:t xml:space="preserve"> </w:t>
            </w:r>
            <w:r w:rsidRPr="008B4BF0">
              <w:rPr>
                <w:rFonts w:ascii="Calibri" w:eastAsia="Calibri" w:hAnsi="Calibri" w:cs="Calibri"/>
                <w:b/>
                <w:bCs/>
                <w:sz w:val="20"/>
                <w:szCs w:val="20"/>
              </w:rPr>
              <w:t>– Darbuotojų saugos ir sveikatos (toliau – DSS) teisės aktų pažeidimai</w:t>
            </w:r>
          </w:p>
          <w:p w14:paraId="0F42BFA8" w14:textId="77777777" w:rsidR="00147D5A" w:rsidRPr="008B4BF0" w:rsidRDefault="00147D5A" w:rsidP="00147D5A">
            <w:pPr>
              <w:spacing w:after="0" w:line="256" w:lineRule="auto"/>
              <w:jc w:val="both"/>
              <w:rPr>
                <w:rFonts w:ascii="Calibri" w:eastAsia="Calibri" w:hAnsi="Calibri" w:cs="Calibri"/>
                <w:i/>
                <w:iCs/>
                <w:sz w:val="20"/>
                <w:szCs w:val="20"/>
              </w:rPr>
            </w:pPr>
            <w:r w:rsidRPr="008B4BF0">
              <w:rPr>
                <w:rFonts w:ascii="Calibri" w:eastAsia="Calibri" w:hAnsi="Calibri" w:cs="Calibri"/>
                <w:i/>
                <w:iCs/>
                <w:sz w:val="20"/>
                <w:szCs w:val="20"/>
              </w:rPr>
              <w:t xml:space="preserve"> </w:t>
            </w:r>
          </w:p>
          <w:p w14:paraId="0EBF3FD7" w14:textId="77777777" w:rsidR="00147D5A" w:rsidRPr="008B4BF0" w:rsidRDefault="00147D5A" w:rsidP="00147D5A">
            <w:pPr>
              <w:spacing w:after="0" w:line="256" w:lineRule="auto"/>
              <w:jc w:val="both"/>
              <w:rPr>
                <w:rFonts w:ascii="Calibri" w:eastAsia="Calibri" w:hAnsi="Calibri" w:cs="Calibri"/>
                <w:i/>
                <w:iCs/>
                <w:sz w:val="20"/>
                <w:szCs w:val="20"/>
              </w:rPr>
            </w:pPr>
            <w:r w:rsidRPr="008B4BF0">
              <w:rPr>
                <w:rFonts w:ascii="Calibri" w:eastAsia="Calibri" w:hAnsi="Calibri" w:cs="Calibri"/>
                <w:i/>
                <w:iCs/>
                <w:sz w:val="20"/>
                <w:szCs w:val="20"/>
              </w:rPr>
              <w:t>Vertinama ar Lietuvos Respublikos valstybinė darbo inspekcija prie Socialinės apsaugos ir darbo ministerijos (toliau – VDI) nustatė, kad darbdavys (Tiekėjas / Rangovas) padarė DSS teisės aktų pažeidimus per pastaruosius 3 metus.</w:t>
            </w:r>
          </w:p>
          <w:p w14:paraId="5A00CA3C" w14:textId="77777777" w:rsidR="00147D5A" w:rsidRPr="008B4BF0" w:rsidRDefault="00147D5A" w:rsidP="00147D5A">
            <w:pPr>
              <w:spacing w:after="0" w:line="256" w:lineRule="auto"/>
              <w:jc w:val="both"/>
              <w:rPr>
                <w:rFonts w:ascii="Calibri" w:eastAsia="Calibri" w:hAnsi="Calibri" w:cs="Calibri"/>
                <w:sz w:val="20"/>
                <w:szCs w:val="20"/>
              </w:rPr>
            </w:pPr>
            <w:r w:rsidRPr="008B4BF0">
              <w:rPr>
                <w:rFonts w:ascii="Calibri" w:eastAsia="Calibri" w:hAnsi="Calibri" w:cs="Calibri"/>
                <w:sz w:val="20"/>
                <w:szCs w:val="20"/>
              </w:rPr>
              <w:t xml:space="preserve"> </w:t>
            </w:r>
          </w:p>
          <w:p w14:paraId="2BE8CB6C" w14:textId="6B5B434D" w:rsidR="00147D5A" w:rsidRPr="009A6C78" w:rsidRDefault="00147D5A" w:rsidP="00147D5A">
            <w:pPr>
              <w:jc w:val="both"/>
              <w:rPr>
                <w:rFonts w:cstheme="minorHAnsi"/>
                <w:b/>
                <w:bCs/>
                <w:sz w:val="20"/>
                <w:szCs w:val="20"/>
              </w:rPr>
            </w:pPr>
            <w:r w:rsidRPr="00FC5298">
              <w:rPr>
                <w:rFonts w:ascii="Calibri" w:eastAsia="Calibri" w:hAnsi="Calibri" w:cs="Calibri"/>
                <w:i/>
                <w:iCs/>
                <w:sz w:val="20"/>
                <w:szCs w:val="20"/>
              </w:rPr>
              <w:t>Kriterijai su vertinimo tvarka, konkrečiais balais nurodomi šios metodikos 8.3. punkte.</w:t>
            </w:r>
          </w:p>
        </w:tc>
        <w:tc>
          <w:tcPr>
            <w:tcW w:w="2970" w:type="dxa"/>
            <w:tcMar>
              <w:top w:w="0" w:type="dxa"/>
              <w:left w:w="108" w:type="dxa"/>
              <w:bottom w:w="0" w:type="dxa"/>
              <w:right w:w="108" w:type="dxa"/>
            </w:tcMar>
            <w:vAlign w:val="center"/>
          </w:tcPr>
          <w:p w14:paraId="1CD0AB3A" w14:textId="2731C335" w:rsidR="00147D5A" w:rsidRPr="009A6C78" w:rsidRDefault="00147D5A" w:rsidP="00147D5A">
            <w:pPr>
              <w:ind w:firstLine="340"/>
              <w:jc w:val="center"/>
              <w:rPr>
                <w:rFonts w:cstheme="minorHAnsi"/>
                <w:i/>
                <w:iCs/>
                <w:sz w:val="20"/>
                <w:szCs w:val="20"/>
              </w:rPr>
            </w:pPr>
            <w:r w:rsidRPr="00FC5298">
              <w:rPr>
                <w:rFonts w:cstheme="minorHAnsi"/>
                <w:i/>
                <w:iCs/>
                <w:sz w:val="20"/>
                <w:szCs w:val="20"/>
              </w:rPr>
              <w:t>Z = 1 (max.)</w:t>
            </w:r>
          </w:p>
        </w:tc>
        <w:tc>
          <w:tcPr>
            <w:tcW w:w="3191" w:type="dxa"/>
            <w:vAlign w:val="center"/>
          </w:tcPr>
          <w:p w14:paraId="3B1A80D3" w14:textId="77777777" w:rsidR="00147D5A" w:rsidRPr="007A0445" w:rsidRDefault="00147D5A" w:rsidP="00147D5A">
            <w:pPr>
              <w:tabs>
                <w:tab w:val="left" w:pos="2835"/>
              </w:tabs>
              <w:spacing w:line="256" w:lineRule="auto"/>
              <w:rPr>
                <w:rFonts w:ascii="Calibri" w:eastAsia="Calibri" w:hAnsi="Calibri" w:cs="Calibri"/>
                <w:sz w:val="20"/>
                <w:szCs w:val="20"/>
              </w:rPr>
            </w:pPr>
            <w:r w:rsidRPr="007A0445">
              <w:rPr>
                <w:rFonts w:ascii="Calibri" w:eastAsia="Calibri" w:hAnsi="Calibri" w:cs="Calibri"/>
                <w:sz w:val="20"/>
                <w:szCs w:val="20"/>
              </w:rPr>
              <w:t>Pateikiamas oficialus VDI pranešimas / raštas išduotas ne anksčiau kaip 120 kalendorinių dienų iki pasiūlymų pateikimo termino pabaigos.</w:t>
            </w:r>
          </w:p>
          <w:p w14:paraId="02CCFDD1" w14:textId="77777777" w:rsidR="00147D5A" w:rsidRPr="007A0445" w:rsidRDefault="00147D5A" w:rsidP="00147D5A">
            <w:pPr>
              <w:tabs>
                <w:tab w:val="left" w:pos="2835"/>
              </w:tabs>
              <w:spacing w:line="256" w:lineRule="auto"/>
              <w:rPr>
                <w:rFonts w:ascii="Calibri" w:eastAsia="Calibri" w:hAnsi="Calibri" w:cs="Calibri"/>
                <w:sz w:val="20"/>
                <w:szCs w:val="20"/>
              </w:rPr>
            </w:pPr>
            <w:r w:rsidRPr="007A0445">
              <w:rPr>
                <w:rFonts w:ascii="Calibri" w:eastAsia="Calibri" w:hAnsi="Calibri" w:cs="Calibri"/>
                <w:sz w:val="20"/>
                <w:szCs w:val="20"/>
              </w:rPr>
              <w:t xml:space="preserve"> </w:t>
            </w:r>
          </w:p>
          <w:p w14:paraId="0C45A45E" w14:textId="0D31E244" w:rsidR="00147D5A" w:rsidRPr="009A6C78" w:rsidRDefault="00147D5A" w:rsidP="00147D5A">
            <w:pPr>
              <w:jc w:val="center"/>
              <w:rPr>
                <w:rFonts w:eastAsia="Calibri" w:cstheme="minorHAnsi"/>
                <w:sz w:val="20"/>
                <w:szCs w:val="20"/>
              </w:rPr>
            </w:pPr>
            <w:r w:rsidRPr="00FC5298">
              <w:rPr>
                <w:rFonts w:ascii="Calibri" w:eastAsia="Calibri" w:hAnsi="Calibri" w:cs="Calibri"/>
                <w:sz w:val="20"/>
                <w:szCs w:val="20"/>
              </w:rPr>
              <w:t>Jeigu tiekėjas yra registruotas užsienio šalyje, turi būti pateikiamas atitinkamos užsienio šalies kompetentingos institucijos išduotas dokumentas, išduotas ne anksčiau kaip 120 kalendorinių dienų iki pasiūlymų pateikimo termino pabaigos.*</w:t>
            </w:r>
          </w:p>
        </w:tc>
      </w:tr>
      <w:tr w:rsidR="00147D5A" w:rsidRPr="009A6C78" w14:paraId="69CEC75A" w14:textId="77777777" w:rsidTr="0B082C55">
        <w:trPr>
          <w:cantSplit/>
          <w:trHeight w:val="302"/>
        </w:trPr>
        <w:tc>
          <w:tcPr>
            <w:tcW w:w="3595" w:type="dxa"/>
            <w:tcMar>
              <w:top w:w="0" w:type="dxa"/>
              <w:left w:w="108" w:type="dxa"/>
              <w:bottom w:w="0" w:type="dxa"/>
              <w:right w:w="108" w:type="dxa"/>
            </w:tcMar>
          </w:tcPr>
          <w:p w14:paraId="667ECF23" w14:textId="60D95A8F" w:rsidR="00147D5A" w:rsidRPr="00EA6F5B" w:rsidRDefault="76E71E4B" w:rsidP="00147D5A">
            <w:pPr>
              <w:jc w:val="both"/>
              <w:rPr>
                <w:rFonts w:ascii="Calibri" w:eastAsia="Calibri" w:hAnsi="Calibri" w:cs="Calibri"/>
                <w:b/>
                <w:bCs/>
                <w:sz w:val="20"/>
                <w:szCs w:val="20"/>
              </w:rPr>
            </w:pPr>
            <w:r w:rsidRPr="00EA6F5B">
              <w:rPr>
                <w:rFonts w:ascii="Calibri" w:eastAsia="Calibri" w:hAnsi="Calibri" w:cs="Calibri"/>
                <w:b/>
                <w:bCs/>
                <w:sz w:val="20"/>
                <w:szCs w:val="20"/>
              </w:rPr>
              <w:t xml:space="preserve">Ketvirtasis </w:t>
            </w:r>
            <w:r w:rsidR="00147D5A" w:rsidRPr="00EA6F5B">
              <w:rPr>
                <w:rFonts w:ascii="Calibri" w:eastAsia="Calibri" w:hAnsi="Calibri" w:cs="Calibri"/>
                <w:b/>
                <w:bCs/>
                <w:sz w:val="20"/>
                <w:szCs w:val="20"/>
              </w:rPr>
              <w:t>kriterijus</w:t>
            </w:r>
            <w:r w:rsidR="00147D5A" w:rsidRPr="00EA6F5B">
              <w:rPr>
                <w:rFonts w:ascii="Calibri" w:eastAsia="Calibri" w:hAnsi="Calibri" w:cs="Calibri"/>
                <w:sz w:val="20"/>
                <w:szCs w:val="20"/>
              </w:rPr>
              <w:t xml:space="preserve"> </w:t>
            </w:r>
            <w:r w:rsidR="00147D5A" w:rsidRPr="00EA6F5B">
              <w:rPr>
                <w:rFonts w:ascii="Calibri" w:eastAsia="Calibri" w:hAnsi="Calibri" w:cs="Calibri"/>
                <w:b/>
                <w:bCs/>
                <w:sz w:val="20"/>
                <w:szCs w:val="20"/>
              </w:rPr>
              <w:t>(D)</w:t>
            </w:r>
            <w:r w:rsidR="00147D5A" w:rsidRPr="00EA6F5B">
              <w:rPr>
                <w:rFonts w:ascii="Calibri" w:eastAsia="Calibri" w:hAnsi="Calibri" w:cs="Calibri"/>
                <w:sz w:val="20"/>
                <w:szCs w:val="20"/>
              </w:rPr>
              <w:t xml:space="preserve"> </w:t>
            </w:r>
            <w:r w:rsidR="00147D5A" w:rsidRPr="00EA6F5B">
              <w:rPr>
                <w:rFonts w:ascii="Calibri" w:eastAsia="Calibri" w:hAnsi="Calibri" w:cs="Calibri"/>
                <w:b/>
                <w:bCs/>
                <w:sz w:val="20"/>
                <w:szCs w:val="20"/>
              </w:rPr>
              <w:t>– Nelaimingi atsitikimai</w:t>
            </w:r>
          </w:p>
          <w:p w14:paraId="29DD4CAE" w14:textId="77777777" w:rsidR="00147D5A" w:rsidRPr="00FC5298" w:rsidRDefault="00147D5A" w:rsidP="00147D5A">
            <w:pPr>
              <w:jc w:val="both"/>
              <w:rPr>
                <w:rFonts w:ascii="Calibri" w:eastAsia="Calibri" w:hAnsi="Calibri" w:cs="Calibri"/>
                <w:i/>
                <w:iCs/>
                <w:sz w:val="20"/>
                <w:szCs w:val="20"/>
              </w:rPr>
            </w:pPr>
            <w:r w:rsidRPr="00FC5298">
              <w:rPr>
                <w:rFonts w:ascii="Calibri" w:eastAsia="Calibri" w:hAnsi="Calibri" w:cs="Calibri"/>
                <w:i/>
                <w:iCs/>
                <w:sz w:val="20"/>
                <w:szCs w:val="20"/>
              </w:rPr>
              <w:t xml:space="preserve">Vertinama ar Tiekėjo / Rangovo įmonėje įvyko mirtinas ar sunkus nelaimingas atsitikimas darbe, kuriuos sąlygojo </w:t>
            </w:r>
            <w:r w:rsidRPr="00FC5298">
              <w:rPr>
                <w:rFonts w:ascii="Calibri" w:eastAsia="Calibri" w:hAnsi="Calibri" w:cs="Calibri"/>
                <w:b/>
                <w:bCs/>
                <w:i/>
                <w:iCs/>
                <w:sz w:val="20"/>
                <w:szCs w:val="20"/>
              </w:rPr>
              <w:t>darbdavio neįgyvendinti</w:t>
            </w:r>
            <w:r w:rsidRPr="00FC5298">
              <w:rPr>
                <w:rFonts w:ascii="Calibri" w:eastAsia="Calibri" w:hAnsi="Calibri" w:cs="Calibri"/>
                <w:i/>
                <w:iCs/>
                <w:sz w:val="20"/>
                <w:szCs w:val="20"/>
              </w:rPr>
              <w:t xml:space="preserve"> teisės aktų reikalavimai (jeigu nuo nelaimingo atsikimo darbe, ūmios profesinės ligos diagnozavimo ar pažeidimo padarymo dienos praėjo mažiau </w:t>
            </w:r>
            <w:r w:rsidRPr="00FC5298">
              <w:rPr>
                <w:rFonts w:ascii="Calibri" w:eastAsia="Calibri" w:hAnsi="Calibri" w:cs="Calibri"/>
                <w:i/>
                <w:iCs/>
                <w:color w:val="000000" w:themeColor="text1"/>
                <w:sz w:val="20"/>
                <w:szCs w:val="20"/>
              </w:rPr>
              <w:t>kaip vieni metai</w:t>
            </w:r>
            <w:r w:rsidRPr="00FC5298">
              <w:rPr>
                <w:rFonts w:ascii="Calibri" w:eastAsia="Calibri" w:hAnsi="Calibri" w:cs="Calibri"/>
                <w:i/>
                <w:iCs/>
                <w:sz w:val="20"/>
                <w:szCs w:val="20"/>
              </w:rPr>
              <w:t>).</w:t>
            </w:r>
          </w:p>
          <w:p w14:paraId="1A7006A4" w14:textId="29D37652" w:rsidR="00147D5A" w:rsidRPr="009A6C78" w:rsidRDefault="00147D5A" w:rsidP="00147D5A">
            <w:pPr>
              <w:jc w:val="both"/>
              <w:rPr>
                <w:rFonts w:cstheme="minorHAnsi"/>
                <w:b/>
                <w:bCs/>
                <w:sz w:val="20"/>
                <w:szCs w:val="20"/>
              </w:rPr>
            </w:pPr>
            <w:r w:rsidRPr="00FC5298">
              <w:rPr>
                <w:rFonts w:ascii="Calibri" w:eastAsia="Calibri" w:hAnsi="Calibri" w:cs="Calibri"/>
                <w:i/>
                <w:iCs/>
                <w:sz w:val="20"/>
                <w:szCs w:val="20"/>
              </w:rPr>
              <w:t>Kriterijai su vertinimo tvarka, konkrečiais balais nurodomi šios metodikos 8.4. punkte.</w:t>
            </w:r>
          </w:p>
        </w:tc>
        <w:tc>
          <w:tcPr>
            <w:tcW w:w="2970" w:type="dxa"/>
            <w:tcMar>
              <w:top w:w="0" w:type="dxa"/>
              <w:left w:w="108" w:type="dxa"/>
              <w:bottom w:w="0" w:type="dxa"/>
              <w:right w:w="108" w:type="dxa"/>
            </w:tcMar>
            <w:vAlign w:val="center"/>
          </w:tcPr>
          <w:p w14:paraId="56BB7B92" w14:textId="306EE9BA" w:rsidR="00147D5A" w:rsidRPr="009A6C78" w:rsidRDefault="00147D5A" w:rsidP="00147D5A">
            <w:pPr>
              <w:ind w:firstLine="340"/>
              <w:jc w:val="center"/>
              <w:rPr>
                <w:rFonts w:cstheme="minorHAnsi"/>
                <w:i/>
                <w:iCs/>
                <w:sz w:val="20"/>
                <w:szCs w:val="20"/>
              </w:rPr>
            </w:pPr>
            <w:r w:rsidRPr="00FC5298">
              <w:rPr>
                <w:rFonts w:cstheme="minorHAnsi"/>
                <w:i/>
                <w:iCs/>
                <w:sz w:val="20"/>
                <w:szCs w:val="20"/>
              </w:rPr>
              <w:t>W = 1 (max.)</w:t>
            </w:r>
          </w:p>
        </w:tc>
        <w:tc>
          <w:tcPr>
            <w:tcW w:w="3191" w:type="dxa"/>
            <w:vAlign w:val="center"/>
          </w:tcPr>
          <w:p w14:paraId="2A09586B" w14:textId="77777777" w:rsidR="00147D5A" w:rsidRPr="00661AE0" w:rsidRDefault="00147D5A" w:rsidP="00147D5A">
            <w:pPr>
              <w:tabs>
                <w:tab w:val="left" w:pos="2835"/>
              </w:tabs>
              <w:spacing w:line="256" w:lineRule="auto"/>
              <w:rPr>
                <w:rFonts w:ascii="Calibri" w:eastAsia="Calibri" w:hAnsi="Calibri" w:cs="Calibri"/>
                <w:sz w:val="20"/>
                <w:szCs w:val="20"/>
              </w:rPr>
            </w:pPr>
            <w:r w:rsidRPr="00661AE0">
              <w:rPr>
                <w:rFonts w:ascii="Calibri" w:eastAsia="Calibri" w:hAnsi="Calibri" w:cs="Calibri"/>
                <w:sz w:val="20"/>
                <w:szCs w:val="20"/>
              </w:rPr>
              <w:t>Pateikiamas oficialus VDI pranešimas / raštas išduotas ne anksčiau kaip 120 kalendorinių dienų iki pasiūlymų pateikimo termino pabaigos.</w:t>
            </w:r>
          </w:p>
          <w:p w14:paraId="71808081" w14:textId="4391BE2A" w:rsidR="00147D5A" w:rsidRPr="009A6C78" w:rsidRDefault="00147D5A" w:rsidP="00147D5A">
            <w:pPr>
              <w:jc w:val="center"/>
              <w:rPr>
                <w:rFonts w:eastAsia="Calibri" w:cstheme="minorHAnsi"/>
                <w:sz w:val="20"/>
                <w:szCs w:val="20"/>
              </w:rPr>
            </w:pPr>
            <w:r w:rsidRPr="00FC5298">
              <w:rPr>
                <w:rFonts w:ascii="Calibri" w:eastAsia="Calibri" w:hAnsi="Calibri" w:cs="Calibri"/>
                <w:sz w:val="20"/>
                <w:szCs w:val="20"/>
              </w:rPr>
              <w:t>Jeigu tiekėjas yra registruotas užsienio šalyje, turi būti pateikiamas atitinkamos užsienio šalies kompetentingos institucijos išduotas dokumentas, išduotas ne anksčiau kaip 120 kalendorinių dienų iki pasiūlymų pateikimo termino pabaigos.*</w:t>
            </w:r>
          </w:p>
        </w:tc>
      </w:tr>
    </w:tbl>
    <w:p w14:paraId="78EF29CA" w14:textId="77777777" w:rsidR="00147D5A" w:rsidRPr="00FC5298" w:rsidRDefault="00147D5A" w:rsidP="00147D5A">
      <w:pPr>
        <w:tabs>
          <w:tab w:val="left" w:pos="4200"/>
        </w:tabs>
        <w:jc w:val="both"/>
        <w:rPr>
          <w:rFonts w:cstheme="minorHAnsi"/>
          <w:sz w:val="20"/>
          <w:szCs w:val="20"/>
        </w:rPr>
      </w:pPr>
      <w:r w:rsidRPr="009A048A">
        <w:rPr>
          <w:rFonts w:cstheme="minorHAnsi"/>
          <w:sz w:val="20"/>
          <w:szCs w:val="20"/>
        </w:rPr>
        <w:t xml:space="preserve">* </w:t>
      </w:r>
      <w:r w:rsidRPr="009A048A">
        <w:rPr>
          <w:rFonts w:cstheme="minorHAnsi"/>
          <w:i/>
          <w:iCs/>
          <w:sz w:val="20"/>
          <w:szCs w:val="20"/>
        </w:rPr>
        <w:t>Jeigu tiekėjas negali pateikti nurodytų dokumentų, nes valstybėje narėje ar atitinkamoje šalyje tokie dokumentai neišduodami arba toje šalyje išduodami dokumentai neapima visų šiame punkte keliamų klausimų, jie gali būti pakeisti:1) priesaikos deklaracija;2)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C68FB2" w14:textId="77777777" w:rsidR="00147D5A" w:rsidRPr="00FC5298" w:rsidRDefault="00147D5A" w:rsidP="00147D5A">
      <w:pPr>
        <w:numPr>
          <w:ilvl w:val="0"/>
          <w:numId w:val="1"/>
        </w:numPr>
        <w:tabs>
          <w:tab w:val="left" w:pos="426"/>
        </w:tabs>
        <w:spacing w:after="0" w:line="240" w:lineRule="auto"/>
        <w:ind w:left="0" w:right="-360" w:firstLine="0"/>
        <w:contextualSpacing/>
        <w:rPr>
          <w:rFonts w:eastAsia="Arial" w:cstheme="minorHAnsi"/>
          <w:sz w:val="20"/>
          <w:szCs w:val="20"/>
        </w:rPr>
      </w:pPr>
      <w:r w:rsidRPr="00FC5298">
        <w:rPr>
          <w:rFonts w:eastAsia="Arial" w:cstheme="minorHAnsi"/>
          <w:sz w:val="20"/>
          <w:szCs w:val="20"/>
        </w:rPr>
        <w:t>Pasiūlymo ekonominio naudingumo (S) balas bus apskaičiuojamas sudedant kriterijų (A), (B), (C) ir (D) balus:</w:t>
      </w:r>
    </w:p>
    <w:p w14:paraId="2583844B" w14:textId="77777777" w:rsidR="00147D5A" w:rsidRPr="00FC5298" w:rsidRDefault="00147D5A" w:rsidP="00147D5A">
      <w:pPr>
        <w:tabs>
          <w:tab w:val="left" w:pos="426"/>
        </w:tabs>
        <w:ind w:right="-360"/>
        <w:contextualSpacing/>
        <w:rPr>
          <w:rFonts w:eastAsia="Arial" w:cstheme="minorHAnsi"/>
          <w:sz w:val="20"/>
          <w:szCs w:val="20"/>
        </w:rPr>
      </w:pPr>
    </w:p>
    <w:p w14:paraId="417708EA" w14:textId="77777777" w:rsidR="00147D5A" w:rsidRPr="00FC5298" w:rsidRDefault="00147D5A" w:rsidP="00147D5A">
      <w:pPr>
        <w:tabs>
          <w:tab w:val="left" w:pos="426"/>
        </w:tabs>
        <w:ind w:right="-360"/>
        <w:contextualSpacing/>
        <w:jc w:val="center"/>
        <w:rPr>
          <w:rFonts w:eastAsia="Arial" w:cstheme="minorHAnsi"/>
          <w:sz w:val="20"/>
          <w:szCs w:val="20"/>
        </w:rPr>
      </w:pPr>
      <w:r w:rsidRPr="00FC5298">
        <w:rPr>
          <w:rFonts w:eastAsia="Arial" w:cstheme="minorHAnsi"/>
          <w:sz w:val="20"/>
          <w:szCs w:val="20"/>
        </w:rPr>
        <w:t>S = A + B + C + D</w:t>
      </w:r>
    </w:p>
    <w:p w14:paraId="083D3A12" w14:textId="77777777" w:rsidR="00847E71" w:rsidRPr="007A6F65" w:rsidRDefault="00847E71" w:rsidP="006A0CD0">
      <w:pPr>
        <w:shd w:val="clear" w:color="auto" w:fill="FFFFFF" w:themeFill="background1"/>
        <w:spacing w:before="60" w:after="60"/>
        <w:ind w:right="-360" w:firstLine="1298"/>
        <w:rPr>
          <w:rFonts w:cstheme="minorHAnsi"/>
          <w:sz w:val="20"/>
          <w:szCs w:val="20"/>
        </w:rPr>
      </w:pPr>
    </w:p>
    <w:p w14:paraId="2FE98B33" w14:textId="11966AC7" w:rsidR="00847E71" w:rsidRPr="007A6F65" w:rsidRDefault="00847E71" w:rsidP="006A0CD0">
      <w:pPr>
        <w:pStyle w:val="ListParagraph"/>
        <w:numPr>
          <w:ilvl w:val="1"/>
          <w:numId w:val="1"/>
        </w:numPr>
        <w:shd w:val="clear" w:color="auto" w:fill="FFFFFF" w:themeFill="background1"/>
        <w:tabs>
          <w:tab w:val="left" w:pos="0"/>
          <w:tab w:val="left" w:pos="567"/>
        </w:tabs>
        <w:ind w:left="360" w:right="-360"/>
        <w:jc w:val="both"/>
        <w:rPr>
          <w:rFonts w:asciiTheme="minorHAnsi" w:eastAsia="Arial" w:hAnsiTheme="minorHAnsi" w:cstheme="minorHAnsi"/>
          <w:sz w:val="20"/>
          <w:szCs w:val="20"/>
        </w:rPr>
      </w:pPr>
      <w:r w:rsidRPr="009A6C78">
        <w:rPr>
          <w:rFonts w:asciiTheme="minorHAnsi" w:hAnsiTheme="minorHAnsi" w:cstheme="minorHAnsi"/>
          <w:b/>
          <w:bCs/>
          <w:sz w:val="20"/>
          <w:szCs w:val="20"/>
        </w:rPr>
        <w:t>Kriterijaus (</w:t>
      </w:r>
      <w:r w:rsidR="009A6C78" w:rsidRPr="009A6C78">
        <w:rPr>
          <w:rFonts w:asciiTheme="minorHAnsi" w:hAnsiTheme="minorHAnsi" w:cstheme="minorHAnsi"/>
          <w:b/>
          <w:bCs/>
          <w:sz w:val="20"/>
          <w:szCs w:val="20"/>
        </w:rPr>
        <w:t>A</w:t>
      </w:r>
      <w:r w:rsidRPr="009A6C78">
        <w:rPr>
          <w:rFonts w:asciiTheme="minorHAnsi" w:hAnsiTheme="minorHAnsi" w:cstheme="minorHAnsi"/>
          <w:b/>
          <w:bCs/>
          <w:sz w:val="20"/>
          <w:szCs w:val="20"/>
        </w:rPr>
        <w:t xml:space="preserve">) balai </w:t>
      </w:r>
      <w:r w:rsidRPr="007A6F65">
        <w:rPr>
          <w:rFonts w:asciiTheme="minorHAnsi" w:hAnsiTheme="minorHAnsi" w:cstheme="minorHAnsi"/>
          <w:b/>
          <w:bCs/>
          <w:sz w:val="20"/>
          <w:szCs w:val="20"/>
        </w:rPr>
        <w:t>apskaičiuojami</w:t>
      </w:r>
      <w:r w:rsidRPr="009A6C78">
        <w:rPr>
          <w:rFonts w:asciiTheme="minorHAnsi" w:hAnsiTheme="minorHAnsi" w:cstheme="minorHAnsi"/>
          <w:sz w:val="20"/>
          <w:szCs w:val="20"/>
        </w:rPr>
        <w:t xml:space="preserve"> </w:t>
      </w:r>
      <w:r w:rsidRPr="007A6F65">
        <w:rPr>
          <w:rFonts w:asciiTheme="minorHAnsi" w:eastAsia="Arial" w:hAnsiTheme="minorHAnsi" w:cstheme="minorHAnsi"/>
          <w:sz w:val="20"/>
          <w:szCs w:val="20"/>
        </w:rPr>
        <w:t xml:space="preserve">mažiausios pasiūlytos kainos </w:t>
      </w:r>
      <w:r w:rsidR="009A6C78" w:rsidRPr="009A6C78">
        <w:rPr>
          <w:rFonts w:asciiTheme="minorHAnsi" w:eastAsia="Arial" w:hAnsiTheme="minorHAnsi" w:cstheme="minorHAnsi"/>
          <w:sz w:val="20"/>
          <w:szCs w:val="20"/>
        </w:rPr>
        <w:t>(A</w:t>
      </w:r>
      <w:r w:rsidR="009A6C78" w:rsidRPr="007A6F65">
        <w:rPr>
          <w:rFonts w:asciiTheme="minorHAnsi" w:eastAsia="Arial" w:hAnsiTheme="minorHAnsi" w:cstheme="minorHAnsi"/>
          <w:sz w:val="20"/>
          <w:szCs w:val="20"/>
          <w:vertAlign w:val="subscript"/>
        </w:rPr>
        <w:t>min</w:t>
      </w:r>
      <w:r w:rsidR="009A6C78" w:rsidRPr="009A6C78">
        <w:rPr>
          <w:rFonts w:asciiTheme="minorHAnsi" w:eastAsia="Arial" w:hAnsiTheme="minorHAnsi" w:cstheme="minorHAnsi"/>
          <w:sz w:val="20"/>
          <w:szCs w:val="20"/>
        </w:rPr>
        <w:t>)</w:t>
      </w:r>
      <w:r w:rsidR="009A6C78" w:rsidRPr="009A6C78">
        <w:rPr>
          <w:rFonts w:asciiTheme="minorHAnsi" w:hAnsiTheme="minorHAnsi" w:cstheme="minorHAnsi"/>
          <w:sz w:val="20"/>
          <w:szCs w:val="20"/>
        </w:rPr>
        <w:t xml:space="preserve"> </w:t>
      </w:r>
      <w:r w:rsidRPr="009A6C78">
        <w:rPr>
          <w:rFonts w:asciiTheme="minorHAnsi" w:hAnsiTheme="minorHAnsi" w:cstheme="minorHAnsi"/>
          <w:sz w:val="20"/>
          <w:szCs w:val="20"/>
        </w:rPr>
        <w:t xml:space="preserve">ir vertinamame </w:t>
      </w:r>
      <w:r w:rsidR="009A6C78" w:rsidRPr="009A6C78">
        <w:rPr>
          <w:rFonts w:asciiTheme="minorHAnsi" w:hAnsiTheme="minorHAnsi" w:cstheme="minorHAnsi"/>
          <w:sz w:val="20"/>
          <w:szCs w:val="20"/>
        </w:rPr>
        <w:t>P</w:t>
      </w:r>
      <w:r w:rsidRPr="009A6C78">
        <w:rPr>
          <w:rFonts w:asciiTheme="minorHAnsi" w:hAnsiTheme="minorHAnsi" w:cstheme="minorHAnsi"/>
          <w:sz w:val="20"/>
          <w:szCs w:val="20"/>
        </w:rPr>
        <w:t xml:space="preserve">asiūlyme </w:t>
      </w:r>
      <w:r w:rsidRPr="007A6F65">
        <w:rPr>
          <w:rFonts w:asciiTheme="minorHAnsi" w:eastAsia="Arial" w:hAnsiTheme="minorHAnsi" w:cstheme="minorHAnsi"/>
          <w:sz w:val="20"/>
          <w:szCs w:val="20"/>
        </w:rPr>
        <w:t>nurodytos Pasiūlymo kainos</w:t>
      </w:r>
      <w:r w:rsidR="001F1AFA" w:rsidRPr="007A6F65">
        <w:rPr>
          <w:rFonts w:asciiTheme="minorHAnsi" w:eastAsia="Arial" w:hAnsiTheme="minorHAnsi" w:cstheme="minorHAnsi"/>
          <w:sz w:val="20"/>
          <w:szCs w:val="20"/>
        </w:rPr>
        <w:t xml:space="preserve"> EUR be PVM</w:t>
      </w:r>
      <w:r w:rsidR="009A6C78" w:rsidRPr="009A6C78">
        <w:rPr>
          <w:rFonts w:asciiTheme="minorHAnsi" w:eastAsia="Arial" w:hAnsiTheme="minorHAnsi" w:cstheme="minorHAnsi"/>
          <w:sz w:val="20"/>
          <w:szCs w:val="20"/>
        </w:rPr>
        <w:t xml:space="preserve"> (A</w:t>
      </w:r>
      <w:r w:rsidR="009A6C78" w:rsidRPr="007A6F65">
        <w:rPr>
          <w:rFonts w:asciiTheme="minorHAnsi" w:eastAsia="Arial" w:hAnsiTheme="minorHAnsi" w:cstheme="minorHAnsi"/>
          <w:sz w:val="20"/>
          <w:szCs w:val="20"/>
          <w:vertAlign w:val="subscript"/>
        </w:rPr>
        <w:t>p</w:t>
      </w:r>
      <w:r w:rsidR="009A6C78" w:rsidRPr="009A6C78">
        <w:rPr>
          <w:rFonts w:asciiTheme="minorHAnsi" w:eastAsia="Arial" w:hAnsiTheme="minorHAnsi" w:cstheme="minorHAnsi"/>
          <w:sz w:val="20"/>
          <w:szCs w:val="20"/>
        </w:rPr>
        <w:t>)</w:t>
      </w:r>
      <w:r w:rsidRPr="009A6C78">
        <w:rPr>
          <w:rFonts w:asciiTheme="minorHAnsi" w:hAnsiTheme="minorHAnsi" w:cstheme="minorHAnsi"/>
          <w:sz w:val="20"/>
          <w:szCs w:val="20"/>
        </w:rPr>
        <w:t xml:space="preserve"> </w:t>
      </w:r>
      <w:r w:rsidRPr="007A6F65">
        <w:rPr>
          <w:rFonts w:asciiTheme="minorHAnsi" w:hAnsiTheme="minorHAnsi" w:cstheme="minorHAnsi"/>
          <w:sz w:val="20"/>
          <w:szCs w:val="20"/>
        </w:rPr>
        <w:t>(</w:t>
      </w:r>
      <w:r w:rsidRPr="007A6F65">
        <w:rPr>
          <w:rFonts w:asciiTheme="minorHAnsi" w:eastAsia="Arial" w:hAnsiTheme="minorHAnsi" w:cstheme="minorHAnsi"/>
          <w:sz w:val="20"/>
          <w:szCs w:val="20"/>
        </w:rPr>
        <w:t xml:space="preserve">pateikiama užpildant Pasiūlymo formoje esančią lentelę) </w:t>
      </w:r>
      <w:r w:rsidRPr="009A6C78">
        <w:rPr>
          <w:rFonts w:asciiTheme="minorHAnsi" w:hAnsiTheme="minorHAnsi" w:cstheme="minorHAnsi"/>
          <w:sz w:val="20"/>
          <w:szCs w:val="20"/>
        </w:rPr>
        <w:t>santykį padauginant iš kainos kriterijaus lyginamojo svorio (</w:t>
      </w:r>
      <w:r w:rsidRPr="007A6F65">
        <w:rPr>
          <w:rFonts w:asciiTheme="minorHAnsi" w:hAnsiTheme="minorHAnsi" w:cstheme="minorHAnsi"/>
          <w:sz w:val="20"/>
          <w:szCs w:val="20"/>
        </w:rPr>
        <w:t>X</w:t>
      </w:r>
      <w:r w:rsidRPr="009A6C78">
        <w:rPr>
          <w:rFonts w:asciiTheme="minorHAnsi" w:hAnsiTheme="minorHAnsi" w:cstheme="minorHAnsi"/>
          <w:sz w:val="20"/>
          <w:szCs w:val="20"/>
        </w:rPr>
        <w:t>)</w:t>
      </w:r>
      <w:r w:rsidRPr="007A6F65">
        <w:rPr>
          <w:rFonts w:asciiTheme="minorHAnsi" w:eastAsia="Arial" w:hAnsiTheme="minorHAnsi" w:cstheme="minorHAnsi"/>
          <w:sz w:val="20"/>
          <w:szCs w:val="20"/>
        </w:rPr>
        <w:t>:</w:t>
      </w:r>
    </w:p>
    <w:p w14:paraId="2AC21F0E" w14:textId="00D3F5A5" w:rsidR="009A6C78" w:rsidRPr="009A6C78" w:rsidRDefault="009A6C78" w:rsidP="009A6C78">
      <w:pPr>
        <w:shd w:val="clear" w:color="auto" w:fill="FFFFFF" w:themeFill="background1"/>
        <w:tabs>
          <w:tab w:val="left" w:pos="0"/>
          <w:tab w:val="left" w:pos="567"/>
        </w:tabs>
        <w:ind w:left="-72" w:right="-360"/>
        <w:jc w:val="both"/>
        <w:rPr>
          <w:rFonts w:eastAsia="Arial" w:cstheme="minorHAnsi"/>
          <w:sz w:val="20"/>
          <w:szCs w:val="20"/>
        </w:rPr>
      </w:pPr>
    </w:p>
    <w:p w14:paraId="5E837E73" w14:textId="351EE231" w:rsidR="009A6C78" w:rsidRPr="007A6F65" w:rsidRDefault="009A6C78" w:rsidP="007A6F65">
      <w:pPr>
        <w:shd w:val="clear" w:color="auto" w:fill="FFFFFF" w:themeFill="background1"/>
        <w:tabs>
          <w:tab w:val="left" w:pos="0"/>
          <w:tab w:val="left" w:pos="567"/>
        </w:tabs>
        <w:ind w:left="-72" w:right="-360"/>
        <w:jc w:val="center"/>
        <w:rPr>
          <w:rFonts w:eastAsia="Arial" w:cstheme="minorHAnsi"/>
          <w:sz w:val="20"/>
          <w:szCs w:val="20"/>
          <w:lang w:val="en-US"/>
        </w:rPr>
      </w:pPr>
      <w:r w:rsidRPr="009A6C78">
        <w:rPr>
          <w:rFonts w:eastAsia="Arial" w:cstheme="minorHAnsi"/>
          <w:sz w:val="20"/>
          <w:szCs w:val="20"/>
        </w:rPr>
        <w:t xml:space="preserve">A </w:t>
      </w:r>
      <w:r w:rsidRPr="009A6C78">
        <w:rPr>
          <w:rFonts w:eastAsia="Arial" w:cstheme="minorHAnsi"/>
          <w:sz w:val="20"/>
          <w:szCs w:val="20"/>
          <w:lang w:val="en-US"/>
        </w:rPr>
        <w:t>= A</w:t>
      </w:r>
      <w:r w:rsidRPr="007A6F65">
        <w:rPr>
          <w:rFonts w:eastAsia="Arial" w:cstheme="minorHAnsi"/>
          <w:sz w:val="20"/>
          <w:szCs w:val="20"/>
          <w:vertAlign w:val="subscript"/>
          <w:lang w:val="en-US"/>
        </w:rPr>
        <w:t>min</w:t>
      </w:r>
      <w:r w:rsidRPr="009A6C78">
        <w:rPr>
          <w:rFonts w:eastAsia="Arial" w:cstheme="minorHAnsi"/>
          <w:sz w:val="20"/>
          <w:szCs w:val="20"/>
          <w:lang w:val="en-US"/>
        </w:rPr>
        <w:t>/A</w:t>
      </w:r>
      <w:r w:rsidRPr="007A6F65">
        <w:rPr>
          <w:rFonts w:eastAsia="Arial" w:cstheme="minorHAnsi"/>
          <w:sz w:val="20"/>
          <w:szCs w:val="20"/>
          <w:vertAlign w:val="subscript"/>
          <w:lang w:val="en-US"/>
        </w:rPr>
        <w:t>p</w:t>
      </w:r>
      <w:r w:rsidRPr="009A6C78">
        <w:rPr>
          <w:rFonts w:eastAsia="Arial" w:cstheme="minorHAnsi"/>
          <w:sz w:val="20"/>
          <w:szCs w:val="20"/>
          <w:lang w:val="en-US"/>
        </w:rPr>
        <w:t xml:space="preserve"> x X</w:t>
      </w:r>
    </w:p>
    <w:p w14:paraId="3724A006" w14:textId="77777777" w:rsidR="00847E71" w:rsidRPr="007A6F65" w:rsidRDefault="00847E71" w:rsidP="006A0CD0">
      <w:pPr>
        <w:shd w:val="clear" w:color="auto" w:fill="FFFFFF" w:themeFill="background1"/>
        <w:tabs>
          <w:tab w:val="left" w:pos="284"/>
          <w:tab w:val="left" w:pos="709"/>
        </w:tabs>
        <w:spacing w:before="60" w:after="60"/>
        <w:ind w:right="-360"/>
        <w:jc w:val="center"/>
        <w:rPr>
          <w:rFonts w:cstheme="minorHAnsi"/>
          <w:position w:val="-32"/>
          <w:sz w:val="20"/>
          <w:szCs w:val="20"/>
        </w:rPr>
      </w:pPr>
    </w:p>
    <w:p w14:paraId="3C66ECF9" w14:textId="3A9A7671" w:rsidR="00533036" w:rsidRPr="007A6F65" w:rsidRDefault="00EA7F1D" w:rsidP="6B2E1EF0">
      <w:pPr>
        <w:pStyle w:val="ListParagraph"/>
        <w:numPr>
          <w:ilvl w:val="1"/>
          <w:numId w:val="1"/>
        </w:numPr>
        <w:tabs>
          <w:tab w:val="left" w:pos="0"/>
          <w:tab w:val="left" w:pos="426"/>
        </w:tabs>
        <w:spacing w:before="60" w:after="60"/>
        <w:ind w:left="0" w:right="-360" w:firstLine="0"/>
        <w:jc w:val="both"/>
        <w:rPr>
          <w:rFonts w:asciiTheme="minorHAnsi" w:hAnsiTheme="minorHAnsi" w:cstheme="minorBidi"/>
          <w:b/>
          <w:bCs/>
          <w:sz w:val="20"/>
          <w:szCs w:val="20"/>
        </w:rPr>
      </w:pPr>
      <w:r w:rsidRPr="6B2E1EF0">
        <w:rPr>
          <w:rFonts w:asciiTheme="minorHAnsi" w:hAnsiTheme="minorHAnsi" w:cstheme="minorBidi"/>
          <w:b/>
          <w:bCs/>
          <w:sz w:val="20"/>
          <w:szCs w:val="20"/>
        </w:rPr>
        <w:t>K</w:t>
      </w:r>
      <w:r w:rsidR="00533036" w:rsidRPr="6B2E1EF0">
        <w:rPr>
          <w:rFonts w:asciiTheme="minorHAnsi" w:hAnsiTheme="minorHAnsi" w:cstheme="minorBidi"/>
          <w:b/>
          <w:bCs/>
          <w:sz w:val="20"/>
          <w:szCs w:val="20"/>
        </w:rPr>
        <w:t>riterijaus</w:t>
      </w:r>
      <w:r w:rsidR="009A6C78" w:rsidRPr="6B2E1EF0">
        <w:rPr>
          <w:rFonts w:asciiTheme="minorHAnsi" w:hAnsiTheme="minorHAnsi" w:cstheme="minorBidi"/>
          <w:b/>
          <w:bCs/>
          <w:sz w:val="20"/>
          <w:szCs w:val="20"/>
        </w:rPr>
        <w:t xml:space="preserve"> (B) </w:t>
      </w:r>
      <w:r w:rsidR="00533036" w:rsidRPr="6B2E1EF0">
        <w:rPr>
          <w:rFonts w:asciiTheme="minorHAnsi" w:hAnsiTheme="minorHAnsi" w:cstheme="minorBidi"/>
          <w:b/>
          <w:bCs/>
          <w:sz w:val="20"/>
          <w:szCs w:val="20"/>
        </w:rPr>
        <w:t xml:space="preserve">balai </w:t>
      </w:r>
      <w:r w:rsidR="004A1E51" w:rsidRPr="6B2E1EF0">
        <w:rPr>
          <w:rFonts w:asciiTheme="minorHAnsi" w:hAnsiTheme="minorHAnsi" w:cstheme="minorBidi"/>
          <w:b/>
          <w:bCs/>
          <w:sz w:val="20"/>
          <w:szCs w:val="20"/>
        </w:rPr>
        <w:t xml:space="preserve">bus skiriami tiesiogiai (duomenys imami iš Tiekėjo pateiktos užpildytos Pasiūlymo formoje esančios lentelės), be lyginamojo </w:t>
      </w:r>
      <w:r w:rsidR="004A1E51" w:rsidRPr="00EA6F5B">
        <w:rPr>
          <w:rFonts w:asciiTheme="minorHAnsi" w:hAnsiTheme="minorHAnsi" w:cstheme="minorBidi"/>
          <w:b/>
          <w:bCs/>
          <w:sz w:val="20"/>
          <w:szCs w:val="20"/>
        </w:rPr>
        <w:t xml:space="preserve">koeficiento (maksimalus balas </w:t>
      </w:r>
      <w:r w:rsidR="2CC42756" w:rsidRPr="00EA6F5B">
        <w:rPr>
          <w:rFonts w:asciiTheme="minorHAnsi" w:hAnsiTheme="minorHAnsi" w:cstheme="minorBidi"/>
          <w:b/>
          <w:bCs/>
          <w:sz w:val="20"/>
          <w:szCs w:val="20"/>
        </w:rPr>
        <w:t>6</w:t>
      </w:r>
      <w:r w:rsidR="004A1E51" w:rsidRPr="00EA6F5B">
        <w:rPr>
          <w:rFonts w:asciiTheme="minorHAnsi" w:hAnsiTheme="minorHAnsi" w:cstheme="minorBidi"/>
          <w:b/>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BD72B3" w:rsidRPr="009A6C78" w14:paraId="320FE68C" w14:textId="77777777" w:rsidTr="0B082C55">
        <w:tc>
          <w:tcPr>
            <w:tcW w:w="7905" w:type="dxa"/>
            <w:tcBorders>
              <w:top w:val="single" w:sz="4" w:space="0" w:color="auto"/>
              <w:left w:val="single" w:sz="4" w:space="0" w:color="auto"/>
              <w:bottom w:val="single" w:sz="4" w:space="0" w:color="auto"/>
              <w:right w:val="single" w:sz="4" w:space="0" w:color="auto"/>
            </w:tcBorders>
          </w:tcPr>
          <w:p w14:paraId="6E6AF833" w14:textId="337C9873" w:rsidR="004A1E51" w:rsidRPr="009A6C78" w:rsidRDefault="009A6C78" w:rsidP="00EA650C">
            <w:pPr>
              <w:tabs>
                <w:tab w:val="left" w:pos="567"/>
              </w:tabs>
              <w:spacing w:before="60" w:after="60" w:line="240" w:lineRule="auto"/>
              <w:jc w:val="center"/>
              <w:rPr>
                <w:rFonts w:eastAsia="Times New Roman" w:cstheme="minorHAnsi"/>
                <w:b/>
                <w:bCs/>
                <w:iCs/>
                <w:sz w:val="20"/>
                <w:szCs w:val="20"/>
              </w:rPr>
            </w:pPr>
            <w:bookmarkStart w:id="2" w:name="_Hlk151364013"/>
            <w:r w:rsidRPr="009A6C78">
              <w:rPr>
                <w:rFonts w:eastAsia="Times New Roman" w:cstheme="minorHAnsi"/>
                <w:b/>
                <w:bCs/>
                <w:iCs/>
                <w:sz w:val="20"/>
                <w:szCs w:val="20"/>
              </w:rPr>
              <w:t xml:space="preserve">Antras kriterijus (B) – </w:t>
            </w:r>
            <w:r w:rsidR="007A6F65" w:rsidRPr="007A6F65">
              <w:rPr>
                <w:rFonts w:eastAsia="Times New Roman" w:cstheme="minorHAnsi"/>
                <w:b/>
                <w:bCs/>
                <w:iCs/>
                <w:sz w:val="20"/>
                <w:szCs w:val="20"/>
              </w:rPr>
              <w:t>Darbų terminas</w:t>
            </w:r>
            <w:r w:rsidR="003673A1">
              <w:rPr>
                <w:rFonts w:eastAsia="Times New Roman" w:cstheme="minorHAnsi"/>
                <w:b/>
                <w:bCs/>
                <w:iCs/>
                <w:sz w:val="20"/>
                <w:szCs w:val="20"/>
              </w:rPr>
              <w:t xml:space="preserve">, </w:t>
            </w:r>
            <w:r w:rsidR="003673A1">
              <w:rPr>
                <w:rFonts w:cstheme="minorHAnsi"/>
                <w:b/>
                <w:bCs/>
                <w:iCs/>
                <w:sz w:val="20"/>
                <w:szCs w:val="20"/>
                <w:lang w:eastAsia="lt-LT"/>
              </w:rPr>
              <w:t>įskaitant statybos užbaigimo procedūras</w:t>
            </w:r>
            <w:r w:rsidR="007A6F65" w:rsidRPr="007A6F65">
              <w:rPr>
                <w:rFonts w:eastAsia="Times New Roman" w:cstheme="minorHAnsi"/>
                <w:b/>
                <w:bCs/>
                <w:iCs/>
                <w:sz w:val="20"/>
                <w:szCs w:val="20"/>
              </w:rPr>
              <w:t xml:space="preserve"> </w:t>
            </w:r>
            <w:r w:rsidRPr="009A6C78">
              <w:rPr>
                <w:rFonts w:eastAsia="Times New Roman" w:cstheme="minorHAnsi"/>
                <w:b/>
                <w:bCs/>
                <w:iCs/>
                <w:sz w:val="20"/>
                <w:szCs w:val="20"/>
              </w:rPr>
              <w:t>(</w:t>
            </w:r>
            <w:r w:rsidR="007A6F65">
              <w:rPr>
                <w:rFonts w:eastAsia="Times New Roman" w:cstheme="minorHAnsi"/>
                <w:b/>
                <w:bCs/>
                <w:iCs/>
                <w:sz w:val="20"/>
                <w:szCs w:val="20"/>
              </w:rPr>
              <w:t>mėnesiais</w:t>
            </w:r>
            <w:r w:rsidRPr="009A6C78">
              <w:rPr>
                <w:rFonts w:eastAsia="Times New Roman" w:cstheme="minorHAnsi"/>
                <w:b/>
                <w:bCs/>
                <w:iCs/>
                <w:sz w:val="20"/>
                <w:szCs w:val="20"/>
              </w:rPr>
              <w:t>)</w:t>
            </w:r>
            <w:r w:rsidR="00107F6D">
              <w:rPr>
                <w:rFonts w:eastAsia="Times New Roman" w:cstheme="minorHAnsi"/>
                <w:b/>
                <w:bCs/>
                <w:iCs/>
                <w:sz w:val="20"/>
                <w:szCs w:val="20"/>
              </w:rPr>
              <w:t>*</w:t>
            </w:r>
            <w:r w:rsidRPr="009A6C78">
              <w:rPr>
                <w:rFonts w:eastAsia="Times New Roman" w:cstheme="minorHAnsi"/>
                <w:b/>
                <w:bCs/>
                <w:iCs/>
                <w:sz w:val="20"/>
                <w:szCs w:val="20"/>
              </w:rPr>
              <w:t xml:space="preserve"> </w:t>
            </w:r>
          </w:p>
        </w:tc>
        <w:tc>
          <w:tcPr>
            <w:tcW w:w="1729" w:type="dxa"/>
            <w:tcBorders>
              <w:top w:val="single" w:sz="4" w:space="0" w:color="auto"/>
              <w:left w:val="single" w:sz="4" w:space="0" w:color="auto"/>
              <w:bottom w:val="single" w:sz="4" w:space="0" w:color="auto"/>
              <w:right w:val="single" w:sz="4" w:space="0" w:color="auto"/>
            </w:tcBorders>
            <w:vAlign w:val="center"/>
          </w:tcPr>
          <w:p w14:paraId="18C0A894" w14:textId="77777777" w:rsidR="004A1E51" w:rsidRPr="009A6C78" w:rsidRDefault="004A1E51" w:rsidP="00EA650C">
            <w:pPr>
              <w:tabs>
                <w:tab w:val="left" w:pos="567"/>
              </w:tabs>
              <w:spacing w:before="60" w:after="60" w:line="240" w:lineRule="auto"/>
              <w:jc w:val="center"/>
              <w:rPr>
                <w:rFonts w:eastAsia="Times New Roman" w:cstheme="minorHAnsi"/>
                <w:b/>
                <w:bCs/>
                <w:iCs/>
                <w:sz w:val="20"/>
                <w:szCs w:val="20"/>
              </w:rPr>
            </w:pPr>
            <w:r w:rsidRPr="009A6C78">
              <w:rPr>
                <w:rFonts w:eastAsia="Times New Roman" w:cstheme="minorHAnsi"/>
                <w:b/>
                <w:bCs/>
                <w:iCs/>
                <w:sz w:val="20"/>
                <w:szCs w:val="20"/>
              </w:rPr>
              <w:t>Balai</w:t>
            </w:r>
          </w:p>
        </w:tc>
      </w:tr>
      <w:tr w:rsidR="00BD72B3" w:rsidRPr="009A6C78" w14:paraId="6E13F282" w14:textId="77777777" w:rsidTr="0B082C55">
        <w:tc>
          <w:tcPr>
            <w:tcW w:w="7905" w:type="dxa"/>
            <w:tcBorders>
              <w:top w:val="single" w:sz="4" w:space="0" w:color="auto"/>
              <w:left w:val="single" w:sz="4" w:space="0" w:color="auto"/>
              <w:bottom w:val="single" w:sz="4" w:space="0" w:color="auto"/>
              <w:right w:val="single" w:sz="4" w:space="0" w:color="auto"/>
            </w:tcBorders>
          </w:tcPr>
          <w:p w14:paraId="270C45DA" w14:textId="3B1E4054" w:rsidR="004A1E51" w:rsidRPr="003673A1" w:rsidDel="00921156" w:rsidRDefault="007A6F65" w:rsidP="0B082C55">
            <w:pPr>
              <w:tabs>
                <w:tab w:val="left" w:pos="567"/>
              </w:tabs>
              <w:spacing w:before="60" w:after="60" w:line="240" w:lineRule="auto"/>
              <w:jc w:val="center"/>
              <w:rPr>
                <w:rFonts w:eastAsia="Times New Roman"/>
                <w:sz w:val="20"/>
                <w:szCs w:val="20"/>
              </w:rPr>
            </w:pPr>
            <w:r w:rsidRPr="0B082C55">
              <w:rPr>
                <w:rFonts w:eastAsia="Times New Roman"/>
                <w:sz w:val="20"/>
                <w:szCs w:val="20"/>
              </w:rPr>
              <w:t>Darbų terminas</w:t>
            </w:r>
            <w:r w:rsidR="003673A1" w:rsidRPr="0B082C55">
              <w:rPr>
                <w:rFonts w:eastAsia="Times New Roman"/>
                <w:sz w:val="20"/>
                <w:szCs w:val="20"/>
              </w:rPr>
              <w:t xml:space="preserve">, </w:t>
            </w:r>
            <w:r w:rsidR="003673A1" w:rsidRPr="0B082C55">
              <w:rPr>
                <w:sz w:val="20"/>
                <w:szCs w:val="20"/>
                <w:lang w:eastAsia="lt-LT"/>
              </w:rPr>
              <w:t>įskaitant statybos užbaigimo procedūras</w:t>
            </w:r>
            <w:r w:rsidRPr="0B082C55">
              <w:rPr>
                <w:rFonts w:eastAsia="Times New Roman"/>
                <w:sz w:val="20"/>
                <w:szCs w:val="20"/>
              </w:rPr>
              <w:t xml:space="preserve"> </w:t>
            </w:r>
            <w:r w:rsidR="006B536F">
              <w:rPr>
                <w:rFonts w:eastAsia="Times New Roman"/>
                <w:sz w:val="20"/>
                <w:szCs w:val="20"/>
              </w:rPr>
              <w:t>11</w:t>
            </w:r>
            <w:r w:rsidRPr="0B082C55">
              <w:rPr>
                <w:rFonts w:eastAsia="Times New Roman"/>
                <w:sz w:val="20"/>
                <w:szCs w:val="20"/>
              </w:rPr>
              <w:t xml:space="preserve"> mėn</w:t>
            </w:r>
            <w:r w:rsidR="00FF3E82" w:rsidRPr="0B082C55">
              <w:rPr>
                <w:rFonts w:eastAsia="Times New Roman"/>
                <w:sz w:val="20"/>
                <w:szCs w:val="20"/>
              </w:rPr>
              <w:t>.</w:t>
            </w:r>
            <w:r w:rsidR="004A1E51" w:rsidRPr="0B082C55">
              <w:rPr>
                <w:rFonts w:eastAsia="Times New Roman"/>
                <w:sz w:val="20"/>
                <w:szCs w:val="20"/>
              </w:rPr>
              <w:t xml:space="preserve"> </w:t>
            </w:r>
          </w:p>
        </w:tc>
        <w:tc>
          <w:tcPr>
            <w:tcW w:w="1729" w:type="dxa"/>
            <w:tcBorders>
              <w:top w:val="single" w:sz="4" w:space="0" w:color="auto"/>
              <w:left w:val="single" w:sz="4" w:space="0" w:color="auto"/>
              <w:bottom w:val="single" w:sz="4" w:space="0" w:color="auto"/>
              <w:right w:val="single" w:sz="4" w:space="0" w:color="auto"/>
            </w:tcBorders>
            <w:vAlign w:val="center"/>
          </w:tcPr>
          <w:p w14:paraId="1CE0907E" w14:textId="259700B4" w:rsidR="004A1E51" w:rsidRPr="009A6C78" w:rsidRDefault="00640150" w:rsidP="00EA650C">
            <w:pPr>
              <w:tabs>
                <w:tab w:val="left" w:pos="567"/>
              </w:tabs>
              <w:spacing w:before="60" w:after="60" w:line="240" w:lineRule="auto"/>
              <w:jc w:val="center"/>
              <w:rPr>
                <w:rFonts w:eastAsia="Times New Roman" w:cstheme="minorHAnsi"/>
                <w:iCs/>
                <w:sz w:val="20"/>
                <w:szCs w:val="20"/>
              </w:rPr>
            </w:pPr>
            <w:r>
              <w:rPr>
                <w:rFonts w:eastAsia="Times New Roman" w:cstheme="minorHAnsi"/>
                <w:iCs/>
                <w:sz w:val="20"/>
                <w:szCs w:val="20"/>
              </w:rPr>
              <w:t>2</w:t>
            </w:r>
          </w:p>
        </w:tc>
      </w:tr>
      <w:tr w:rsidR="00BD72B3" w:rsidRPr="009A6C78" w14:paraId="4331099C" w14:textId="77777777" w:rsidTr="0B082C55">
        <w:tc>
          <w:tcPr>
            <w:tcW w:w="7905" w:type="dxa"/>
            <w:tcBorders>
              <w:top w:val="single" w:sz="4" w:space="0" w:color="auto"/>
              <w:left w:val="single" w:sz="4" w:space="0" w:color="auto"/>
              <w:bottom w:val="single" w:sz="4" w:space="0" w:color="auto"/>
              <w:right w:val="single" w:sz="4" w:space="0" w:color="auto"/>
            </w:tcBorders>
          </w:tcPr>
          <w:p w14:paraId="0E4B6309" w14:textId="64215D41" w:rsidR="004A1E51" w:rsidRPr="003673A1" w:rsidRDefault="007A6F65" w:rsidP="00EA650C">
            <w:pPr>
              <w:tabs>
                <w:tab w:val="left" w:pos="567"/>
              </w:tabs>
              <w:spacing w:before="60" w:after="60" w:line="240" w:lineRule="auto"/>
              <w:jc w:val="center"/>
              <w:rPr>
                <w:rFonts w:eastAsia="Times New Roman" w:cstheme="minorHAnsi"/>
                <w:iCs/>
                <w:sz w:val="20"/>
                <w:szCs w:val="20"/>
              </w:rPr>
            </w:pPr>
            <w:r w:rsidRPr="003673A1">
              <w:rPr>
                <w:rFonts w:eastAsia="Times New Roman" w:cstheme="minorHAnsi"/>
                <w:iCs/>
                <w:sz w:val="20"/>
                <w:szCs w:val="20"/>
              </w:rPr>
              <w:t>Darbų terminas</w:t>
            </w:r>
            <w:r w:rsidR="003673A1" w:rsidRPr="003673A1">
              <w:rPr>
                <w:rFonts w:eastAsia="Times New Roman" w:cstheme="minorHAnsi"/>
                <w:iCs/>
                <w:sz w:val="20"/>
                <w:szCs w:val="20"/>
              </w:rPr>
              <w:t xml:space="preserve">, </w:t>
            </w:r>
            <w:r w:rsidR="003673A1" w:rsidRPr="003673A1">
              <w:rPr>
                <w:rFonts w:cstheme="minorHAnsi"/>
                <w:iCs/>
                <w:sz w:val="20"/>
                <w:szCs w:val="20"/>
                <w:lang w:eastAsia="lt-LT"/>
              </w:rPr>
              <w:t>įskaitant statybos užbaigimo procedūras</w:t>
            </w:r>
            <w:r w:rsidRPr="003673A1">
              <w:rPr>
                <w:rFonts w:eastAsia="Times New Roman" w:cstheme="minorHAnsi"/>
                <w:iCs/>
                <w:sz w:val="20"/>
                <w:szCs w:val="20"/>
              </w:rPr>
              <w:t xml:space="preserve"> </w:t>
            </w:r>
            <w:r w:rsidR="006B536F">
              <w:rPr>
                <w:rFonts w:eastAsia="Times New Roman" w:cstheme="minorHAnsi"/>
                <w:iCs/>
                <w:sz w:val="20"/>
                <w:szCs w:val="20"/>
              </w:rPr>
              <w:t>10</w:t>
            </w:r>
            <w:r w:rsidRPr="003673A1">
              <w:rPr>
                <w:rFonts w:eastAsia="Times New Roman" w:cstheme="minorHAnsi"/>
                <w:iCs/>
                <w:sz w:val="20"/>
                <w:szCs w:val="20"/>
              </w:rPr>
              <w:t xml:space="preserve"> mėn</w:t>
            </w:r>
            <w:r w:rsidR="00FF3E82" w:rsidRPr="003673A1">
              <w:rPr>
                <w:rFonts w:eastAsia="Times New Roman" w:cstheme="minorHAnsi"/>
                <w:i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7D2302D8" w14:textId="671831A4" w:rsidR="004A1E51" w:rsidRPr="009A6C78" w:rsidRDefault="00454D7D" w:rsidP="00EA650C">
            <w:pPr>
              <w:tabs>
                <w:tab w:val="left" w:pos="567"/>
              </w:tabs>
              <w:spacing w:before="60" w:after="60" w:line="240" w:lineRule="auto"/>
              <w:jc w:val="center"/>
              <w:rPr>
                <w:rFonts w:eastAsia="Times New Roman" w:cstheme="minorHAnsi"/>
                <w:iCs/>
                <w:sz w:val="20"/>
                <w:szCs w:val="20"/>
              </w:rPr>
            </w:pPr>
            <w:r>
              <w:rPr>
                <w:rFonts w:eastAsia="Times New Roman" w:cstheme="minorHAnsi"/>
                <w:iCs/>
                <w:sz w:val="20"/>
                <w:szCs w:val="20"/>
              </w:rPr>
              <w:t>4</w:t>
            </w:r>
          </w:p>
        </w:tc>
      </w:tr>
      <w:tr w:rsidR="00172C3A" w:rsidRPr="009A6C78" w14:paraId="1726A30C" w14:textId="77777777" w:rsidTr="0B082C55">
        <w:tc>
          <w:tcPr>
            <w:tcW w:w="7905" w:type="dxa"/>
            <w:tcBorders>
              <w:top w:val="single" w:sz="4" w:space="0" w:color="auto"/>
              <w:left w:val="single" w:sz="4" w:space="0" w:color="auto"/>
              <w:bottom w:val="single" w:sz="4" w:space="0" w:color="auto"/>
              <w:right w:val="single" w:sz="4" w:space="0" w:color="auto"/>
            </w:tcBorders>
          </w:tcPr>
          <w:p w14:paraId="49B5187B" w14:textId="7024ED79" w:rsidR="00172C3A" w:rsidRPr="003673A1" w:rsidRDefault="00172C3A" w:rsidP="00EA650C">
            <w:pPr>
              <w:tabs>
                <w:tab w:val="left" w:pos="567"/>
              </w:tabs>
              <w:spacing w:before="60" w:after="60" w:line="240" w:lineRule="auto"/>
              <w:jc w:val="center"/>
              <w:rPr>
                <w:rFonts w:eastAsia="Times New Roman" w:cstheme="minorHAnsi"/>
                <w:iCs/>
                <w:sz w:val="20"/>
                <w:szCs w:val="20"/>
              </w:rPr>
            </w:pPr>
            <w:r w:rsidRPr="003673A1">
              <w:rPr>
                <w:rFonts w:eastAsia="Times New Roman" w:cstheme="minorHAnsi"/>
                <w:iCs/>
                <w:sz w:val="20"/>
                <w:szCs w:val="20"/>
              </w:rPr>
              <w:t xml:space="preserve">Darbų terminas, </w:t>
            </w:r>
            <w:r w:rsidRPr="003673A1">
              <w:rPr>
                <w:rFonts w:cstheme="minorHAnsi"/>
                <w:iCs/>
                <w:sz w:val="20"/>
                <w:szCs w:val="20"/>
                <w:lang w:eastAsia="lt-LT"/>
              </w:rPr>
              <w:t>įskaitant statybos užbaigimo procedūras</w:t>
            </w:r>
            <w:r w:rsidRPr="003673A1">
              <w:rPr>
                <w:rFonts w:eastAsia="Times New Roman" w:cstheme="minorHAnsi"/>
                <w:iCs/>
                <w:sz w:val="20"/>
                <w:szCs w:val="20"/>
              </w:rPr>
              <w:t xml:space="preserve"> </w:t>
            </w:r>
            <w:r w:rsidR="006B536F">
              <w:rPr>
                <w:rFonts w:eastAsia="Times New Roman" w:cstheme="minorHAnsi"/>
                <w:iCs/>
                <w:sz w:val="20"/>
                <w:szCs w:val="20"/>
              </w:rPr>
              <w:t>9</w:t>
            </w:r>
            <w:r w:rsidRPr="003673A1">
              <w:rPr>
                <w:rFonts w:eastAsia="Times New Roman" w:cstheme="minorHAnsi"/>
                <w:iCs/>
                <w:sz w:val="20"/>
                <w:szCs w:val="20"/>
              </w:rPr>
              <w:t xml:space="preserve"> mėn.</w:t>
            </w:r>
          </w:p>
        </w:tc>
        <w:tc>
          <w:tcPr>
            <w:tcW w:w="1729" w:type="dxa"/>
            <w:tcBorders>
              <w:top w:val="single" w:sz="4" w:space="0" w:color="auto"/>
              <w:left w:val="single" w:sz="4" w:space="0" w:color="auto"/>
              <w:bottom w:val="single" w:sz="4" w:space="0" w:color="auto"/>
              <w:right w:val="single" w:sz="4" w:space="0" w:color="auto"/>
            </w:tcBorders>
            <w:vAlign w:val="center"/>
          </w:tcPr>
          <w:p w14:paraId="437914FA" w14:textId="6AC67592" w:rsidR="00172C3A" w:rsidRPr="009A6C78" w:rsidRDefault="00172C3A" w:rsidP="00EA650C">
            <w:pPr>
              <w:tabs>
                <w:tab w:val="left" w:pos="567"/>
              </w:tabs>
              <w:spacing w:before="60" w:after="60" w:line="240" w:lineRule="auto"/>
              <w:jc w:val="center"/>
              <w:rPr>
                <w:rFonts w:eastAsia="Times New Roman" w:cstheme="minorHAnsi"/>
                <w:iCs/>
                <w:sz w:val="20"/>
                <w:szCs w:val="20"/>
              </w:rPr>
            </w:pPr>
            <w:r>
              <w:rPr>
                <w:rFonts w:eastAsia="Times New Roman" w:cstheme="minorHAnsi"/>
                <w:iCs/>
                <w:sz w:val="20"/>
                <w:szCs w:val="20"/>
              </w:rPr>
              <w:t>6</w:t>
            </w:r>
          </w:p>
        </w:tc>
      </w:tr>
      <w:bookmarkEnd w:id="2"/>
    </w:tbl>
    <w:p w14:paraId="4FC1A37E" w14:textId="6AB870A6" w:rsidR="00533036" w:rsidRPr="00FF01D5" w:rsidRDefault="00533036" w:rsidP="00BA237A">
      <w:pPr>
        <w:shd w:val="clear" w:color="auto" w:fill="FFFFFF" w:themeFill="background1"/>
        <w:tabs>
          <w:tab w:val="left" w:pos="0"/>
        </w:tabs>
        <w:spacing w:before="60" w:after="60"/>
        <w:ind w:right="-270"/>
        <w:contextualSpacing/>
        <w:jc w:val="both"/>
        <w:rPr>
          <w:rFonts w:eastAsiaTheme="minorEastAsia" w:cstheme="minorHAnsi"/>
          <w:sz w:val="20"/>
          <w:szCs w:val="20"/>
          <w:shd w:val="clear" w:color="auto" w:fill="E6E6E6"/>
        </w:rPr>
      </w:pPr>
    </w:p>
    <w:p w14:paraId="7DFFE90C" w14:textId="77777777" w:rsidR="00147D5A" w:rsidRPr="00FC5298" w:rsidRDefault="00147D5A" w:rsidP="00147D5A">
      <w:pPr>
        <w:ind w:right="-360"/>
        <w:rPr>
          <w:rFonts w:cstheme="minorHAnsi"/>
          <w:b/>
          <w:bCs/>
          <w:sz w:val="20"/>
          <w:szCs w:val="20"/>
        </w:rPr>
      </w:pPr>
      <w:r w:rsidRPr="00FC5298">
        <w:rPr>
          <w:rFonts w:cstheme="minorHAnsi"/>
          <w:sz w:val="20"/>
          <w:szCs w:val="20"/>
        </w:rPr>
        <w:t>8.3.</w:t>
      </w:r>
      <w:r w:rsidRPr="00FC5298">
        <w:rPr>
          <w:rFonts w:cstheme="minorHAnsi"/>
          <w:b/>
          <w:bCs/>
          <w:sz w:val="20"/>
          <w:szCs w:val="20"/>
        </w:rPr>
        <w:t xml:space="preserve"> Kriterijaus (</w:t>
      </w:r>
      <w:r>
        <w:rPr>
          <w:rFonts w:cstheme="minorHAnsi"/>
          <w:b/>
          <w:bCs/>
          <w:sz w:val="20"/>
          <w:szCs w:val="20"/>
        </w:rPr>
        <w:t>C</w:t>
      </w:r>
      <w:r w:rsidRPr="00FC5298">
        <w:rPr>
          <w:rFonts w:cstheme="minorHAnsi"/>
          <w:b/>
          <w:bCs/>
          <w:sz w:val="20"/>
          <w:szCs w:val="20"/>
        </w:rPr>
        <w:t xml:space="preserve">) balai bus skiriami tiesiogiai (duomenys imami iš Tiekėjo / Rangovo pateikto VDI pranešimo / rašto), be lyginamojo koeficiento (maksimalus balas </w:t>
      </w:r>
      <w:r>
        <w:rPr>
          <w:rFonts w:cstheme="minorHAnsi"/>
          <w:b/>
          <w:bCs/>
          <w:sz w:val="20"/>
          <w:szCs w:val="20"/>
        </w:rPr>
        <w:t>1</w:t>
      </w:r>
      <w:r w:rsidRPr="00FC5298">
        <w:rPr>
          <w:rFonts w:cstheme="minorHAnsi"/>
          <w:b/>
          <w:bCs/>
          <w:sz w:val="20"/>
          <w:szCs w:val="20"/>
        </w:rPr>
        <w:t>)</w:t>
      </w:r>
    </w:p>
    <w:tbl>
      <w:tblPr>
        <w:tblW w:w="9629" w:type="dxa"/>
        <w:tblLayout w:type="fixed"/>
        <w:tblLook w:val="04A0" w:firstRow="1" w:lastRow="0" w:firstColumn="1" w:lastColumn="0" w:noHBand="0" w:noVBand="1"/>
      </w:tblPr>
      <w:tblGrid>
        <w:gridCol w:w="7666"/>
        <w:gridCol w:w="1963"/>
      </w:tblGrid>
      <w:tr w:rsidR="00EA6F5B" w:rsidRPr="00EA6F5B" w14:paraId="1336E534" w14:textId="77777777" w:rsidTr="6B2E1EF0">
        <w:trPr>
          <w:trHeight w:val="300"/>
        </w:trPr>
        <w:tc>
          <w:tcPr>
            <w:tcW w:w="766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5D9C6EA3" w14:textId="63B1732D" w:rsidR="00147D5A" w:rsidRPr="00EA6F5B" w:rsidRDefault="29B3490E" w:rsidP="6B2E1EF0">
            <w:pPr>
              <w:ind w:right="-360"/>
              <w:rPr>
                <w:b/>
                <w:bCs/>
                <w:sz w:val="20"/>
                <w:szCs w:val="20"/>
              </w:rPr>
            </w:pPr>
            <w:r w:rsidRPr="00EA6F5B">
              <w:rPr>
                <w:b/>
                <w:bCs/>
                <w:sz w:val="20"/>
                <w:szCs w:val="20"/>
              </w:rPr>
              <w:t xml:space="preserve">Trečiasis </w:t>
            </w:r>
            <w:r w:rsidR="00147D5A" w:rsidRPr="00EA6F5B">
              <w:rPr>
                <w:b/>
                <w:bCs/>
                <w:sz w:val="20"/>
                <w:szCs w:val="20"/>
              </w:rPr>
              <w:t>kriterijus (C) – Darbuotojų saugos ir sveikatos (toliau – DSS) teisės aktų pažeidimai</w:t>
            </w:r>
          </w:p>
        </w:tc>
        <w:tc>
          <w:tcPr>
            <w:tcW w:w="196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554D5807" w14:textId="77777777" w:rsidR="00147D5A" w:rsidRPr="00EA6F5B" w:rsidRDefault="00147D5A" w:rsidP="00EA650C">
            <w:pPr>
              <w:ind w:right="-360"/>
              <w:jc w:val="center"/>
              <w:rPr>
                <w:rFonts w:cstheme="minorHAnsi"/>
                <w:b/>
                <w:bCs/>
                <w:sz w:val="20"/>
                <w:szCs w:val="20"/>
              </w:rPr>
            </w:pPr>
            <w:r w:rsidRPr="00EA6F5B">
              <w:rPr>
                <w:rFonts w:cstheme="minorHAnsi"/>
                <w:b/>
                <w:bCs/>
                <w:sz w:val="20"/>
                <w:szCs w:val="20"/>
              </w:rPr>
              <w:t>Balai</w:t>
            </w:r>
          </w:p>
        </w:tc>
      </w:tr>
      <w:tr w:rsidR="00EA6F5B" w:rsidRPr="00EA6F5B" w14:paraId="22E2A5F8" w14:textId="77777777" w:rsidTr="6B2E1EF0">
        <w:trPr>
          <w:trHeight w:val="300"/>
        </w:trPr>
        <w:tc>
          <w:tcPr>
            <w:tcW w:w="766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3C03BB81" w14:textId="77777777" w:rsidR="00147D5A" w:rsidRPr="00EA6F5B" w:rsidRDefault="00147D5A" w:rsidP="00EA650C">
            <w:pPr>
              <w:ind w:right="-360"/>
              <w:rPr>
                <w:rFonts w:cstheme="minorHAnsi"/>
                <w:sz w:val="20"/>
                <w:szCs w:val="20"/>
              </w:rPr>
            </w:pPr>
            <w:r w:rsidRPr="00EA6F5B">
              <w:rPr>
                <w:rFonts w:cstheme="minorHAnsi"/>
                <w:sz w:val="20"/>
                <w:szCs w:val="20"/>
              </w:rPr>
              <w:t>Fiksuotų DSS teisės aktų pažeidimų skaičius 1</w:t>
            </w:r>
          </w:p>
        </w:tc>
        <w:tc>
          <w:tcPr>
            <w:tcW w:w="196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63D25DE" w14:textId="77777777" w:rsidR="00147D5A" w:rsidRPr="00EA6F5B" w:rsidRDefault="00147D5A" w:rsidP="00EA650C">
            <w:pPr>
              <w:ind w:right="-360"/>
              <w:jc w:val="center"/>
              <w:rPr>
                <w:rFonts w:cstheme="minorHAnsi"/>
                <w:sz w:val="20"/>
                <w:szCs w:val="20"/>
              </w:rPr>
            </w:pPr>
            <w:r w:rsidRPr="00EA6F5B">
              <w:rPr>
                <w:rFonts w:cstheme="minorHAnsi"/>
                <w:sz w:val="20"/>
                <w:szCs w:val="20"/>
              </w:rPr>
              <w:t>0</w:t>
            </w:r>
          </w:p>
        </w:tc>
      </w:tr>
      <w:tr w:rsidR="00147D5A" w:rsidRPr="00EA6F5B" w14:paraId="706F17E9" w14:textId="77777777" w:rsidTr="6B2E1EF0">
        <w:trPr>
          <w:trHeight w:val="300"/>
        </w:trPr>
        <w:tc>
          <w:tcPr>
            <w:tcW w:w="766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6C05D95B" w14:textId="77777777" w:rsidR="00147D5A" w:rsidRPr="00EA6F5B" w:rsidRDefault="00147D5A" w:rsidP="00EA650C">
            <w:pPr>
              <w:ind w:right="-360"/>
              <w:rPr>
                <w:rFonts w:cstheme="minorHAnsi"/>
                <w:sz w:val="20"/>
                <w:szCs w:val="20"/>
              </w:rPr>
            </w:pPr>
            <w:r w:rsidRPr="00EA6F5B">
              <w:rPr>
                <w:rFonts w:cstheme="minorHAnsi"/>
                <w:sz w:val="20"/>
                <w:szCs w:val="20"/>
              </w:rPr>
              <w:t>Fiksuotų DSS teisės aktų pažeidimų skaičius = 0</w:t>
            </w:r>
          </w:p>
        </w:tc>
        <w:tc>
          <w:tcPr>
            <w:tcW w:w="196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7707617" w14:textId="77777777" w:rsidR="00147D5A" w:rsidRPr="00EA6F5B" w:rsidRDefault="00147D5A" w:rsidP="00EA650C">
            <w:pPr>
              <w:ind w:right="-360"/>
              <w:jc w:val="center"/>
              <w:rPr>
                <w:rFonts w:cstheme="minorHAnsi"/>
                <w:sz w:val="20"/>
                <w:szCs w:val="20"/>
              </w:rPr>
            </w:pPr>
            <w:r w:rsidRPr="00EA6F5B">
              <w:rPr>
                <w:rFonts w:cstheme="minorHAnsi"/>
                <w:sz w:val="20"/>
                <w:szCs w:val="20"/>
              </w:rPr>
              <w:t>1</w:t>
            </w:r>
          </w:p>
        </w:tc>
      </w:tr>
    </w:tbl>
    <w:p w14:paraId="70F53164" w14:textId="77777777" w:rsidR="00147D5A" w:rsidRPr="00EA6F5B" w:rsidRDefault="00147D5A" w:rsidP="00147D5A">
      <w:pPr>
        <w:ind w:right="-360"/>
        <w:rPr>
          <w:rFonts w:cstheme="minorHAnsi"/>
          <w:sz w:val="20"/>
          <w:szCs w:val="20"/>
        </w:rPr>
      </w:pPr>
    </w:p>
    <w:p w14:paraId="0974AAF7" w14:textId="77777777" w:rsidR="00147D5A" w:rsidRPr="00EA6F5B" w:rsidRDefault="00147D5A" w:rsidP="00147D5A">
      <w:pPr>
        <w:ind w:right="-360"/>
        <w:rPr>
          <w:rFonts w:cstheme="minorHAnsi"/>
          <w:b/>
          <w:bCs/>
          <w:sz w:val="20"/>
          <w:szCs w:val="20"/>
        </w:rPr>
      </w:pPr>
      <w:r w:rsidRPr="00EA6F5B">
        <w:rPr>
          <w:rFonts w:cstheme="minorHAnsi"/>
          <w:sz w:val="20"/>
          <w:szCs w:val="20"/>
        </w:rPr>
        <w:t>8.4.</w:t>
      </w:r>
      <w:r w:rsidRPr="00EA6F5B">
        <w:rPr>
          <w:rFonts w:cstheme="minorHAnsi"/>
          <w:b/>
          <w:bCs/>
          <w:sz w:val="20"/>
          <w:szCs w:val="20"/>
        </w:rPr>
        <w:t xml:space="preserve"> Kriterijaus (D) balai bus skiriami tiesiogiai (duomenys imami iš Tiekėjo / Rangovo pateikto VDI pranešimo / rašto), be lyginamojo koeficiento (maksimalus balas 1)</w:t>
      </w:r>
    </w:p>
    <w:tbl>
      <w:tblPr>
        <w:tblW w:w="9629" w:type="dxa"/>
        <w:tblLayout w:type="fixed"/>
        <w:tblLook w:val="04A0" w:firstRow="1" w:lastRow="0" w:firstColumn="1" w:lastColumn="0" w:noHBand="0" w:noVBand="1"/>
      </w:tblPr>
      <w:tblGrid>
        <w:gridCol w:w="7666"/>
        <w:gridCol w:w="1963"/>
      </w:tblGrid>
      <w:tr w:rsidR="00EA6F5B" w:rsidRPr="00EA6F5B" w14:paraId="6AA6026B" w14:textId="77777777" w:rsidTr="6B2E1EF0">
        <w:trPr>
          <w:trHeight w:val="300"/>
        </w:trPr>
        <w:tc>
          <w:tcPr>
            <w:tcW w:w="766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5BCF6CEB" w14:textId="691290AC" w:rsidR="00147D5A" w:rsidRPr="00EA6F5B" w:rsidRDefault="349A603F" w:rsidP="6B2E1EF0">
            <w:pPr>
              <w:ind w:right="-360"/>
              <w:rPr>
                <w:b/>
                <w:bCs/>
                <w:sz w:val="20"/>
                <w:szCs w:val="20"/>
              </w:rPr>
            </w:pPr>
            <w:r w:rsidRPr="00EA6F5B">
              <w:rPr>
                <w:b/>
                <w:bCs/>
                <w:sz w:val="20"/>
                <w:szCs w:val="20"/>
              </w:rPr>
              <w:t xml:space="preserve">Ketvirtasis </w:t>
            </w:r>
            <w:r w:rsidR="00147D5A" w:rsidRPr="00EA6F5B">
              <w:rPr>
                <w:b/>
                <w:bCs/>
                <w:sz w:val="20"/>
                <w:szCs w:val="20"/>
              </w:rPr>
              <w:t>kriterijus (D) – Nelaimingi atsitikimai</w:t>
            </w:r>
          </w:p>
        </w:tc>
        <w:tc>
          <w:tcPr>
            <w:tcW w:w="196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F924D23" w14:textId="77777777" w:rsidR="00147D5A" w:rsidRPr="00EA6F5B" w:rsidRDefault="00147D5A" w:rsidP="00EA650C">
            <w:pPr>
              <w:ind w:right="-360"/>
              <w:jc w:val="center"/>
              <w:rPr>
                <w:rFonts w:cstheme="minorHAnsi"/>
                <w:b/>
                <w:bCs/>
                <w:sz w:val="20"/>
                <w:szCs w:val="20"/>
              </w:rPr>
            </w:pPr>
            <w:r w:rsidRPr="00EA6F5B">
              <w:rPr>
                <w:rFonts w:cstheme="minorHAnsi"/>
                <w:b/>
                <w:bCs/>
                <w:sz w:val="20"/>
                <w:szCs w:val="20"/>
              </w:rPr>
              <w:t>Balai</w:t>
            </w:r>
          </w:p>
        </w:tc>
      </w:tr>
      <w:tr w:rsidR="00147D5A" w:rsidRPr="00FC5298" w14:paraId="2EF53A7E" w14:textId="77777777" w:rsidTr="6B2E1EF0">
        <w:trPr>
          <w:trHeight w:val="300"/>
        </w:trPr>
        <w:tc>
          <w:tcPr>
            <w:tcW w:w="766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7DB7A061" w14:textId="77777777" w:rsidR="00147D5A" w:rsidRPr="00FC5298" w:rsidRDefault="00147D5A" w:rsidP="00EA650C">
            <w:pPr>
              <w:ind w:right="-360"/>
              <w:rPr>
                <w:rFonts w:cstheme="minorHAnsi"/>
                <w:sz w:val="20"/>
                <w:szCs w:val="20"/>
              </w:rPr>
            </w:pPr>
            <w:r w:rsidRPr="00FC5298">
              <w:rPr>
                <w:rFonts w:cstheme="minorHAnsi"/>
                <w:sz w:val="20"/>
                <w:szCs w:val="20"/>
              </w:rPr>
              <w:t>Mirtinų ir / ar sunkių nelaimingų atsitikimų skaičius 1</w:t>
            </w:r>
          </w:p>
        </w:tc>
        <w:tc>
          <w:tcPr>
            <w:tcW w:w="196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08909D75" w14:textId="77777777" w:rsidR="00147D5A" w:rsidRPr="00FC5298" w:rsidRDefault="00147D5A" w:rsidP="00EA650C">
            <w:pPr>
              <w:ind w:right="-360"/>
              <w:jc w:val="center"/>
              <w:rPr>
                <w:rFonts w:cstheme="minorHAnsi"/>
                <w:sz w:val="20"/>
                <w:szCs w:val="20"/>
              </w:rPr>
            </w:pPr>
            <w:r>
              <w:rPr>
                <w:rFonts w:cstheme="minorHAnsi"/>
                <w:sz w:val="20"/>
                <w:szCs w:val="20"/>
              </w:rPr>
              <w:t>0</w:t>
            </w:r>
          </w:p>
        </w:tc>
      </w:tr>
      <w:tr w:rsidR="00147D5A" w:rsidRPr="00FC5298" w14:paraId="3000D01E" w14:textId="77777777" w:rsidTr="6B2E1EF0">
        <w:trPr>
          <w:trHeight w:val="300"/>
        </w:trPr>
        <w:tc>
          <w:tcPr>
            <w:tcW w:w="766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10D1B4F7" w14:textId="77777777" w:rsidR="00147D5A" w:rsidRPr="00FC5298" w:rsidRDefault="00147D5A" w:rsidP="00EA650C">
            <w:pPr>
              <w:ind w:right="-360"/>
              <w:rPr>
                <w:rFonts w:cstheme="minorHAnsi"/>
                <w:sz w:val="20"/>
                <w:szCs w:val="20"/>
              </w:rPr>
            </w:pPr>
            <w:r w:rsidRPr="00FC5298">
              <w:rPr>
                <w:rFonts w:cstheme="minorHAnsi"/>
                <w:sz w:val="20"/>
                <w:szCs w:val="20"/>
              </w:rPr>
              <w:t>Mirtinų ir / ar sunkių nelaimingų atsitikimų skaičius = 0</w:t>
            </w:r>
          </w:p>
        </w:tc>
        <w:tc>
          <w:tcPr>
            <w:tcW w:w="196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58181C41" w14:textId="77777777" w:rsidR="00147D5A" w:rsidRPr="00FC5298" w:rsidRDefault="00147D5A" w:rsidP="00EA650C">
            <w:pPr>
              <w:ind w:right="-360"/>
              <w:jc w:val="center"/>
              <w:rPr>
                <w:rFonts w:cstheme="minorHAnsi"/>
                <w:sz w:val="20"/>
                <w:szCs w:val="20"/>
              </w:rPr>
            </w:pPr>
            <w:r>
              <w:rPr>
                <w:rFonts w:cstheme="minorHAnsi"/>
                <w:sz w:val="20"/>
                <w:szCs w:val="20"/>
              </w:rPr>
              <w:t>1</w:t>
            </w:r>
          </w:p>
        </w:tc>
      </w:tr>
    </w:tbl>
    <w:p w14:paraId="50311EE6" w14:textId="77777777" w:rsidR="00533036" w:rsidRPr="009A6C78" w:rsidRDefault="00533036" w:rsidP="006A0CD0">
      <w:pPr>
        <w:ind w:right="-360"/>
        <w:rPr>
          <w:rFonts w:cstheme="minorHAnsi"/>
          <w:sz w:val="20"/>
          <w:szCs w:val="20"/>
        </w:rPr>
      </w:pPr>
    </w:p>
    <w:sectPr w:rsidR="00533036" w:rsidRPr="009A6C7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0576" w14:textId="77777777" w:rsidR="00187176" w:rsidRDefault="00187176" w:rsidP="00FB6E91">
      <w:pPr>
        <w:spacing w:after="0" w:line="240" w:lineRule="auto"/>
      </w:pPr>
      <w:r>
        <w:separator/>
      </w:r>
    </w:p>
  </w:endnote>
  <w:endnote w:type="continuationSeparator" w:id="0">
    <w:p w14:paraId="1F024A83" w14:textId="77777777" w:rsidR="00187176" w:rsidRDefault="00187176" w:rsidP="00FB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F189" w14:textId="77777777" w:rsidR="00187176" w:rsidRDefault="00187176" w:rsidP="00FB6E91">
      <w:pPr>
        <w:spacing w:after="0" w:line="240" w:lineRule="auto"/>
      </w:pPr>
      <w:r>
        <w:separator/>
      </w:r>
    </w:p>
  </w:footnote>
  <w:footnote w:type="continuationSeparator" w:id="0">
    <w:p w14:paraId="6D8FD0B1" w14:textId="77777777" w:rsidR="00187176" w:rsidRDefault="00187176" w:rsidP="00FB6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E751" w14:textId="64E88B62" w:rsidR="00FB6E91" w:rsidRDefault="00FB6E91" w:rsidP="00FB6E91">
    <w:pPr>
      <w:pStyle w:val="Header"/>
      <w:jc w:val="center"/>
    </w:pPr>
    <w:r>
      <w:rPr>
        <w:noProof/>
      </w:rPr>
      <w:drawing>
        <wp:inline distT="0" distB="0" distL="0" distR="0" wp14:anchorId="48382B22" wp14:editId="2DDB8CD9">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5D8B"/>
    <w:multiLevelType w:val="multilevel"/>
    <w:tmpl w:val="A850B02A"/>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1512" w:hanging="432"/>
      </w:pPr>
      <w:rPr>
        <w:b w:val="0"/>
        <w:bCs w:val="0"/>
      </w:rPr>
    </w:lvl>
    <w:lvl w:ilvl="2">
      <w:start w:val="1"/>
      <w:numFmt w:val="decimal"/>
      <w:lvlText w:val="%1.%2.%3."/>
      <w:lvlJc w:val="left"/>
      <w:pPr>
        <w:ind w:left="50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6C3EB0"/>
    <w:multiLevelType w:val="multilevel"/>
    <w:tmpl w:val="F250A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E7476C"/>
    <w:multiLevelType w:val="multilevel"/>
    <w:tmpl w:val="9DFAF4F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1931" w:hanging="108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291" w:hanging="1440"/>
      </w:pPr>
      <w:rPr>
        <w:rFonts w:hint="default"/>
        <w:b w:val="0"/>
      </w:rPr>
    </w:lvl>
  </w:abstractNum>
  <w:abstractNum w:abstractNumId="3" w15:restartNumberingAfterBreak="0">
    <w:nsid w:val="5B661E8D"/>
    <w:multiLevelType w:val="multilevel"/>
    <w:tmpl w:val="8FF423D8"/>
    <w:lvl w:ilvl="0">
      <w:start w:val="2"/>
      <w:numFmt w:val="decimal"/>
      <w:lvlText w:val="%1."/>
      <w:lvlJc w:val="left"/>
      <w:pPr>
        <w:ind w:left="360" w:hanging="360"/>
      </w:pPr>
      <w:rPr>
        <w:rFonts w:ascii="Times New Roman" w:eastAsia="Times New Roman" w:hAnsi="Times New Roman" w:cs="Times New Roman" w:hint="default"/>
      </w:rPr>
    </w:lvl>
    <w:lvl w:ilvl="1">
      <w:start w:val="2"/>
      <w:numFmt w:val="decimal"/>
      <w:lvlText w:val="%1.%2."/>
      <w:lvlJc w:val="left"/>
      <w:pPr>
        <w:ind w:left="786" w:hanging="360"/>
      </w:pPr>
      <w:rPr>
        <w:rFonts w:asciiTheme="minorHAnsi" w:eastAsia="Times New Roman" w:hAnsiTheme="minorHAnsi" w:cstheme="minorHAnsi"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num w:numId="1" w16cid:durableId="182525296">
    <w:abstractNumId w:val="0"/>
  </w:num>
  <w:num w:numId="2" w16cid:durableId="13655212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4470589">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07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91"/>
    <w:rsid w:val="0006001E"/>
    <w:rsid w:val="000726D3"/>
    <w:rsid w:val="000769E1"/>
    <w:rsid w:val="000916B3"/>
    <w:rsid w:val="000A6043"/>
    <w:rsid w:val="000B2581"/>
    <w:rsid w:val="000C4CD1"/>
    <w:rsid w:val="000D2C2C"/>
    <w:rsid w:val="001042D5"/>
    <w:rsid w:val="00107F6D"/>
    <w:rsid w:val="001334EE"/>
    <w:rsid w:val="00136394"/>
    <w:rsid w:val="00147D5A"/>
    <w:rsid w:val="00160BD6"/>
    <w:rsid w:val="001611A6"/>
    <w:rsid w:val="00172C3A"/>
    <w:rsid w:val="00173D84"/>
    <w:rsid w:val="001854FA"/>
    <w:rsid w:val="00187176"/>
    <w:rsid w:val="00187689"/>
    <w:rsid w:val="001C38BE"/>
    <w:rsid w:val="001E3613"/>
    <w:rsid w:val="001F1AFA"/>
    <w:rsid w:val="001F7794"/>
    <w:rsid w:val="00226F40"/>
    <w:rsid w:val="00265F87"/>
    <w:rsid w:val="002666CF"/>
    <w:rsid w:val="00267B46"/>
    <w:rsid w:val="00273CC9"/>
    <w:rsid w:val="0029079C"/>
    <w:rsid w:val="002D0885"/>
    <w:rsid w:val="002D53AA"/>
    <w:rsid w:val="00320E37"/>
    <w:rsid w:val="003336B5"/>
    <w:rsid w:val="00337ABB"/>
    <w:rsid w:val="003673A1"/>
    <w:rsid w:val="0038455A"/>
    <w:rsid w:val="00391C82"/>
    <w:rsid w:val="00391FF6"/>
    <w:rsid w:val="00393F19"/>
    <w:rsid w:val="003948D9"/>
    <w:rsid w:val="003C72C2"/>
    <w:rsid w:val="003E087B"/>
    <w:rsid w:val="003E4CDA"/>
    <w:rsid w:val="00401A95"/>
    <w:rsid w:val="004054CB"/>
    <w:rsid w:val="00406A43"/>
    <w:rsid w:val="0040752A"/>
    <w:rsid w:val="00420FB0"/>
    <w:rsid w:val="00454D7D"/>
    <w:rsid w:val="004732CF"/>
    <w:rsid w:val="00480FBD"/>
    <w:rsid w:val="0048140C"/>
    <w:rsid w:val="004A1E51"/>
    <w:rsid w:val="004C2397"/>
    <w:rsid w:val="004C5045"/>
    <w:rsid w:val="004D72AA"/>
    <w:rsid w:val="004E5483"/>
    <w:rsid w:val="004E60A1"/>
    <w:rsid w:val="00533036"/>
    <w:rsid w:val="005530B4"/>
    <w:rsid w:val="0056250E"/>
    <w:rsid w:val="00585026"/>
    <w:rsid w:val="00596E04"/>
    <w:rsid w:val="00597D76"/>
    <w:rsid w:val="005A10BC"/>
    <w:rsid w:val="00607313"/>
    <w:rsid w:val="00640150"/>
    <w:rsid w:val="0065502E"/>
    <w:rsid w:val="00693C7C"/>
    <w:rsid w:val="006A0CD0"/>
    <w:rsid w:val="006B3451"/>
    <w:rsid w:val="006B536F"/>
    <w:rsid w:val="00701960"/>
    <w:rsid w:val="007A6F65"/>
    <w:rsid w:val="007C3331"/>
    <w:rsid w:val="007D7151"/>
    <w:rsid w:val="007F3AA7"/>
    <w:rsid w:val="007F7BFB"/>
    <w:rsid w:val="008051A3"/>
    <w:rsid w:val="00810CFB"/>
    <w:rsid w:val="00817D06"/>
    <w:rsid w:val="0083618F"/>
    <w:rsid w:val="00847E71"/>
    <w:rsid w:val="008A4CB5"/>
    <w:rsid w:val="008A7F87"/>
    <w:rsid w:val="008E585C"/>
    <w:rsid w:val="00900213"/>
    <w:rsid w:val="00901D10"/>
    <w:rsid w:val="00913D3B"/>
    <w:rsid w:val="00941E66"/>
    <w:rsid w:val="009448AB"/>
    <w:rsid w:val="00955A95"/>
    <w:rsid w:val="009A6C78"/>
    <w:rsid w:val="009B2830"/>
    <w:rsid w:val="009C73AF"/>
    <w:rsid w:val="009D2BFA"/>
    <w:rsid w:val="00A11DD9"/>
    <w:rsid w:val="00A441A0"/>
    <w:rsid w:val="00AA5278"/>
    <w:rsid w:val="00AD28E8"/>
    <w:rsid w:val="00AF3277"/>
    <w:rsid w:val="00B37EEC"/>
    <w:rsid w:val="00B60829"/>
    <w:rsid w:val="00B62574"/>
    <w:rsid w:val="00B6285B"/>
    <w:rsid w:val="00B77DA2"/>
    <w:rsid w:val="00B851AC"/>
    <w:rsid w:val="00BA237A"/>
    <w:rsid w:val="00BA6086"/>
    <w:rsid w:val="00BD72B3"/>
    <w:rsid w:val="00C45AF1"/>
    <w:rsid w:val="00D230F6"/>
    <w:rsid w:val="00D2495D"/>
    <w:rsid w:val="00D27FDC"/>
    <w:rsid w:val="00D36404"/>
    <w:rsid w:val="00D41DC2"/>
    <w:rsid w:val="00D6055F"/>
    <w:rsid w:val="00D91934"/>
    <w:rsid w:val="00DB0CA9"/>
    <w:rsid w:val="00DC0AA6"/>
    <w:rsid w:val="00DF11D8"/>
    <w:rsid w:val="00DF4D7E"/>
    <w:rsid w:val="00DF530D"/>
    <w:rsid w:val="00E03DE5"/>
    <w:rsid w:val="00E10EF2"/>
    <w:rsid w:val="00E16B5E"/>
    <w:rsid w:val="00E1706D"/>
    <w:rsid w:val="00E23400"/>
    <w:rsid w:val="00E36C34"/>
    <w:rsid w:val="00E50CA8"/>
    <w:rsid w:val="00E53562"/>
    <w:rsid w:val="00E6604B"/>
    <w:rsid w:val="00E80F45"/>
    <w:rsid w:val="00EA650C"/>
    <w:rsid w:val="00EA6F5B"/>
    <w:rsid w:val="00EA7F1D"/>
    <w:rsid w:val="00EC3F9E"/>
    <w:rsid w:val="00ED01B1"/>
    <w:rsid w:val="00EF03C8"/>
    <w:rsid w:val="00EF085E"/>
    <w:rsid w:val="00F7374C"/>
    <w:rsid w:val="00FB6E91"/>
    <w:rsid w:val="00FB7105"/>
    <w:rsid w:val="00FC582D"/>
    <w:rsid w:val="00FE0D9F"/>
    <w:rsid w:val="00FF01D5"/>
    <w:rsid w:val="00FF3E82"/>
    <w:rsid w:val="0B082C55"/>
    <w:rsid w:val="29B3490E"/>
    <w:rsid w:val="2CC42756"/>
    <w:rsid w:val="2E61B2FE"/>
    <w:rsid w:val="349A603F"/>
    <w:rsid w:val="3C46BF71"/>
    <w:rsid w:val="6B2E1EF0"/>
    <w:rsid w:val="76E7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7D68"/>
  <w15:chartTrackingRefBased/>
  <w15:docId w15:val="{68364F07-CD57-4214-8E3D-6E1D7DC4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91"/>
    <w:rPr>
      <w:lang w:val="lt-LT"/>
    </w:rPr>
  </w:style>
  <w:style w:type="paragraph" w:styleId="Footer">
    <w:name w:val="footer"/>
    <w:basedOn w:val="Normal"/>
    <w:link w:val="FooterChar"/>
    <w:uiPriority w:val="99"/>
    <w:unhideWhenUsed/>
    <w:rsid w:val="00FB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9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qFormat/>
    <w:rsid w:val="00847E71"/>
    <w:pPr>
      <w:spacing w:after="0" w:line="240" w:lineRule="auto"/>
      <w:ind w:left="720" w:firstLine="357"/>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7E71"/>
    <w:rPr>
      <w:rFonts w:ascii="Times New Roman" w:eastAsia="Times New Roman" w:hAnsi="Times New Roman" w:cs="Times New Roman"/>
      <w:sz w:val="24"/>
      <w:szCs w:val="24"/>
      <w:lang w:val="lt-LT"/>
    </w:rPr>
  </w:style>
  <w:style w:type="paragraph" w:customStyle="1" w:styleId="Sraopastraipa1">
    <w:name w:val="Sąrašo pastraipa1"/>
    <w:basedOn w:val="Normal"/>
    <w:rsid w:val="00420FB0"/>
    <w:pPr>
      <w:autoSpaceDN w:val="0"/>
      <w:spacing w:line="244" w:lineRule="auto"/>
      <w:ind w:left="720"/>
    </w:pPr>
    <w:rPr>
      <w:rFonts w:ascii="Calibri" w:eastAsia="Calibri" w:hAnsi="Calibri" w:cs="Times New Roman"/>
    </w:rPr>
  </w:style>
  <w:style w:type="paragraph" w:styleId="FootnoteText">
    <w:name w:val="footnote text"/>
    <w:basedOn w:val="Normal"/>
    <w:link w:val="FootnoteTextChar"/>
    <w:uiPriority w:val="99"/>
    <w:semiHidden/>
    <w:unhideWhenUsed/>
    <w:rsid w:val="00D6055F"/>
    <w:pPr>
      <w:spacing w:after="0" w:line="240" w:lineRule="auto"/>
      <w:ind w:firstLine="357"/>
    </w:pPr>
    <w:rPr>
      <w:rFonts w:ascii="Arial" w:hAnsi="Arial"/>
      <w:sz w:val="20"/>
      <w:szCs w:val="20"/>
    </w:rPr>
  </w:style>
  <w:style w:type="character" w:customStyle="1" w:styleId="FootnoteTextChar">
    <w:name w:val="Footnote Text Char"/>
    <w:basedOn w:val="DefaultParagraphFont"/>
    <w:link w:val="FootnoteText"/>
    <w:uiPriority w:val="99"/>
    <w:semiHidden/>
    <w:rsid w:val="00D6055F"/>
    <w:rPr>
      <w:rFonts w:ascii="Arial" w:hAnsi="Arial"/>
      <w:sz w:val="20"/>
      <w:szCs w:val="20"/>
      <w:lang w:val="lt-LT"/>
    </w:rPr>
  </w:style>
  <w:style w:type="character" w:styleId="FootnoteReference">
    <w:name w:val="footnote reference"/>
    <w:basedOn w:val="DefaultParagraphFont"/>
    <w:uiPriority w:val="99"/>
    <w:semiHidden/>
    <w:unhideWhenUsed/>
    <w:rsid w:val="00D6055F"/>
    <w:rPr>
      <w:vertAlign w:val="superscript"/>
    </w:rPr>
  </w:style>
  <w:style w:type="character" w:styleId="CommentReference">
    <w:name w:val="annotation reference"/>
    <w:basedOn w:val="DefaultParagraphFont"/>
    <w:uiPriority w:val="99"/>
    <w:semiHidden/>
    <w:unhideWhenUsed/>
    <w:rsid w:val="00585026"/>
    <w:rPr>
      <w:sz w:val="16"/>
      <w:szCs w:val="16"/>
    </w:rPr>
  </w:style>
  <w:style w:type="paragraph" w:styleId="CommentText">
    <w:name w:val="annotation text"/>
    <w:basedOn w:val="Normal"/>
    <w:link w:val="CommentTextChar"/>
    <w:uiPriority w:val="99"/>
    <w:unhideWhenUsed/>
    <w:rsid w:val="00585026"/>
    <w:pPr>
      <w:spacing w:line="240" w:lineRule="auto"/>
    </w:pPr>
    <w:rPr>
      <w:sz w:val="20"/>
      <w:szCs w:val="20"/>
    </w:rPr>
  </w:style>
  <w:style w:type="character" w:customStyle="1" w:styleId="CommentTextChar">
    <w:name w:val="Comment Text Char"/>
    <w:basedOn w:val="DefaultParagraphFont"/>
    <w:link w:val="CommentText"/>
    <w:uiPriority w:val="99"/>
    <w:rsid w:val="00585026"/>
    <w:rPr>
      <w:sz w:val="20"/>
      <w:szCs w:val="20"/>
      <w:lang w:val="lt-LT"/>
    </w:rPr>
  </w:style>
  <w:style w:type="paragraph" w:styleId="CommentSubject">
    <w:name w:val="annotation subject"/>
    <w:basedOn w:val="CommentText"/>
    <w:next w:val="CommentText"/>
    <w:link w:val="CommentSubjectChar"/>
    <w:uiPriority w:val="99"/>
    <w:semiHidden/>
    <w:unhideWhenUsed/>
    <w:rsid w:val="00585026"/>
    <w:rPr>
      <w:b/>
      <w:bCs/>
    </w:rPr>
  </w:style>
  <w:style w:type="character" w:customStyle="1" w:styleId="CommentSubjectChar">
    <w:name w:val="Comment Subject Char"/>
    <w:basedOn w:val="CommentTextChar"/>
    <w:link w:val="CommentSubject"/>
    <w:uiPriority w:val="99"/>
    <w:semiHidden/>
    <w:rsid w:val="00585026"/>
    <w:rPr>
      <w:b/>
      <w:bCs/>
      <w:sz w:val="20"/>
      <w:szCs w:val="20"/>
      <w:lang w:val="lt-LT"/>
    </w:rPr>
  </w:style>
  <w:style w:type="paragraph" w:styleId="Revision">
    <w:name w:val="Revision"/>
    <w:hidden/>
    <w:uiPriority w:val="99"/>
    <w:semiHidden/>
    <w:rsid w:val="0058502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9440">
      <w:bodyDiv w:val="1"/>
      <w:marLeft w:val="0"/>
      <w:marRight w:val="0"/>
      <w:marTop w:val="0"/>
      <w:marBottom w:val="0"/>
      <w:divBdr>
        <w:top w:val="none" w:sz="0" w:space="0" w:color="auto"/>
        <w:left w:val="none" w:sz="0" w:space="0" w:color="auto"/>
        <w:bottom w:val="none" w:sz="0" w:space="0" w:color="auto"/>
        <w:right w:val="none" w:sz="0" w:space="0" w:color="auto"/>
      </w:divBdr>
    </w:div>
    <w:div w:id="618148748">
      <w:bodyDiv w:val="1"/>
      <w:marLeft w:val="0"/>
      <w:marRight w:val="0"/>
      <w:marTop w:val="0"/>
      <w:marBottom w:val="0"/>
      <w:divBdr>
        <w:top w:val="none" w:sz="0" w:space="0" w:color="auto"/>
        <w:left w:val="none" w:sz="0" w:space="0" w:color="auto"/>
        <w:bottom w:val="none" w:sz="0" w:space="0" w:color="auto"/>
        <w:right w:val="none" w:sz="0" w:space="0" w:color="auto"/>
      </w:divBdr>
    </w:div>
    <w:div w:id="856652944">
      <w:bodyDiv w:val="1"/>
      <w:marLeft w:val="0"/>
      <w:marRight w:val="0"/>
      <w:marTop w:val="0"/>
      <w:marBottom w:val="0"/>
      <w:divBdr>
        <w:top w:val="none" w:sz="0" w:space="0" w:color="auto"/>
        <w:left w:val="none" w:sz="0" w:space="0" w:color="auto"/>
        <w:bottom w:val="none" w:sz="0" w:space="0" w:color="auto"/>
        <w:right w:val="none" w:sz="0" w:space="0" w:color="auto"/>
      </w:divBdr>
    </w:div>
    <w:div w:id="1064723616">
      <w:bodyDiv w:val="1"/>
      <w:marLeft w:val="0"/>
      <w:marRight w:val="0"/>
      <w:marTop w:val="0"/>
      <w:marBottom w:val="0"/>
      <w:divBdr>
        <w:top w:val="none" w:sz="0" w:space="0" w:color="auto"/>
        <w:left w:val="none" w:sz="0" w:space="0" w:color="auto"/>
        <w:bottom w:val="none" w:sz="0" w:space="0" w:color="auto"/>
        <w:right w:val="none" w:sz="0" w:space="0" w:color="auto"/>
      </w:divBdr>
    </w:div>
    <w:div w:id="1068530882">
      <w:bodyDiv w:val="1"/>
      <w:marLeft w:val="0"/>
      <w:marRight w:val="0"/>
      <w:marTop w:val="0"/>
      <w:marBottom w:val="0"/>
      <w:divBdr>
        <w:top w:val="none" w:sz="0" w:space="0" w:color="auto"/>
        <w:left w:val="none" w:sz="0" w:space="0" w:color="auto"/>
        <w:bottom w:val="none" w:sz="0" w:space="0" w:color="auto"/>
        <w:right w:val="none" w:sz="0" w:space="0" w:color="auto"/>
      </w:divBdr>
    </w:div>
    <w:div w:id="1315915712">
      <w:bodyDiv w:val="1"/>
      <w:marLeft w:val="0"/>
      <w:marRight w:val="0"/>
      <w:marTop w:val="0"/>
      <w:marBottom w:val="0"/>
      <w:divBdr>
        <w:top w:val="none" w:sz="0" w:space="0" w:color="auto"/>
        <w:left w:val="none" w:sz="0" w:space="0" w:color="auto"/>
        <w:bottom w:val="none" w:sz="0" w:space="0" w:color="auto"/>
        <w:right w:val="none" w:sz="0" w:space="0" w:color="auto"/>
      </w:divBdr>
    </w:div>
    <w:div w:id="1693990160">
      <w:bodyDiv w:val="1"/>
      <w:marLeft w:val="0"/>
      <w:marRight w:val="0"/>
      <w:marTop w:val="0"/>
      <w:marBottom w:val="0"/>
      <w:divBdr>
        <w:top w:val="none" w:sz="0" w:space="0" w:color="auto"/>
        <w:left w:val="none" w:sz="0" w:space="0" w:color="auto"/>
        <w:bottom w:val="none" w:sz="0" w:space="0" w:color="auto"/>
        <w:right w:val="none" w:sz="0" w:space="0" w:color="auto"/>
      </w:divBdr>
    </w:div>
    <w:div w:id="19160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97CB4F-726D-4B5E-BEC4-1C968EE58F4B}">
  <ds:schemaRefs>
    <ds:schemaRef ds:uri="http://schemas.microsoft.com/sharepoint/v3/contenttype/forms"/>
  </ds:schemaRefs>
</ds:datastoreItem>
</file>

<file path=customXml/itemProps2.xml><?xml version="1.0" encoding="utf-8"?>
<ds:datastoreItem xmlns:ds="http://schemas.openxmlformats.org/officeDocument/2006/customXml" ds:itemID="{DC30F954-B633-4DD5-9CFE-E3E5501E1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31FD4-354B-4C3E-8E51-9B4B4280FF0B}">
  <ds:schemaRefs>
    <ds:schemaRef ds:uri="http://schemas.openxmlformats.org/officeDocument/2006/bibliography"/>
  </ds:schemaRefs>
</ds:datastoreItem>
</file>

<file path=customXml/itemProps4.xml><?xml version="1.0" encoding="utf-8"?>
<ds:datastoreItem xmlns:ds="http://schemas.openxmlformats.org/officeDocument/2006/customXml" ds:itemID="{A1649D33-C658-4655-B29D-F7761193C117}">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5024</Characters>
  <Application>Microsoft Office Word</Application>
  <DocSecurity>0</DocSecurity>
  <Lines>143</Lines>
  <Paragraphs>69</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Gedris</dc:creator>
  <cp:keywords/>
  <dc:description/>
  <cp:lastModifiedBy>Viktoras Samuchovas</cp:lastModifiedBy>
  <cp:revision>3</cp:revision>
  <dcterms:created xsi:type="dcterms:W3CDTF">2026-05-28T09:03:00Z</dcterms:created>
  <dcterms:modified xsi:type="dcterms:W3CDTF">2026-05-28T09:05:00Z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docLang">
    <vt:lpwstr>lt</vt:lpwstr>
  </property>
  <property fmtid="{D5CDD505-2E9C-101B-9397-08002B2CF9AE}" pid="4" name="MediaServiceImageTags">
    <vt:lpwstr/>
  </property>
</Properties>
</file>