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C87A8C4"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602E3D">
            <w:rPr>
              <w:rFonts w:ascii="Times New Roman" w:eastAsia="Times New Roman" w:hAnsi="Times New Roman" w:cs="Times New Roman"/>
              <w:noProof/>
              <w:sz w:val="24"/>
              <w:szCs w:val="24"/>
            </w:rPr>
            <w:t>5</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177223B7"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AD112A" w:rsidRPr="00AD112A">
            <w:rPr>
              <w:rFonts w:ascii="Times New Roman" w:hAnsi="Times New Roman" w:cs="Times New Roman"/>
              <w:b/>
              <w:caps/>
              <w:sz w:val="28"/>
              <w:szCs w:val="28"/>
            </w:rPr>
            <w:t>VIENKARTINĖS MEDICINOS PRIEMONĖS.</w:t>
          </w:r>
          <w:r w:rsidR="00602E3D">
            <w:rPr>
              <w:rFonts w:ascii="Times New Roman" w:hAnsi="Times New Roman" w:cs="Times New Roman"/>
              <w:b/>
              <w:caps/>
              <w:sz w:val="28"/>
              <w:szCs w:val="28"/>
            </w:rPr>
            <w:t>VIENKARTINIS RINKINYS HIPEC OPERACIJAI ATLIKTI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602E3D"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CA6E899"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Perkančioji organizacija numato įsigyti</w:t>
      </w:r>
      <w:r w:rsidR="00AD112A">
        <w:rPr>
          <w:rFonts w:ascii="Times New Roman" w:eastAsia="Calibri" w:hAnsi="Times New Roman" w:cs="Times New Roman"/>
          <w:color w:val="000000" w:themeColor="text1"/>
          <w:sz w:val="24"/>
          <w:szCs w:val="24"/>
        </w:rPr>
        <w:t xml:space="preserve"> </w:t>
      </w:r>
      <w:r w:rsidR="00602E3D">
        <w:rPr>
          <w:rFonts w:ascii="Times New Roman" w:eastAsia="Calibri" w:hAnsi="Times New Roman" w:cs="Times New Roman"/>
          <w:color w:val="000000" w:themeColor="text1"/>
          <w:sz w:val="24"/>
          <w:szCs w:val="24"/>
        </w:rPr>
        <w:t>vienkartin5 rinkin5 Hipec operacijai atlikti</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4DA26152"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602E3D">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F2008B" w:rsidRPr="001A5957">
        <w:rPr>
          <w:rFonts w:ascii="Times New Roman" w:hAnsi="Times New Roman" w:cs="Times New Roman"/>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15F55ABA" w14:textId="100FBF25" w:rsidR="00425DAF" w:rsidRPr="00425DAF" w:rsidRDefault="00602E3D" w:rsidP="00425DAF">
      <w:r>
        <w:t>_____________________________</w:t>
      </w:r>
    </w:p>
    <w:p w14:paraId="62F4AE33" w14:textId="77777777" w:rsidR="00425DAF" w:rsidRDefault="00425DAF" w:rsidP="00425DAF"/>
    <w:p w14:paraId="255785E0" w14:textId="77777777" w:rsidR="00425DAF" w:rsidRDefault="00425DAF" w:rsidP="00425DAF"/>
    <w:p w14:paraId="7F97F5F7" w14:textId="77777777" w:rsidR="00425DAF" w:rsidRDefault="00425DAF" w:rsidP="00425DAF"/>
    <w:p w14:paraId="3677DE03" w14:textId="77777777" w:rsidR="00425DAF" w:rsidRDefault="00425DAF" w:rsidP="00425DAF"/>
    <w:p w14:paraId="0CBFF276" w14:textId="77777777" w:rsidR="00425DAF" w:rsidRDefault="00425DAF" w:rsidP="00425DAF"/>
    <w:p w14:paraId="20DB8093" w14:textId="77777777" w:rsidR="00425DAF" w:rsidRDefault="00425DAF" w:rsidP="00425DAF"/>
    <w:p w14:paraId="1EFF2A4F" w14:textId="77777777" w:rsidR="00425DAF" w:rsidRDefault="00425DAF" w:rsidP="00425DAF"/>
    <w:p w14:paraId="3A7A312F" w14:textId="77777777" w:rsidR="00425DAF" w:rsidRDefault="00425DAF" w:rsidP="00425DAF"/>
    <w:p w14:paraId="55E50E89" w14:textId="77777777" w:rsidR="00425DAF" w:rsidRDefault="00425DAF" w:rsidP="00425DAF"/>
    <w:p w14:paraId="4C9BB55C" w14:textId="77777777" w:rsidR="00425DAF" w:rsidRDefault="00425DAF" w:rsidP="00425DAF"/>
    <w:p w14:paraId="2BA5C5FA" w14:textId="77777777" w:rsidR="00425DAF" w:rsidRDefault="00425DAF" w:rsidP="00425DAF"/>
    <w:p w14:paraId="099A456D" w14:textId="77777777" w:rsidR="00425DAF" w:rsidRDefault="00425DAF" w:rsidP="00425DAF"/>
    <w:p w14:paraId="13385A1C" w14:textId="77777777" w:rsidR="00425DAF" w:rsidRDefault="00425DAF" w:rsidP="00425DAF"/>
    <w:p w14:paraId="3278B8EB" w14:textId="77777777" w:rsidR="00425DAF" w:rsidRDefault="00425DAF" w:rsidP="00425DAF"/>
    <w:p w14:paraId="7BB53DD3" w14:textId="77777777" w:rsidR="00425DAF" w:rsidRDefault="00425DAF" w:rsidP="00425DAF"/>
    <w:p w14:paraId="6EB91A6C" w14:textId="77777777" w:rsidR="00425DAF" w:rsidRDefault="00425DAF" w:rsidP="00425DAF"/>
    <w:p w14:paraId="72054B02" w14:textId="77777777" w:rsidR="00425DAF" w:rsidRDefault="00425DAF" w:rsidP="00425DAF"/>
    <w:p w14:paraId="5CF2DC8A" w14:textId="77777777" w:rsidR="00425DAF" w:rsidRDefault="00425DAF" w:rsidP="00425DAF"/>
    <w:p w14:paraId="16A395CE" w14:textId="77777777" w:rsidR="00425DAF" w:rsidRDefault="00425DAF" w:rsidP="00425DAF"/>
    <w:p w14:paraId="635346D1" w14:textId="77777777" w:rsidR="00602E3D" w:rsidRDefault="00602E3D" w:rsidP="00425DAF"/>
    <w:p w14:paraId="3D4B1BF9" w14:textId="77777777" w:rsidR="00602E3D" w:rsidRDefault="00602E3D" w:rsidP="00425DAF"/>
    <w:p w14:paraId="2782DE20" w14:textId="77777777" w:rsidR="00602E3D" w:rsidRDefault="00602E3D" w:rsidP="00425DAF"/>
    <w:p w14:paraId="540AED25" w14:textId="77777777" w:rsidR="00602E3D" w:rsidRDefault="00602E3D" w:rsidP="00425DAF"/>
    <w:p w14:paraId="0C572193" w14:textId="77777777" w:rsidR="00602E3D" w:rsidRDefault="00602E3D" w:rsidP="00425DAF"/>
    <w:p w14:paraId="3FE0936A" w14:textId="77777777" w:rsidR="00602E3D" w:rsidRDefault="00602E3D" w:rsidP="00425DAF"/>
    <w:p w14:paraId="56224379" w14:textId="77777777" w:rsidR="00602E3D" w:rsidRDefault="00602E3D" w:rsidP="00425DAF"/>
    <w:p w14:paraId="79AA1B28" w14:textId="77777777" w:rsidR="00602E3D" w:rsidRDefault="00602E3D" w:rsidP="00425DAF"/>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87CF45A" w:rsidR="001A28D4" w:rsidRPr="00D51822" w:rsidRDefault="00602E3D" w:rsidP="001A28D4">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8"/>
  </w:num>
  <w:num w:numId="8" w16cid:durableId="412043720">
    <w:abstractNumId w:val="27"/>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 w:numId="34" w16cid:durableId="145274977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6C41"/>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48"/>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957"/>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41"/>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88"/>
    <w:rsid w:val="003B39F9"/>
    <w:rsid w:val="003B4138"/>
    <w:rsid w:val="003B6924"/>
    <w:rsid w:val="003B69CF"/>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5DAF"/>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1D6"/>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2E3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FED"/>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12A"/>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023"/>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2D9"/>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279"/>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4E1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1446"/>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30F8"/>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70A"/>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23</Pages>
  <Words>26364</Words>
  <Characters>15028</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53</cp:revision>
  <cp:lastPrinted>2024-05-31T08:19:00Z</cp:lastPrinted>
  <dcterms:created xsi:type="dcterms:W3CDTF">2024-05-30T07:50:00Z</dcterms:created>
  <dcterms:modified xsi:type="dcterms:W3CDTF">2026-06-01T08:57:00Z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