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0EBD" w:rsidRDefault="00BE0DF0">
      <w:pPr>
        <w:jc w:val="center"/>
        <w:rPr>
          <w:rFonts w:ascii="Times New Roman" w:eastAsia="Times New Roman" w:hAnsi="Times New Roman" w:cs="Times New Roman"/>
          <w:b/>
          <w:bCs/>
        </w:rPr>
      </w:pPr>
      <w:r>
        <w:rPr>
          <w:rFonts w:ascii="Times New Roman" w:eastAsia="Times New Roman" w:hAnsi="Times New Roman" w:cs="Times New Roman"/>
          <w:b/>
          <w:bCs/>
          <w:noProof/>
          <w:lang w:val="lt-LT" w:eastAsia="lt-LT"/>
        </w:rPr>
        <w:drawing>
          <wp:inline distT="0" distB="0" distL="0" distR="0">
            <wp:extent cx="457200" cy="533400"/>
            <wp:effectExtent l="0" t="0" r="0" b="0"/>
            <wp:docPr id="1" name="image1.png" descr="vytis"/>
            <wp:cNvGraphicFramePr/>
            <a:graphic xmlns:a="http://schemas.openxmlformats.org/drawingml/2006/main">
              <a:graphicData uri="http://schemas.openxmlformats.org/drawingml/2006/picture">
                <pic:pic xmlns:pic="http://schemas.openxmlformats.org/drawingml/2006/picture">
                  <pic:nvPicPr>
                    <pic:cNvPr id="0" name="image1.png" descr="vytis"/>
                    <pic:cNvPicPr preferRelativeResize="0"/>
                  </pic:nvPicPr>
                  <pic:blipFill>
                    <a:blip r:embed="rId8"/>
                    <a:srcRect/>
                    <a:stretch>
                      <a:fillRect/>
                    </a:stretch>
                  </pic:blipFill>
                  <pic:spPr>
                    <a:xfrm>
                      <a:off x="0" y="0"/>
                      <a:ext cx="457200" cy="533400"/>
                    </a:xfrm>
                    <a:prstGeom prst="rect">
                      <a:avLst/>
                    </a:prstGeom>
                    <a:ln/>
                  </pic:spPr>
                </pic:pic>
              </a:graphicData>
            </a:graphic>
          </wp:inline>
        </w:drawing>
      </w:r>
    </w:p>
    <w:p w:rsidR="007C0EBD" w:rsidRDefault="00BE0DF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NACIONALINIS KIBERNETINIO SAUGUMO CENTRAS PRIE KRAŠTO APSAUGOS MINISTERIJOS</w:t>
      </w:r>
    </w:p>
    <w:p w:rsidR="007C0EBD" w:rsidRDefault="007C0EBD">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rsidR="007C0EBD" w:rsidRDefault="00BE0DF0">
      <w:pPr>
        <w:ind w:left="4284" w:firstLine="12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TVIRTINU</w:t>
      </w:r>
    </w:p>
    <w:p w:rsidR="007C0EBD" w:rsidRDefault="00BE0DF0">
      <w:pPr>
        <w:ind w:left="55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ITD Direktorius</w:t>
      </w:r>
    </w:p>
    <w:p w:rsidR="007C0EBD" w:rsidRDefault="00BE0DF0">
      <w:pPr>
        <w:ind w:left="55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Deividas Stumbras</w:t>
      </w:r>
    </w:p>
    <w:p w:rsidR="007C0EBD" w:rsidRDefault="007C0EBD">
      <w:pPr>
        <w:tabs>
          <w:tab w:val="left" w:pos="5760"/>
        </w:tabs>
        <w:spacing w:after="0" w:line="240" w:lineRule="auto"/>
        <w:rPr>
          <w:rFonts w:ascii="Times New Roman" w:eastAsia="Times New Roman" w:hAnsi="Times New Roman" w:cs="Times New Roman"/>
          <w:smallCaps/>
          <w:sz w:val="24"/>
          <w:szCs w:val="24"/>
        </w:rPr>
      </w:pPr>
    </w:p>
    <w:p w:rsidR="007C0EBD" w:rsidRDefault="00BE0DF0">
      <w:pPr>
        <w:spacing w:after="16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GRĖSMIŲ ANALIZĖS PROGRAMINĖS ĮRANGOS</w:t>
      </w:r>
      <w:r w:rsidR="00CE671D">
        <w:rPr>
          <w:rFonts w:ascii="Times New Roman" w:eastAsia="Times New Roman" w:hAnsi="Times New Roman" w:cs="Times New Roman"/>
          <w:b/>
          <w:bCs/>
          <w:color w:val="000000"/>
          <w:sz w:val="24"/>
          <w:szCs w:val="24"/>
        </w:rPr>
        <w:t xml:space="preserve"> PRATĘSIMAS</w:t>
      </w:r>
      <w:r>
        <w:rPr>
          <w:rFonts w:ascii="Times New Roman" w:eastAsia="Times New Roman" w:hAnsi="Times New Roman" w:cs="Times New Roman"/>
          <w:b/>
          <w:bCs/>
          <w:color w:val="000000"/>
          <w:sz w:val="24"/>
          <w:szCs w:val="24"/>
        </w:rPr>
        <w:t xml:space="preserve"> TECHNINĖ SPECIFIKACIJA</w:t>
      </w:r>
      <w:r w:rsidR="006F3668">
        <w:rPr>
          <w:rFonts w:ascii="Times New Roman" w:eastAsia="Times New Roman" w:hAnsi="Times New Roman" w:cs="Times New Roman"/>
          <w:b/>
          <w:bCs/>
          <w:color w:val="000000"/>
          <w:sz w:val="24"/>
          <w:szCs w:val="24"/>
        </w:rPr>
        <w:t xml:space="preserve"> (PATIKSLINTA)</w:t>
      </w:r>
    </w:p>
    <w:p w:rsidR="007C0EBD" w:rsidRDefault="007C0EBD">
      <w:pPr>
        <w:spacing w:after="0" w:line="240" w:lineRule="auto"/>
        <w:jc w:val="center"/>
        <w:rPr>
          <w:rFonts w:ascii="Times New Roman" w:eastAsia="Times New Roman" w:hAnsi="Times New Roman" w:cs="Times New Roman"/>
          <w:b/>
          <w:bCs/>
          <w:sz w:val="24"/>
          <w:szCs w:val="24"/>
        </w:rPr>
      </w:pPr>
    </w:p>
    <w:p w:rsidR="007C0EBD" w:rsidRPr="00CE7C53" w:rsidRDefault="00BE0DF0">
      <w:pPr>
        <w:spacing w:after="0" w:line="240" w:lineRule="auto"/>
        <w:jc w:val="center"/>
        <w:rPr>
          <w:rFonts w:ascii="Times New Roman" w:eastAsia="Times New Roman" w:hAnsi="Times New Roman" w:cs="Times New Roman"/>
          <w:sz w:val="24"/>
          <w:szCs w:val="24"/>
        </w:rPr>
      </w:pPr>
      <w:r w:rsidRPr="00CE7C53">
        <w:rPr>
          <w:rFonts w:ascii="Times New Roman" w:eastAsia="Times New Roman" w:hAnsi="Times New Roman" w:cs="Times New Roman"/>
          <w:sz w:val="24"/>
          <w:szCs w:val="24"/>
        </w:rPr>
        <w:t xml:space="preserve">2026 m.  </w:t>
      </w:r>
      <w:r w:rsidR="00CE7C53" w:rsidRPr="00CE7C53">
        <w:rPr>
          <w:rFonts w:ascii="Times New Roman" w:eastAsia="Times New Roman" w:hAnsi="Times New Roman" w:cs="Times New Roman"/>
          <w:sz w:val="24"/>
          <w:szCs w:val="24"/>
        </w:rPr>
        <w:t>g</w:t>
      </w:r>
      <w:r w:rsidR="00CE671D" w:rsidRPr="00CE7C53">
        <w:rPr>
          <w:rFonts w:ascii="Times New Roman" w:eastAsia="Times New Roman" w:hAnsi="Times New Roman" w:cs="Times New Roman"/>
          <w:sz w:val="24"/>
          <w:szCs w:val="24"/>
        </w:rPr>
        <w:t>egužės</w:t>
      </w:r>
      <w:r w:rsidR="00CE7C53" w:rsidRPr="00CE7C53">
        <w:rPr>
          <w:rFonts w:ascii="Times New Roman" w:eastAsia="Times New Roman" w:hAnsi="Times New Roman" w:cs="Times New Roman"/>
          <w:sz w:val="24"/>
          <w:szCs w:val="24"/>
        </w:rPr>
        <w:t xml:space="preserve"> 21 </w:t>
      </w:r>
      <w:r w:rsidRPr="00CE7C53">
        <w:rPr>
          <w:rFonts w:ascii="Times New Roman" w:eastAsia="Times New Roman" w:hAnsi="Times New Roman" w:cs="Times New Roman"/>
          <w:sz w:val="24"/>
          <w:szCs w:val="24"/>
        </w:rPr>
        <w:t xml:space="preserve">d. Nr. </w:t>
      </w:r>
      <w:r w:rsidR="00CE7C53" w:rsidRPr="00CE7C53">
        <w:rPr>
          <w:rFonts w:ascii="Times New Roman" w:eastAsia="Times New Roman" w:hAnsi="Times New Roman" w:cs="Times New Roman"/>
          <w:sz w:val="24"/>
          <w:szCs w:val="24"/>
        </w:rPr>
        <w:t>64Ū-186</w:t>
      </w:r>
    </w:p>
    <w:p w:rsidR="007C0EBD" w:rsidRDefault="007C0EBD">
      <w:pPr>
        <w:spacing w:after="0" w:line="240" w:lineRule="auto"/>
        <w:jc w:val="center"/>
        <w:rPr>
          <w:rFonts w:ascii="Times New Roman" w:eastAsia="Times New Roman" w:hAnsi="Times New Roman" w:cs="Times New Roman"/>
          <w:sz w:val="24"/>
          <w:szCs w:val="24"/>
        </w:rPr>
      </w:pPr>
    </w:p>
    <w:p w:rsidR="007C0EBD" w:rsidRDefault="00BE0D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Vilnius</w:t>
      </w:r>
    </w:p>
    <w:p w:rsidR="007C0EBD" w:rsidRDefault="007C0EBD">
      <w:pPr>
        <w:spacing w:after="160" w:line="276" w:lineRule="auto"/>
        <w:jc w:val="center"/>
        <w:rPr>
          <w:rFonts w:ascii="Times New Roman" w:eastAsia="Times New Roman" w:hAnsi="Times New Roman" w:cs="Times New Roman"/>
          <w:b/>
          <w:bCs/>
          <w:color w:val="000000"/>
          <w:sz w:val="24"/>
          <w:szCs w:val="24"/>
        </w:rPr>
      </w:pPr>
    </w:p>
    <w:p w:rsidR="007C0EBD" w:rsidRDefault="00BE0DF0">
      <w:pPr>
        <w:spacing w:after="16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Pirkimo objektas - grėsmių analizės programinė</w:t>
      </w:r>
      <w:r w:rsidR="00CE671D">
        <w:rPr>
          <w:rFonts w:ascii="Times New Roman" w:eastAsia="Times New Roman" w:hAnsi="Times New Roman" w:cs="Times New Roman"/>
          <w:b/>
          <w:bCs/>
          <w:color w:val="000000"/>
          <w:sz w:val="24"/>
          <w:szCs w:val="24"/>
        </w:rPr>
        <w:t>s</w:t>
      </w:r>
      <w:r>
        <w:rPr>
          <w:rFonts w:ascii="Times New Roman" w:eastAsia="Times New Roman" w:hAnsi="Times New Roman" w:cs="Times New Roman"/>
          <w:b/>
          <w:bCs/>
          <w:color w:val="000000"/>
          <w:sz w:val="24"/>
          <w:szCs w:val="24"/>
        </w:rPr>
        <w:t xml:space="preserve"> įrang</w:t>
      </w:r>
      <w:r w:rsidR="00CE671D">
        <w:rPr>
          <w:rFonts w:ascii="Times New Roman" w:eastAsia="Times New Roman" w:hAnsi="Times New Roman" w:cs="Times New Roman"/>
          <w:b/>
          <w:bCs/>
          <w:color w:val="000000"/>
          <w:sz w:val="24"/>
          <w:szCs w:val="24"/>
        </w:rPr>
        <w:t>os pratęsimas</w:t>
      </w:r>
      <w:r>
        <w:rPr>
          <w:rFonts w:ascii="Times New Roman" w:eastAsia="Times New Roman" w:hAnsi="Times New Roman" w:cs="Times New Roman"/>
          <w:b/>
          <w:bCs/>
          <w:color w:val="000000"/>
          <w:sz w:val="24"/>
          <w:szCs w:val="24"/>
        </w:rPr>
        <w:t>. Keliami reikalavimai:</w:t>
      </w:r>
    </w:p>
    <w:p w:rsidR="007C0EBD" w:rsidRDefault="00BE0DF0">
      <w:pPr>
        <w:numPr>
          <w:ilvl w:val="0"/>
          <w:numId w:val="15"/>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Bendrieji reikalavimai</w:t>
      </w:r>
      <w:r>
        <w:rPr>
          <w:rFonts w:ascii="Times New Roman" w:eastAsia="Times New Roman" w:hAnsi="Times New Roman" w:cs="Times New Roman"/>
          <w:color w:val="000000"/>
          <w:sz w:val="24"/>
          <w:szCs w:val="24"/>
        </w:rPr>
        <w:t>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Grėsmių analizės programinė įranga (toliau – Programinė įranga) turi būti pateikta gamintojo arba gamintojo įgalioto asmens.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Programinės įrangos dokumentacija turi būti lietuvių arba anglų kalba. Gamintojo interneto svetainėje dokumentų paieška atliekama anglų arba lietuvių kalba.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turi pateikti nuorodą ar nuorodas į gamintojo interneto puslapį, kuriame yra tiksli pasiūlymą atitinkančios programinės įrangos techninė specifikacija arba pateikti gamintojo parengtą siūlomos programinės įrangos aprašymą. Visi funkciniai ir našumo reikalavimai turi būti </w:t>
      </w:r>
      <w:r>
        <w:rPr>
          <w:rFonts w:ascii="Times New Roman" w:eastAsia="Times New Roman" w:hAnsi="Times New Roman" w:cs="Times New Roman"/>
          <w:b/>
          <w:bCs/>
          <w:color w:val="000000"/>
          <w:sz w:val="24"/>
          <w:szCs w:val="24"/>
        </w:rPr>
        <w:t>pagrįsti tiksliomis nuorodomis į gamintojo internetiniame puslapyje esančią informaciją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arba kitus gamintojo oficiali</w:t>
      </w:r>
      <w:bookmarkStart w:id="0" w:name="_GoBack"/>
      <w:bookmarkEnd w:id="0"/>
      <w:r>
        <w:rPr>
          <w:rFonts w:ascii="Times New Roman" w:eastAsia="Times New Roman" w:hAnsi="Times New Roman" w:cs="Times New Roman"/>
          <w:b/>
          <w:bCs/>
          <w:color w:val="000000"/>
          <w:sz w:val="24"/>
          <w:szCs w:val="24"/>
        </w:rPr>
        <w:t>us dokumentus</w:t>
      </w:r>
      <w:r>
        <w:rPr>
          <w:rFonts w:ascii="Times New Roman" w:eastAsia="Times New Roman" w:hAnsi="Times New Roman" w:cs="Times New Roman"/>
          <w:color w:val="000000"/>
          <w:sz w:val="24"/>
          <w:szCs w:val="24"/>
        </w:rPr>
        <w:t>, nurodant dokumentą ir puslapio numerį.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Pasiūlyme Programinės įrangos tiekėjas (toliau – PT) turi pateikti </w:t>
      </w:r>
      <w:r>
        <w:rPr>
          <w:rFonts w:ascii="Times New Roman" w:eastAsia="Times New Roman" w:hAnsi="Times New Roman" w:cs="Times New Roman"/>
          <w:b/>
          <w:bCs/>
          <w:color w:val="000000"/>
          <w:sz w:val="24"/>
          <w:szCs w:val="24"/>
        </w:rPr>
        <w:t>tikslias siūlomos Programinės įrangos konfigūracijas</w:t>
      </w:r>
      <w:r>
        <w:rPr>
          <w:rFonts w:ascii="Times New Roman" w:eastAsia="Times New Roman" w:hAnsi="Times New Roman" w:cs="Times New Roman"/>
          <w:color w:val="000000"/>
          <w:sz w:val="24"/>
          <w:szCs w:val="24"/>
        </w:rPr>
        <w:t>. Atitikimas techninės specifikacijos reikalavimams turi būti užtikrintas esant tokiai pačiai (vienodai) siūlomos Programinės įrangos konfigūracijai.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turi užtikrinti, kad gamintojas nėra paskelbęs žinios apie programinės įrangos gamybos arba tobulinimo nutraukimą (pvz., angl. </w:t>
      </w:r>
      <w:r>
        <w:rPr>
          <w:rFonts w:ascii="Times New Roman" w:eastAsia="Times New Roman" w:hAnsi="Times New Roman" w:cs="Times New Roman"/>
          <w:i/>
          <w:iCs/>
          <w:color w:val="000000"/>
          <w:sz w:val="24"/>
          <w:szCs w:val="24"/>
        </w:rPr>
        <w:t>end of life time</w:t>
      </w:r>
      <w:r>
        <w:rPr>
          <w:rFonts w:ascii="Times New Roman" w:eastAsia="Times New Roman" w:hAnsi="Times New Roman" w:cs="Times New Roman"/>
          <w:color w:val="000000"/>
          <w:sz w:val="24"/>
          <w:szCs w:val="24"/>
        </w:rPr>
        <w:t xml:space="preserve"> arba </w:t>
      </w:r>
      <w:r>
        <w:rPr>
          <w:rFonts w:ascii="Times New Roman" w:eastAsia="Times New Roman" w:hAnsi="Times New Roman" w:cs="Times New Roman"/>
          <w:i/>
          <w:iCs/>
          <w:color w:val="000000"/>
          <w:sz w:val="24"/>
          <w:szCs w:val="24"/>
        </w:rPr>
        <w:t>Discontinued</w:t>
      </w:r>
      <w:r>
        <w:rPr>
          <w:rFonts w:ascii="Times New Roman" w:eastAsia="Times New Roman" w:hAnsi="Times New Roman" w:cs="Times New Roman"/>
          <w:color w:val="000000"/>
          <w:sz w:val="24"/>
          <w:szCs w:val="24"/>
        </w:rPr>
        <w:t>).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Programinė įranga turi būti sertifikuota pagal pagrindinį tarptautinį informacijos saugumo valdymo standartą LST EN ISO/IEC 27001:2023 (arba lygiavertis).</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PT turi užtikrinti, kad įsigyjamoje įrangoje nebūtų įdiegta jokios papildomos programinės įrangos, kuri nėra būtina tokios įrangos funkcionalumui užtikrinti. PT turi užtikrinti, kad įsigyjamoje Programinėje įrangoje nebūtų įdiegta jokios papildomos programinės įrangos, kuri nėra būtina funkcionalumui užtikrinti. Paaiškėjus, kad yra įdiegta įtartina, šnipinėjimo ar kokia kita kenkimo programinė įranga, tai būtų traktuojama kaip reikalavimų neatitikimas ir sutarties sąlygų nesilaikymas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Būtina nurodyti pilną siūlomos Programinės įrangos gamintojo pavadinimą, pilną Programinės įrangos pavadinimą (paslaugos lygį ir (arba) paketą (komplektaciją)), išvardinti siūlomos paslaugos komponentus ir jų kiekius. Jeigu siūloma paslauga licencijuojama, būtina pateikti licencijų kodus ir trumpą funkcionalumo aprašymą, kurį kiekviena licencija suteikia ir kaip tai atitinka grėsmių analizės įrangos reikalavimus.</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Siūloma Programinė įranga neturi reikalauti įsidiegti papildomos programinės ar aparatinės įrangos, PO infrastruktūroje, funkcionalumui užtikrinti.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Programinė įranga turi turėti valdymo skydelį teikiantį analitinę informaciją. Paslauga turi būti valdoma per WEB sąsają ir API.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Visi Programinės įrangos aprašyme pateikti reikalavimai turi būti veikiantys ir įgalinti, jeigu jiems reikalingos papildomos licencijos, jos turi būti pateiktos.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Jei yra siūloma integruota (ne vieno gamintojo)  programinė įranga (programinis sprendimas), visiems gamintojams turi būti taikomi tokie patys bendrieji, diegimo, specialieji, garantijų ir palaikymo reikalavimai. </w:t>
      </w:r>
    </w:p>
    <w:p w:rsidR="007C0EBD" w:rsidRDefault="00BE0DF0">
      <w:pPr>
        <w:numPr>
          <w:ilvl w:val="1"/>
          <w:numId w:val="20"/>
        </w:numP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Pirkimo objektas, vadovaujantis Lietuvos Respublikos viešųjų pirkimų įstatymo  37 str. 9 dalimi ir 37 str. 10 d. numatyta išimtimi, turi nekelti grėsmės nacionaliniam saugumui. </w:t>
      </w:r>
    </w:p>
    <w:p w:rsidR="007C0EBD" w:rsidRDefault="00BE0DF0">
      <w:pPr>
        <w:numPr>
          <w:ilvl w:val="1"/>
          <w:numId w:val="2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Programinė įranga turi būti licencijuojama suteikiant prieigą ne mažiau kaip 1 metams, pradedant nuo 2026-08-06</w:t>
      </w:r>
      <w:r w:rsidR="00A77D7C">
        <w:rPr>
          <w:rFonts w:ascii="Times New Roman" w:eastAsia="Times New Roman" w:hAnsi="Times New Roman" w:cs="Times New Roman"/>
          <w:color w:val="000000"/>
          <w:sz w:val="24"/>
          <w:szCs w:val="24"/>
        </w:rPr>
        <w:t>.</w:t>
      </w:r>
    </w:p>
    <w:p w:rsidR="00667339" w:rsidRDefault="000D0174" w:rsidP="00667339">
      <w:pPr>
        <w:numPr>
          <w:ilvl w:val="1"/>
          <w:numId w:val="2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Sprendimas naudojamas vykdant NKSC funkcijas, tod</w:t>
      </w:r>
      <w:r>
        <w:rPr>
          <w:rFonts w:ascii="Times New Roman" w:eastAsia="Times New Roman" w:hAnsi="Times New Roman" w:cs="Times New Roman"/>
          <w:color w:val="000000"/>
          <w:sz w:val="24"/>
          <w:szCs w:val="24"/>
          <w:lang w:val="lt-LT"/>
        </w:rPr>
        <w:t>ėl būtinas suderinamumas su naudojamomis sistemomis bei veiklos tęstinumo užtikrinimas.</w:t>
      </w:r>
    </w:p>
    <w:p w:rsidR="007C0EBD" w:rsidRDefault="00BE0DF0">
      <w:pPr>
        <w:numPr>
          <w:ilvl w:val="0"/>
          <w:numId w:val="20"/>
        </w:numPr>
        <w:spacing w:after="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Diegimo reikalavimai:</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Perkama programinė įranga privalo būti suderinama su PO naudojamais (Domaintools, MISP ir Shodan) įrankiais, užtikrinant   jų tarpusavio integravimą ir  duomenų naudojimą.</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Programinė įranga turi turėti sukonfigūruotus teminius informacinius skydelius (angl. Dashboards): </w:t>
      </w:r>
    </w:p>
    <w:p w:rsidR="007C0EBD" w:rsidRDefault="00BE0DF0">
      <w:pPr>
        <w:numPr>
          <w:ilvl w:val="0"/>
          <w:numId w:val="16"/>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atskirai kiekvienam sektoriui (pagal NIS2 direktyvą), užtikrinant sektoriams specifinę informacijos vizualizaciją ir stebėseną;</w:t>
      </w:r>
    </w:p>
    <w:p w:rsidR="007C0EBD" w:rsidRDefault="00BE0DF0">
      <w:pPr>
        <w:numPr>
          <w:ilvl w:val="0"/>
          <w:numId w:val="16"/>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specifinį pažeidžiamumams skirtą informacinį skydelį, kuriame būtų atvaizduojama informacija iš Vulnerability Database (Vuln DB), Exploit Database (Exploit DB), taip pat internete aktyviai minimi pažeidžiamumai ir juos naudojantys grėsmių aktoriai (angl. Advanced persistent threat);</w:t>
      </w:r>
    </w:p>
    <w:p w:rsidR="007C0EBD" w:rsidRDefault="00BE0DF0">
      <w:pPr>
        <w:numPr>
          <w:ilvl w:val="0"/>
          <w:numId w:val="16"/>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trečiųjų šalių grėsmių stebėjimui;</w:t>
      </w:r>
    </w:p>
    <w:p w:rsidR="007C0EBD" w:rsidRDefault="00BE0DF0">
      <w:pPr>
        <w:numPr>
          <w:ilvl w:val="0"/>
          <w:numId w:val="16"/>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grėsmių aktorių stebėjimui.</w:t>
      </w:r>
    </w:p>
    <w:p w:rsidR="007C0EBD" w:rsidRDefault="00CE671D">
      <w:pPr>
        <w:numPr>
          <w:ilvl w:val="0"/>
          <w:numId w:val="16"/>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Partnerių </w:t>
      </w:r>
      <w:r w:rsidR="00BE0DF0">
        <w:rPr>
          <w:rFonts w:ascii="Times New Roman" w:eastAsia="Times New Roman" w:hAnsi="Times New Roman" w:cs="Times New Roman"/>
          <w:color w:val="000000"/>
          <w:sz w:val="24"/>
          <w:szCs w:val="24"/>
        </w:rPr>
        <w:t xml:space="preserve">(JAV, Lietuva, Lenkija, Ukraina, </w:t>
      </w:r>
      <w:r w:rsidRPr="00CE671D">
        <w:rPr>
          <w:rFonts w:ascii="Times New Roman" w:eastAsia="Times New Roman" w:hAnsi="Times New Roman" w:cs="Times New Roman"/>
          <w:color w:val="auto"/>
          <w:sz w:val="24"/>
          <w:szCs w:val="24"/>
        </w:rPr>
        <w:t>Čekija</w:t>
      </w:r>
      <w:r w:rsidR="00BE0DF0">
        <w:rPr>
          <w:rFonts w:ascii="Times New Roman" w:eastAsia="Times New Roman" w:hAnsi="Times New Roman" w:cs="Times New Roman"/>
          <w:color w:val="000000"/>
          <w:sz w:val="24"/>
          <w:szCs w:val="24"/>
        </w:rPr>
        <w:t>) grėsmių ir grėsmių aktorių stebėjimui;</w:t>
      </w:r>
    </w:p>
    <w:p w:rsidR="007C0EBD" w:rsidRDefault="00BE0DF0">
      <w:pPr>
        <w:numPr>
          <w:ilvl w:val="0"/>
          <w:numId w:val="16"/>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ES/NATO regiono kibernetinės būklės ir naujienų sekimui;</w:t>
      </w:r>
    </w:p>
    <w:p w:rsidR="007C0EBD" w:rsidRDefault="00BE0DF0">
      <w:pPr>
        <w:numPr>
          <w:ilvl w:val="0"/>
          <w:numId w:val="16"/>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išpirkos reikalaujančios kenkėjiškos programinės įrangos (angl. ransomware) ir ją naudojančių grupuočių stebėjimui;</w:t>
      </w:r>
    </w:p>
    <w:p w:rsidR="007C0EBD" w:rsidRDefault="00BE0DF0">
      <w:pPr>
        <w:numPr>
          <w:ilvl w:val="0"/>
          <w:numId w:val="16"/>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tamsiojo interneto (angl. dark web) forumų, grėsmių, grupuočių stebėjimui;</w:t>
      </w:r>
    </w:p>
    <w:p w:rsidR="007C0EBD" w:rsidRPr="00CE671D" w:rsidRDefault="00BE0DF0">
      <w:pPr>
        <w:numPr>
          <w:ilvl w:val="0"/>
          <w:numId w:val="16"/>
        </w:numPr>
        <w:spacing w:after="0" w:line="276" w:lineRule="auto"/>
        <w:jc w:val="both"/>
        <w:rPr>
          <w:rFonts w:ascii="Times New Roman" w:eastAsia="Times New Roman" w:hAnsi="Times New Roman" w:cs="Times New Roman"/>
          <w:color w:val="auto"/>
          <w:sz w:val="24"/>
          <w:szCs w:val="24"/>
        </w:rPr>
      </w:pPr>
      <w:r w:rsidRPr="00CE671D">
        <w:rPr>
          <w:rFonts w:ascii="Times New Roman" w:eastAsia="Times New Roman" w:hAnsi="Times New Roman" w:cs="Times New Roman"/>
          <w:color w:val="auto"/>
          <w:sz w:val="24"/>
          <w:szCs w:val="24"/>
        </w:rPr>
        <w:t>geopolitikos naujienų stebėjimui.</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Sukonfigūruotas automatinis ataskaitų generavimas pagal 15 punkte nurodytus teminius informacinius skydelius naudojant PO ataskaitos šabloną.</w:t>
      </w:r>
    </w:p>
    <w:p w:rsidR="007C0EBD" w:rsidRDefault="00BE0DF0">
      <w:pPr>
        <w:numPr>
          <w:ilvl w:val="0"/>
          <w:numId w:val="20"/>
        </w:numPr>
        <w:spacing w:after="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Specialieji reikalavimai:</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Perkama programinė įranga turi leisti dirbti  ne mažiau kaip 12 vartotojų vienu metu.</w:t>
      </w:r>
    </w:p>
    <w:p w:rsidR="007C0EBD" w:rsidRPr="00CE671D" w:rsidRDefault="00CE7C53">
      <w:pPr>
        <w:numPr>
          <w:ilvl w:val="1"/>
          <w:numId w:val="20"/>
        </w:numPr>
        <w:spacing w:after="0" w:line="276" w:lineRule="auto"/>
        <w:jc w:val="both"/>
        <w:rPr>
          <w:rFonts w:ascii="Times New Roman" w:eastAsia="Times New Roman" w:hAnsi="Times New Roman" w:cs="Times New Roman"/>
          <w:color w:val="auto"/>
          <w:sz w:val="24"/>
          <w:szCs w:val="24"/>
        </w:rPr>
      </w:pPr>
      <w:sdt>
        <w:sdtPr>
          <w:tag w:val="goog_rdk_1"/>
          <w:id w:val="2084772876"/>
        </w:sdtPr>
        <w:sdtEndPr/>
        <w:sdtContent/>
      </w:sdt>
      <w:r w:rsidR="00BE0DF0" w:rsidRPr="00CE671D">
        <w:rPr>
          <w:rFonts w:ascii="Times New Roman" w:eastAsia="Times New Roman" w:hAnsi="Times New Roman" w:cs="Times New Roman"/>
          <w:color w:val="auto"/>
          <w:sz w:val="24"/>
          <w:szCs w:val="24"/>
        </w:rPr>
        <w:t>Teminiai informaciniai skydeliai privalo turėti galimybę būti redaguojami ir keičiami paties naudotojo (specialisto) pagal poreikį. Teminių informacinių skydelių skaičius nėra ribojamas.</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Kartu su programine įranga turi būti integruotas kibernetinių grėsmių analizės duomenų srautas</w:t>
      </w:r>
      <w:r w:rsidR="00CE671D">
        <w:rPr>
          <w:rFonts w:ascii="Times New Roman" w:eastAsia="Times New Roman" w:hAnsi="Times New Roman" w:cs="Times New Roman"/>
          <w:color w:val="000000"/>
          <w:sz w:val="24"/>
          <w:szCs w:val="24"/>
        </w:rPr>
        <w:t xml:space="preserve"> (angl. Feed)</w:t>
      </w:r>
      <w:r>
        <w:rPr>
          <w:rFonts w:ascii="Times New Roman" w:eastAsia="Times New Roman" w:hAnsi="Times New Roman" w:cs="Times New Roman"/>
          <w:color w:val="000000"/>
          <w:sz w:val="24"/>
          <w:szCs w:val="24"/>
        </w:rPr>
        <w:t>, kurio funkcionalumas turi apimti:</w:t>
      </w:r>
    </w:p>
    <w:p w:rsidR="007C0EBD" w:rsidRDefault="00BE0DF0">
      <w:pPr>
        <w:numPr>
          <w:ilvl w:val="2"/>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Teikiamas ataskaitas, kuriose pateikiama techninė kenkėjiškų programų ir funkcijų analizė;</w:t>
      </w:r>
    </w:p>
    <w:p w:rsidR="007C0EBD" w:rsidRDefault="00BE0DF0">
      <w:pPr>
        <w:numPr>
          <w:ilvl w:val="2"/>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Kenkėjiškos infrastruktūros stebėjimą ir su juo susijusias ataskaitas;</w:t>
      </w:r>
    </w:p>
    <w:p w:rsidR="007C0EBD" w:rsidRDefault="00BE0DF0">
      <w:pPr>
        <w:numPr>
          <w:ilvl w:val="2"/>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Pasitelkus to srauto funkcionalumą, galimybė sekti DDoS kampanijas, kurias vykdo haktivistų (angl. Hacktivist) grupės;</w:t>
      </w:r>
    </w:p>
    <w:p w:rsidR="007C0EBD" w:rsidRDefault="00BE0DF0">
      <w:pPr>
        <w:numPr>
          <w:ilvl w:val="2"/>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Failų ir tinklo rodiklius;</w:t>
      </w:r>
    </w:p>
    <w:p w:rsidR="007C0EBD" w:rsidRDefault="00BE0DF0">
      <w:pPr>
        <w:numPr>
          <w:ilvl w:val="2"/>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Informacija apie kibernetines grėsmes, kuri renkama iš internetinių forumų, socialinės medijos, tekstinės informacijos įklijavimo, internetinių pokalbių, informavimo apie kibernetines grėsmes interneto svetainių, taip pat “gilaus” (angl deep) ir “tamsaus” (angl. Dark) internetų.</w:t>
      </w:r>
    </w:p>
    <w:p w:rsidR="007C0EBD" w:rsidRDefault="00BE0DF0">
      <w:pPr>
        <w:numPr>
          <w:ilvl w:val="2"/>
          <w:numId w:val="20"/>
        </w:numP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Duomenų srautas turi atlikti pažeidžiamumų vertinimą (angl. scoring of vulnerabilities) ir jų išnaudojimą (angl. exploit).</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Programinė įranga  privalo rinkti atvirajame internete skelbiamus straipsnius, naujienas ir ataskaitas susijusiais su:</w:t>
      </w:r>
    </w:p>
    <w:p w:rsidR="007C0EBD" w:rsidRDefault="00BE0DF0">
      <w:pPr>
        <w:numPr>
          <w:ilvl w:val="0"/>
          <w:numId w:val="17"/>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pažeidžiamumais;</w:t>
      </w:r>
    </w:p>
    <w:p w:rsidR="007C0EBD" w:rsidRDefault="00BE0DF0">
      <w:pPr>
        <w:numPr>
          <w:ilvl w:val="0"/>
          <w:numId w:val="17"/>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kenkėjiškų veikėjų bei programų veikla;</w:t>
      </w:r>
    </w:p>
    <w:p w:rsidR="007C0EBD" w:rsidRDefault="00BE0DF0">
      <w:pPr>
        <w:numPr>
          <w:ilvl w:val="0"/>
          <w:numId w:val="17"/>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informacijos nutekėjimu;</w:t>
      </w:r>
    </w:p>
    <w:p w:rsidR="007C0EBD" w:rsidRDefault="00BE0DF0">
      <w:pPr>
        <w:numPr>
          <w:ilvl w:val="0"/>
          <w:numId w:val="17"/>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vykstančias kibernetines atakas;</w:t>
      </w:r>
    </w:p>
    <w:p w:rsidR="007C0EBD" w:rsidRDefault="00BE0DF0">
      <w:pPr>
        <w:numPr>
          <w:ilvl w:val="0"/>
          <w:numId w:val="17"/>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išpirkos reikalaujančia kenkėjiška programine įranga, bei kitomis kibernetinėmis grėsmėmis.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Turi būti informacija renkama iš:</w:t>
      </w:r>
    </w:p>
    <w:p w:rsidR="007C0EBD" w:rsidRDefault="00BE0DF0">
      <w:pPr>
        <w:numPr>
          <w:ilvl w:val="0"/>
          <w:numId w:val="18"/>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nacionalinių ir kitų kompiuterių saugumo centrų (angl. CERT);</w:t>
      </w:r>
    </w:p>
    <w:p w:rsidR="007C0EBD" w:rsidRDefault="00BE0DF0">
      <w:pPr>
        <w:numPr>
          <w:ilvl w:val="0"/>
          <w:numId w:val="18"/>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blogų;</w:t>
      </w:r>
    </w:p>
    <w:p w:rsidR="007C0EBD" w:rsidRDefault="00BE0DF0">
      <w:pPr>
        <w:numPr>
          <w:ilvl w:val="0"/>
          <w:numId w:val="18"/>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pasaulinių (įskaitant, bet neapsiribojant Microsoft, Apple, Google, Oracle)  programinės ir saugumo įrangos gamintojų, </w:t>
      </w:r>
      <w:r>
        <w:rPr>
          <w:rFonts w:ascii="Times New Roman" w:eastAsia="Times New Roman" w:hAnsi="Times New Roman" w:cs="Times New Roman"/>
          <w:color w:val="000000"/>
          <w:sz w:val="24"/>
          <w:szCs w:val="24"/>
        </w:rPr>
        <w:lastRenderedPageBreak/>
        <w:t>bei kibernetinio saugumo ekspertų naujienų;</w:t>
      </w:r>
    </w:p>
    <w:p w:rsidR="007C0EBD" w:rsidRDefault="00BE0DF0">
      <w:pPr>
        <w:numPr>
          <w:ilvl w:val="0"/>
          <w:numId w:val="18"/>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socialinių tinklų;</w:t>
      </w:r>
    </w:p>
    <w:p w:rsidR="007C0EBD" w:rsidRDefault="00BE0DF0">
      <w:pPr>
        <w:numPr>
          <w:ilvl w:val="0"/>
          <w:numId w:val="18"/>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giliojo interneto (angl. Deep web);</w:t>
      </w:r>
    </w:p>
    <w:p w:rsidR="007C0EBD" w:rsidRDefault="00BE0DF0">
      <w:pPr>
        <w:numPr>
          <w:ilvl w:val="0"/>
          <w:numId w:val="18"/>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tamsiojo interneto (angl. Dark web).</w:t>
      </w:r>
    </w:p>
    <w:p w:rsidR="007C0EBD" w:rsidRDefault="00BE0DF0">
      <w:pPr>
        <w:numPr>
          <w:ilvl w:val="1"/>
          <w:numId w:val="20"/>
        </w:numP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Įranga turi turėti galimybę pridėti naujų informacijos šaltinių (naudojant API, ar STIX/TAXII formatus)</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Teikdama pažeidžiamumų informaciją, Programinė įranga privalo turėti sąsajas su didžiosiomis pažeidžiamumų duomenų bazėmis (VULDB, NVD) ir pagrindinėmis CVE paskyrimo institucijomis (angl. CNA - CVE Numbering Authorities).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Programinė įranga turi teikti pažeidžiamumų ir jų išnaudojimo vertinimą CVSS formatu.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Programinė įranga turi turėti galimybę pagal programinės įrangos pavadinimą atrasti informaciją apie pažeidžiamumus, neužfiksuotus CVE infrastruktūroje (angl. Zero-day vulnerability).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Programinės įrangos naudotojai turi turėti galimybę valdyti, keisti, bei plėsti jų stebimus sąrašus be apribojimų.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Programinė įranga turi leisti vartotojams sudaryti bei palaikyti žvalgyboje stebimų įmonių, organizacijų, miestų, asmenų, ar kitų subjektų sąrašus.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Programinė įranga turi palaikyti šaltinius rusų, ukrainiečių, kinų, korėjiečių, kalbomis.</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Programinė įranga turi turėti galimybę automatiškai versti šaltinius į anglų kalbą. </w:t>
      </w:r>
    </w:p>
    <w:p w:rsidR="007C0EBD" w:rsidRPr="00F875F6" w:rsidRDefault="00BE0DF0">
      <w:pPr>
        <w:numPr>
          <w:ilvl w:val="1"/>
          <w:numId w:val="20"/>
        </w:numPr>
        <w:spacing w:after="0" w:line="276"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000000"/>
          <w:sz w:val="24"/>
          <w:szCs w:val="24"/>
        </w:rPr>
        <w:t xml:space="preserve">Programinė įranga turi nuolatos atnaujinti informacinių skydelių turinį pagal stebimų </w:t>
      </w:r>
      <w:r w:rsidRPr="00F875F6">
        <w:rPr>
          <w:rFonts w:ascii="Times New Roman" w:eastAsia="Times New Roman" w:hAnsi="Times New Roman" w:cs="Times New Roman"/>
          <w:color w:val="auto"/>
          <w:sz w:val="24"/>
          <w:szCs w:val="24"/>
        </w:rPr>
        <w:t>subjektų sąrašus.</w:t>
      </w:r>
    </w:p>
    <w:p w:rsidR="007C0EBD" w:rsidRPr="00F875F6" w:rsidRDefault="00BE0DF0">
      <w:pPr>
        <w:numPr>
          <w:ilvl w:val="1"/>
          <w:numId w:val="20"/>
        </w:numPr>
        <w:spacing w:after="0" w:line="276" w:lineRule="auto"/>
        <w:jc w:val="both"/>
        <w:rPr>
          <w:rFonts w:ascii="Times New Roman" w:eastAsia="Times New Roman" w:hAnsi="Times New Roman" w:cs="Times New Roman"/>
          <w:color w:val="auto"/>
          <w:sz w:val="24"/>
          <w:szCs w:val="24"/>
        </w:rPr>
      </w:pPr>
      <w:r w:rsidRPr="00F875F6">
        <w:rPr>
          <w:rFonts w:ascii="Times New Roman" w:eastAsia="Times New Roman" w:hAnsi="Times New Roman" w:cs="Times New Roman"/>
          <w:color w:val="auto"/>
          <w:sz w:val="24"/>
          <w:szCs w:val="24"/>
        </w:rPr>
        <w:t>Programinės įrangos vartotojai turi turėti galimybę kurti savo informacinius skydelius pagal individualius reikalavimus be apribojimų dėl skydelių kiekio ar paskirties.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Naudotojo sąsaja turi būti anglų kalba.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Programinė įranga, naudodama informacinius skydelius (angl. dashboards) privalo teikti informaciją apie:</w:t>
      </w:r>
    </w:p>
    <w:p w:rsidR="007C0EBD" w:rsidRDefault="00BE0DF0">
      <w:pPr>
        <w:numPr>
          <w:ilvl w:val="0"/>
          <w:numId w:val="19"/>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techninės, programinės įrangos ir trečiųjų šalių pažeidžiamumus; </w:t>
      </w:r>
    </w:p>
    <w:p w:rsidR="007C0EBD" w:rsidRDefault="00BE0DF0">
      <w:pPr>
        <w:numPr>
          <w:ilvl w:val="0"/>
          <w:numId w:val="19"/>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operacinių technologijų (angl. OT - Operational Technology) pažeidžiamumus; </w:t>
      </w:r>
    </w:p>
    <w:p w:rsidR="007C0EBD" w:rsidRDefault="00BE0DF0">
      <w:pPr>
        <w:numPr>
          <w:ilvl w:val="0"/>
          <w:numId w:val="19"/>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grėsmių aktorių ir programinė įrangos (angl. threat actors and malware) elgesio ypatumus (angl. TTPs, - tactics, techniques and procedures) analitiniuose straipsniuose ir struktūrizuotai, pagal MITRE ATT&amp;CK matricą; </w:t>
      </w:r>
    </w:p>
    <w:p w:rsidR="007C0EBD" w:rsidRDefault="00BE0DF0">
      <w:pPr>
        <w:numPr>
          <w:ilvl w:val="0"/>
          <w:numId w:val="19"/>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atakas, susijusias su išpirkos reikalaujančia programine įranga (angl. ransomware) ir informacijos nutekėjimu (angl. data breaches) tiesiogiai iš kenkėjiškų aktorių naudojamų šaltinių (angl. </w:t>
      </w:r>
      <w:r>
        <w:rPr>
          <w:rFonts w:ascii="Times New Roman" w:eastAsia="Times New Roman" w:hAnsi="Times New Roman" w:cs="Times New Roman"/>
          <w:i/>
          <w:iCs/>
          <w:color w:val="000000"/>
          <w:sz w:val="24"/>
          <w:szCs w:val="24"/>
        </w:rPr>
        <w:t>ransomware dls data leak sites</w:t>
      </w:r>
      <w:r>
        <w:rPr>
          <w:rFonts w:ascii="Times New Roman" w:eastAsia="Times New Roman" w:hAnsi="Times New Roman" w:cs="Times New Roman"/>
          <w:color w:val="000000"/>
          <w:sz w:val="24"/>
          <w:szCs w:val="24"/>
        </w:rPr>
        <w:t>) ir iš atvirojo interneto; </w:t>
      </w:r>
    </w:p>
    <w:p w:rsidR="007C0EBD" w:rsidRDefault="00BE0DF0">
      <w:pPr>
        <w:numPr>
          <w:ilvl w:val="0"/>
          <w:numId w:val="19"/>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atakas ir rizikas, susijusias su  valstybėmis, geografiniais vienetais, įmonėmis, organizacijomis, asmenimis, ir kitais subjektais; </w:t>
      </w:r>
    </w:p>
    <w:p w:rsidR="007C0EBD" w:rsidRDefault="00BE0DF0">
      <w:pPr>
        <w:numPr>
          <w:ilvl w:val="0"/>
          <w:numId w:val="19"/>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grėsmių indikatorius.</w:t>
      </w:r>
    </w:p>
    <w:p w:rsidR="007C0EBD" w:rsidRDefault="00BE0DF0">
      <w:pPr>
        <w:numPr>
          <w:ilvl w:val="0"/>
          <w:numId w:val="19"/>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Platformos turinys turi būti pasiekiamas naudojant paiešką pagal:</w:t>
      </w:r>
    </w:p>
    <w:p w:rsidR="007C0EBD" w:rsidRDefault="00BE0DF0">
      <w:pPr>
        <w:numPr>
          <w:ilvl w:val="0"/>
          <w:numId w:val="1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geografinius regionus;</w:t>
      </w:r>
    </w:p>
    <w:p w:rsidR="007C0EBD" w:rsidRDefault="00BE0DF0">
      <w:pPr>
        <w:numPr>
          <w:ilvl w:val="0"/>
          <w:numId w:val="14"/>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veiklos sektorių;</w:t>
      </w:r>
    </w:p>
    <w:p w:rsidR="007C0EBD" w:rsidRDefault="00BE0DF0">
      <w:pPr>
        <w:numPr>
          <w:ilvl w:val="0"/>
          <w:numId w:val="1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įstaigos ar kito subjekto pavadinimą;</w:t>
      </w:r>
    </w:p>
    <w:p w:rsidR="007C0EBD" w:rsidRDefault="00BE0DF0">
      <w:pPr>
        <w:numPr>
          <w:ilvl w:val="0"/>
          <w:numId w:val="11"/>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kenksmingo subjekto pavadinimą;</w:t>
      </w:r>
    </w:p>
    <w:p w:rsidR="007C0EBD" w:rsidRPr="00CE671D" w:rsidRDefault="00CE7C53">
      <w:pPr>
        <w:numPr>
          <w:ilvl w:val="0"/>
          <w:numId w:val="11"/>
        </w:numPr>
        <w:spacing w:after="0" w:line="276" w:lineRule="auto"/>
        <w:jc w:val="both"/>
        <w:rPr>
          <w:rFonts w:ascii="Times New Roman" w:eastAsia="Times New Roman" w:hAnsi="Times New Roman" w:cs="Times New Roman"/>
          <w:color w:val="auto"/>
          <w:sz w:val="24"/>
          <w:szCs w:val="24"/>
        </w:rPr>
      </w:pPr>
      <w:sdt>
        <w:sdtPr>
          <w:tag w:val="goog_rdk_2"/>
          <w:id w:val="-1504052755"/>
        </w:sdtPr>
        <w:sdtEndPr/>
        <w:sdtContent/>
      </w:sdt>
      <w:r w:rsidR="00BE0DF0" w:rsidRPr="00CE671D">
        <w:rPr>
          <w:rFonts w:ascii="Times New Roman" w:eastAsia="Times New Roman" w:hAnsi="Times New Roman" w:cs="Times New Roman"/>
          <w:color w:val="auto"/>
          <w:sz w:val="24"/>
          <w:szCs w:val="24"/>
        </w:rPr>
        <w:t>raktinius žodžius susijusius su kibernetiniu saugumu;</w:t>
      </w:r>
    </w:p>
    <w:p w:rsidR="007C0EBD" w:rsidRPr="00CE671D" w:rsidRDefault="00BE0DF0">
      <w:pPr>
        <w:numPr>
          <w:ilvl w:val="0"/>
          <w:numId w:val="11"/>
        </w:numPr>
        <w:spacing w:after="0" w:line="276" w:lineRule="auto"/>
        <w:jc w:val="both"/>
        <w:rPr>
          <w:rFonts w:ascii="Times New Roman" w:eastAsia="Times New Roman" w:hAnsi="Times New Roman" w:cs="Times New Roman"/>
          <w:color w:val="auto"/>
          <w:sz w:val="24"/>
          <w:szCs w:val="24"/>
        </w:rPr>
      </w:pPr>
      <w:r w:rsidRPr="00CE671D">
        <w:rPr>
          <w:rFonts w:ascii="Times New Roman" w:eastAsia="Times New Roman" w:hAnsi="Times New Roman" w:cs="Times New Roman"/>
          <w:color w:val="auto"/>
          <w:sz w:val="24"/>
          <w:szCs w:val="24"/>
        </w:rPr>
        <w:t>pažeidžiamumų CVE pavadinimus;</w:t>
      </w:r>
    </w:p>
    <w:p w:rsidR="007C0EBD" w:rsidRDefault="00BE0DF0">
      <w:pPr>
        <w:numPr>
          <w:ilvl w:val="0"/>
          <w:numId w:val="1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sąsajas tarp geografijos, sektorių ir kenksmingų subjektų.</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Programinė įranga turi turėti galimybę automatiniais bei automatiniu-sustiprintu (angl. automation-enhanced) metodais, pasitelkdama dirbtinį intelektą, kurti ataskaitas bei įspėjamuosius pranešimus, kurie, esant poreikiui, gali būti siunčiami el. paštu nustatytiems gavėjų sąrašams.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Programinė įranga turi turėti galimybę pašalinti visas nuorodas į platformą iš ataskaitų bei pranešimų, ir nukreipti pranešimų gavėjus į pirminius informacijos šaltinius.</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Programinės įrangos gamintojas privalo turėti galimybę suteikti prieigą prie automatizuoto struktūrizuoto kompromitavimo indikatorių (angl. IOC - indicators of compromise) srauto STIX formatu, suderinamu su PO naudojamomis grėsmių indikatorių analizės platforma (MISP).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Programinės įrangos gamintojas privalo turėti galimybę suteikti prieigą prie įrangos aplikacij</w:t>
      </w:r>
      <w:r>
        <w:rPr>
          <w:rFonts w:ascii="Times New Roman" w:eastAsia="Times New Roman" w:hAnsi="Times New Roman" w:cs="Times New Roman"/>
          <w:color w:val="000000"/>
          <w:sz w:val="24"/>
          <w:szCs w:val="24"/>
          <w:u w:val="single"/>
        </w:rPr>
        <w:t>ų</w:t>
      </w:r>
      <w:r>
        <w:rPr>
          <w:rFonts w:ascii="Times New Roman" w:eastAsia="Times New Roman" w:hAnsi="Times New Roman" w:cs="Times New Roman"/>
          <w:color w:val="000000"/>
          <w:sz w:val="24"/>
          <w:szCs w:val="24"/>
        </w:rPr>
        <w:t xml:space="preserve"> programavimo sąsajos (angl. API - Application Programming Interface), kuri leistų bet kokią informaciją, esančią analitinėje platformoje, pasiekti JSON formatu. </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Programinė įranga turi turėti funkcijas leidžiančias naudotojams automatizuotu būdu į platformą įkelti PDF ir CSV formato ataskaitas, ir pateikti platesnę informaciją apie ataskaitose minimus pažeidžiamumus, taip pat kenkėjiškus aktorius bei programas.</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Programinė įranga privalo gebėti automatizuotai kurti ataskaitas apie grėsmes, ir taikyti perkančiosios organizacijos šablonus ataskaitų kūrimui.</w:t>
      </w:r>
    </w:p>
    <w:p w:rsidR="007C0EBD" w:rsidRPr="00F875F6" w:rsidRDefault="00BE0DF0">
      <w:pPr>
        <w:numPr>
          <w:ilvl w:val="1"/>
          <w:numId w:val="20"/>
        </w:numPr>
        <w:spacing w:after="0" w:line="276"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000000"/>
          <w:sz w:val="24"/>
          <w:szCs w:val="24"/>
        </w:rPr>
        <w:t xml:space="preserve">Vartotojai turi turėti galimybę kurti ataskaitas tiesiogiai analitinėje platformoje, naudodami </w:t>
      </w:r>
      <w:r w:rsidRPr="00F875F6">
        <w:rPr>
          <w:rFonts w:ascii="Times New Roman" w:eastAsia="Times New Roman" w:hAnsi="Times New Roman" w:cs="Times New Roman"/>
          <w:color w:val="auto"/>
          <w:sz w:val="24"/>
          <w:szCs w:val="24"/>
        </w:rPr>
        <w:t>perkančiosios organizacijos ataskaitų šablonus, su galimybe ataskaitas iškelti DOCX formatu. </w:t>
      </w:r>
    </w:p>
    <w:p w:rsidR="007C0EBD" w:rsidRPr="00F875F6" w:rsidRDefault="00CE7C53">
      <w:pPr>
        <w:numPr>
          <w:ilvl w:val="1"/>
          <w:numId w:val="20"/>
        </w:numPr>
        <w:spacing w:after="0" w:line="276" w:lineRule="auto"/>
        <w:jc w:val="both"/>
        <w:rPr>
          <w:rFonts w:ascii="Times New Roman" w:eastAsia="Times New Roman" w:hAnsi="Times New Roman" w:cs="Times New Roman"/>
          <w:color w:val="auto"/>
          <w:sz w:val="24"/>
          <w:szCs w:val="24"/>
        </w:rPr>
      </w:pPr>
      <w:sdt>
        <w:sdtPr>
          <w:rPr>
            <w:color w:val="auto"/>
          </w:rPr>
          <w:tag w:val="goog_rdk_3"/>
          <w:id w:val="248186788"/>
        </w:sdtPr>
        <w:sdtEndPr/>
        <w:sdtContent/>
      </w:sdt>
      <w:r w:rsidR="00BE0DF0" w:rsidRPr="00F875F6">
        <w:rPr>
          <w:rFonts w:ascii="Times New Roman" w:eastAsia="Times New Roman" w:hAnsi="Times New Roman" w:cs="Times New Roman"/>
          <w:color w:val="auto"/>
          <w:sz w:val="24"/>
          <w:szCs w:val="24"/>
        </w:rPr>
        <w:t xml:space="preserve">Programinė įranga turi leisti kurti ataskaitas ir jas redaguoti įskaitant paveikslėlių, lentelių bei nuorodų pridėjimą. </w:t>
      </w:r>
    </w:p>
    <w:p w:rsidR="007C0EBD" w:rsidRPr="00F875F6" w:rsidRDefault="00BE0DF0">
      <w:pPr>
        <w:numPr>
          <w:ilvl w:val="1"/>
          <w:numId w:val="20"/>
        </w:numPr>
        <w:spacing w:after="0" w:line="276" w:lineRule="auto"/>
        <w:jc w:val="both"/>
        <w:rPr>
          <w:rFonts w:ascii="Times New Roman" w:eastAsia="Times New Roman" w:hAnsi="Times New Roman" w:cs="Times New Roman"/>
          <w:color w:val="auto"/>
          <w:sz w:val="24"/>
          <w:szCs w:val="24"/>
        </w:rPr>
      </w:pPr>
      <w:r w:rsidRPr="00F875F6">
        <w:rPr>
          <w:rFonts w:ascii="Times New Roman" w:eastAsia="Times New Roman" w:hAnsi="Times New Roman" w:cs="Times New Roman"/>
          <w:color w:val="auto"/>
          <w:sz w:val="24"/>
          <w:szCs w:val="24"/>
        </w:rPr>
        <w:lastRenderedPageBreak/>
        <w:t>Programinė įranga turi leisti prisidėti ataskaitų dizaino šablonus ir neriboti turimų dizainų kiekio.</w:t>
      </w:r>
    </w:p>
    <w:p w:rsidR="007C0EBD" w:rsidRPr="00F875F6" w:rsidRDefault="00BE0DF0">
      <w:pPr>
        <w:numPr>
          <w:ilvl w:val="1"/>
          <w:numId w:val="20"/>
        </w:numPr>
        <w:spacing w:after="0" w:line="276" w:lineRule="auto"/>
        <w:jc w:val="both"/>
        <w:rPr>
          <w:rFonts w:ascii="Times New Roman" w:eastAsia="Times New Roman" w:hAnsi="Times New Roman" w:cs="Times New Roman"/>
          <w:color w:val="auto"/>
          <w:sz w:val="24"/>
          <w:szCs w:val="24"/>
        </w:rPr>
      </w:pPr>
      <w:r w:rsidRPr="00F875F6">
        <w:rPr>
          <w:rFonts w:ascii="Times New Roman" w:eastAsia="Times New Roman" w:hAnsi="Times New Roman" w:cs="Times New Roman"/>
          <w:color w:val="auto"/>
          <w:sz w:val="24"/>
          <w:szCs w:val="24"/>
        </w:rPr>
        <w:t>Programinė įranga turi leisti kurti užklausas (angl. tickets), kurio</w:t>
      </w:r>
      <w:r w:rsidR="00F875F6" w:rsidRPr="00F875F6">
        <w:rPr>
          <w:rFonts w:ascii="Times New Roman" w:eastAsia="Times New Roman" w:hAnsi="Times New Roman" w:cs="Times New Roman"/>
          <w:color w:val="auto"/>
          <w:sz w:val="24"/>
          <w:szCs w:val="24"/>
        </w:rPr>
        <w:t xml:space="preserve">se </w:t>
      </w:r>
      <w:r w:rsidRPr="00F875F6">
        <w:rPr>
          <w:rFonts w:ascii="Times New Roman" w:eastAsia="Times New Roman" w:hAnsi="Times New Roman" w:cs="Times New Roman"/>
          <w:color w:val="auto"/>
          <w:sz w:val="24"/>
          <w:szCs w:val="24"/>
        </w:rPr>
        <w:t xml:space="preserve">būtų galima priskirti atsakingą darbuotoją, keisti užklausos būseną, pasirinkti </w:t>
      </w:r>
      <w:r w:rsidR="00F875F6" w:rsidRPr="00F875F6">
        <w:rPr>
          <w:rFonts w:ascii="Times New Roman" w:eastAsia="Times New Roman" w:hAnsi="Times New Roman" w:cs="Times New Roman"/>
          <w:color w:val="auto"/>
          <w:sz w:val="24"/>
          <w:szCs w:val="24"/>
        </w:rPr>
        <w:t xml:space="preserve">datą, </w:t>
      </w:r>
      <w:r w:rsidRPr="00F875F6">
        <w:rPr>
          <w:rFonts w:ascii="Times New Roman" w:eastAsia="Times New Roman" w:hAnsi="Times New Roman" w:cs="Times New Roman"/>
          <w:color w:val="auto"/>
          <w:sz w:val="24"/>
          <w:szCs w:val="24"/>
        </w:rPr>
        <w:t>iki kada reikia atlikti</w:t>
      </w:r>
      <w:r w:rsidR="00F875F6" w:rsidRPr="00F875F6">
        <w:rPr>
          <w:rFonts w:ascii="Times New Roman" w:eastAsia="Times New Roman" w:hAnsi="Times New Roman" w:cs="Times New Roman"/>
          <w:color w:val="auto"/>
          <w:sz w:val="24"/>
          <w:szCs w:val="24"/>
        </w:rPr>
        <w:t xml:space="preserve"> užduotį</w:t>
      </w:r>
      <w:r w:rsidRPr="00F875F6">
        <w:rPr>
          <w:rFonts w:ascii="Times New Roman" w:eastAsia="Times New Roman" w:hAnsi="Times New Roman" w:cs="Times New Roman"/>
          <w:color w:val="auto"/>
          <w:sz w:val="24"/>
          <w:szCs w:val="24"/>
        </w:rPr>
        <w:t>, susieti užklausa su ataskaita bei pridėti papildomus dokumentus</w:t>
      </w:r>
      <w:r w:rsidR="00F875F6" w:rsidRPr="00F875F6">
        <w:rPr>
          <w:rFonts w:ascii="Times New Roman" w:eastAsia="Times New Roman" w:hAnsi="Times New Roman" w:cs="Times New Roman"/>
          <w:color w:val="auto"/>
          <w:sz w:val="24"/>
          <w:szCs w:val="24"/>
        </w:rPr>
        <w:t xml:space="preserve">, taip pat nustatyti svarbos lygį (angl. Priority), pridėti įvairias žymas (angl. Label) </w:t>
      </w:r>
      <w:r w:rsidRPr="00F875F6">
        <w:rPr>
          <w:rFonts w:ascii="Times New Roman" w:eastAsia="Times New Roman" w:hAnsi="Times New Roman" w:cs="Times New Roman"/>
          <w:color w:val="auto"/>
          <w:sz w:val="24"/>
          <w:szCs w:val="24"/>
        </w:rPr>
        <w:t xml:space="preserve">. </w:t>
      </w:r>
    </w:p>
    <w:p w:rsidR="007C0EBD" w:rsidRPr="00F875F6" w:rsidRDefault="00BE0DF0">
      <w:pPr>
        <w:numPr>
          <w:ilvl w:val="1"/>
          <w:numId w:val="20"/>
        </w:numPr>
        <w:spacing w:after="0" w:line="276" w:lineRule="auto"/>
        <w:jc w:val="both"/>
        <w:rPr>
          <w:rFonts w:ascii="Times New Roman" w:eastAsia="Times New Roman" w:hAnsi="Times New Roman" w:cs="Times New Roman"/>
          <w:color w:val="auto"/>
          <w:sz w:val="24"/>
          <w:szCs w:val="24"/>
        </w:rPr>
      </w:pPr>
      <w:r w:rsidRPr="00F875F6">
        <w:rPr>
          <w:rFonts w:ascii="Times New Roman" w:eastAsia="Times New Roman" w:hAnsi="Times New Roman" w:cs="Times New Roman"/>
          <w:color w:val="auto"/>
          <w:sz w:val="24"/>
          <w:szCs w:val="24"/>
        </w:rPr>
        <w:t>Programinė įranga turi turėtį užklausų statistiką ir leisti ją filtruoti pagal užklausų būsenas ir / arba datą.</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Palaikymas turi būti užtikrinamas visų paslaugos teikimo laikotarpiu skaičiuojant nuo programinės įrangos įdiegimo šia apimtimi:</w:t>
      </w:r>
    </w:p>
    <w:p w:rsidR="007C0EBD" w:rsidRDefault="00BE0DF0">
      <w:pPr>
        <w:numPr>
          <w:ilvl w:val="1"/>
          <w:numId w:val="20"/>
        </w:numP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turi būti priskirtas dedikuotas programinės įrangos specialistas, kuris rūpinasi PO poreikiais ir užtikrina sklandų bendradarbiavimą.</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Specialistas turi teikti konsultacijas dėl programinės įrangos atnaujinimų, klaidų taisymų bei geriausių praktikų taikymo.</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Konsultacijos turi vykti ne rečiau kaip kas mėnesį, organizuojant gyvo skambučio sesijas.</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Visiems sistemos naudotojams turi būti suteikti apmokymai, kaip naudotis programine įranga, taip pat mokymai esant poreikiui, turi būti organizuojami naujai prisijungusiems darbuotojams.</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Kiekvieną ketvirtį specialistas su programos naudotojais aptaria pasiektus tikslus ir iškelia naujus ateinančiam ketvirčiui.</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turi gauti integracijų inžinieriaus kontaktus (el. Paštą, prieigą prie nuotolinio bendravimo priemonių ar kitas priemones, leidžiančias susisiekti), kuris konsultuos  su API komunikacija susijusiais klausimais.</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turi teisę siūlyti programinės įrangos tobulinimus, stebėti jų įgyvendinimą ir dalyvauti naujų funkcijų bandymuose.</w:t>
      </w:r>
    </w:p>
    <w:p w:rsidR="007C0EBD" w:rsidRDefault="00BE0DF0">
      <w:pPr>
        <w:numPr>
          <w:ilvl w:val="1"/>
          <w:numId w:val="2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Techninių klaidų / kliūčių sprendimo terminai:</w:t>
      </w:r>
    </w:p>
    <w:p w:rsidR="007C0EBD" w:rsidRDefault="00BE0DF0">
      <w:pPr>
        <w:numPr>
          <w:ilvl w:val="0"/>
          <w:numId w:val="21"/>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Svarbi klaida, kuri neleidžia naudotis sistema:</w:t>
      </w:r>
    </w:p>
    <w:p w:rsidR="007C0EBD" w:rsidRDefault="00BE0DF0">
      <w:pPr>
        <w:numPr>
          <w:ilvl w:val="0"/>
          <w:numId w:val="9"/>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Pirminis atsakymas - ne vėliau nei per 4 darbo valandas;</w:t>
      </w:r>
    </w:p>
    <w:p w:rsidR="007C0EBD" w:rsidRDefault="00BE0DF0">
      <w:pPr>
        <w:numPr>
          <w:ilvl w:val="0"/>
          <w:numId w:val="8"/>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Pirminis sprendimas -  ne vėliau nei per 12 darbo valandų;</w:t>
      </w:r>
    </w:p>
    <w:p w:rsidR="007C0EBD" w:rsidRDefault="00BE0DF0">
      <w:pPr>
        <w:numPr>
          <w:ilvl w:val="0"/>
          <w:numId w:val="7"/>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Nuolatinis sprendimas -  ne vėliau nei per 2  savaites;</w:t>
      </w:r>
    </w:p>
    <w:p w:rsidR="007C0EBD" w:rsidRDefault="00BE0DF0">
      <w:pPr>
        <w:numPr>
          <w:ilvl w:val="0"/>
          <w:numId w:val="21"/>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Vidutinio svarbumo klaida, kuri paveikia PO būtinas sistemos ypatybes, ir neigiamai veikia įprastą PO darbą:</w:t>
      </w:r>
    </w:p>
    <w:p w:rsidR="007C0EBD" w:rsidRDefault="00BE0DF0">
      <w:pPr>
        <w:numPr>
          <w:ilvl w:val="0"/>
          <w:numId w:val="6"/>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Pirminis atsakymas - ne vėliau nei per 8 darbo valandas;</w:t>
      </w:r>
    </w:p>
    <w:p w:rsidR="007C0EBD" w:rsidRDefault="00BE0DF0">
      <w:pPr>
        <w:numPr>
          <w:ilvl w:val="0"/>
          <w:numId w:val="5"/>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Pirminis sprendimas -  ne vėliau nei per 2 darbo dienas;</w:t>
      </w:r>
    </w:p>
    <w:p w:rsidR="007C0EBD" w:rsidRDefault="00BE0DF0">
      <w:pPr>
        <w:numPr>
          <w:ilvl w:val="0"/>
          <w:numId w:val="4"/>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Nuolatinis sprendimas - ne vėliau nei per 4 </w:t>
      </w:r>
      <w:r>
        <w:rPr>
          <w:rFonts w:ascii="Times New Roman" w:eastAsia="Times New Roman" w:hAnsi="Times New Roman" w:cs="Times New Roman"/>
          <w:strike/>
          <w:color w:val="000000"/>
          <w:sz w:val="24"/>
          <w:szCs w:val="24"/>
        </w:rPr>
        <w:t xml:space="preserve"> </w:t>
      </w:r>
      <w:r>
        <w:rPr>
          <w:rFonts w:ascii="Times New Roman" w:eastAsia="Times New Roman" w:hAnsi="Times New Roman" w:cs="Times New Roman"/>
          <w:color w:val="000000"/>
          <w:sz w:val="24"/>
          <w:szCs w:val="24"/>
        </w:rPr>
        <w:t>savaites;</w:t>
      </w:r>
    </w:p>
    <w:p w:rsidR="007C0EBD" w:rsidRDefault="00BE0DF0">
      <w:pPr>
        <w:numPr>
          <w:ilvl w:val="0"/>
          <w:numId w:val="21"/>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Smulki klaida, kuri iš esmės nepaveikia klientui svarbių sistemos ypatybių:</w:t>
      </w:r>
    </w:p>
    <w:p w:rsidR="007C0EBD" w:rsidRDefault="00BE0DF0">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Pirminis atsakymas - ne vėliau nei per 5 darbo dienas;</w:t>
      </w:r>
    </w:p>
    <w:p w:rsidR="007C0EBD" w:rsidRDefault="00BE0DF0">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Pirminis sprendimas - ne vėliau nei kito programinės įrangos atnaujinimo metu;</w:t>
      </w:r>
    </w:p>
    <w:p w:rsidR="007C0EBD" w:rsidRDefault="00BE0DF0">
      <w:pPr>
        <w:numPr>
          <w:ilvl w:val="0"/>
          <w:numId w:val="1"/>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Nuolatinis sprendimas - ne vėliau nei  kito programinės įrangos atnaujinimo metu.</w:t>
      </w:r>
    </w:p>
    <w:p w:rsidR="007C0EBD" w:rsidRDefault="007C0EBD">
      <w:pPr>
        <w:rPr>
          <w:rFonts w:ascii="Times New Roman" w:eastAsia="Times New Roman" w:hAnsi="Times New Roman" w:cs="Times New Roman"/>
          <w:sz w:val="24"/>
          <w:szCs w:val="24"/>
        </w:rPr>
      </w:pPr>
    </w:p>
    <w:sectPr w:rsidR="007C0EBD">
      <w:headerReference w:type="default" r:id="rId9"/>
      <w:headerReference w:type="first" r:id="rId10"/>
      <w:pgSz w:w="12240" w:h="15840"/>
      <w:pgMar w:top="1134" w:right="630" w:bottom="1134" w:left="1440" w:header="720" w:footer="51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427F" w:rsidRDefault="0085427F">
      <w:pPr>
        <w:spacing w:after="0" w:line="240" w:lineRule="auto"/>
      </w:pPr>
      <w:r>
        <w:separator/>
      </w:r>
    </w:p>
  </w:endnote>
  <w:endnote w:type="continuationSeparator" w:id="0">
    <w:p w:rsidR="0085427F" w:rsidRDefault="00854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10AC31E7-2CC2-4CB1-926A-6DE4D6C85C60}"/>
  </w:font>
  <w:font w:name="Calibri">
    <w:panose1 w:val="020F0502020204030204"/>
    <w:charset w:val="BA"/>
    <w:family w:val="swiss"/>
    <w:pitch w:val="variable"/>
    <w:sig w:usb0="E0002EFF" w:usb1="C000247B" w:usb2="00000009" w:usb3="00000000" w:csb0="000001FF" w:csb1="00000000"/>
    <w:embedRegular r:id="rId2" w:fontKey="{5F007154-E15A-4A93-AD6D-681B31622305}"/>
    <w:embedBold r:id="rId3" w:fontKey="{F9E4CB78-E10F-4464-87B6-E1B65899F0D4}"/>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4" w:fontKey="{4D751FF8-D002-4F35-A793-D56DC0DDC78E}"/>
  </w:font>
  <w:font w:name="Segoe UI">
    <w:panose1 w:val="020B0502040204020203"/>
    <w:charset w:val="BA"/>
    <w:family w:val="swiss"/>
    <w:pitch w:val="variable"/>
    <w:sig w:usb0="E4002EFF" w:usb1="C000E47F" w:usb2="00000009" w:usb3="00000000" w:csb0="000001FF" w:csb1="00000000"/>
    <w:embedRegular r:id="rId5" w:fontKey="{26DEBF9E-D764-4DCB-863C-4EBECEB8EA7D}"/>
  </w:font>
  <w:font w:name="Cambria">
    <w:panose1 w:val="02040503050406030204"/>
    <w:charset w:val="BA"/>
    <w:family w:val="roman"/>
    <w:pitch w:val="variable"/>
    <w:sig w:usb0="E00006FF" w:usb1="420024FF" w:usb2="02000000" w:usb3="00000000" w:csb0="0000019F" w:csb1="00000000"/>
    <w:embedRegular r:id="rId6" w:fontKey="{13F23A64-044C-4CC8-A4F6-DA2791C78FB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427F" w:rsidRDefault="0085427F">
      <w:pPr>
        <w:spacing w:after="0" w:line="240" w:lineRule="auto"/>
      </w:pPr>
      <w:r>
        <w:separator/>
      </w:r>
    </w:p>
  </w:footnote>
  <w:footnote w:type="continuationSeparator" w:id="0">
    <w:p w:rsidR="0085427F" w:rsidRDefault="00854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EBD" w:rsidRDefault="00BE0DF0">
    <w:pPr>
      <w:pBdr>
        <w:top w:val="nil"/>
        <w:left w:val="nil"/>
        <w:bottom w:val="nil"/>
        <w:right w:val="nil"/>
        <w:between w:val="nil"/>
      </w:pBdr>
      <w:tabs>
        <w:tab w:val="center" w:pos="4680"/>
        <w:tab w:val="right" w:pos="9360"/>
        <w:tab w:val="center" w:pos="5085"/>
        <w:tab w:val="left" w:pos="5576"/>
      </w:tabs>
      <w:spacing w:after="0" w:line="240" w:lineRule="auto"/>
    </w:pPr>
    <w:r>
      <w:tab/>
    </w:r>
    <w:r>
      <w:tab/>
    </w:r>
    <w:r>
      <w:fldChar w:fldCharType="begin"/>
    </w:r>
    <w:r>
      <w:instrText>PAGE</w:instrText>
    </w:r>
    <w:r>
      <w:fldChar w:fldCharType="separate"/>
    </w:r>
    <w:r w:rsidR="00CE7C53">
      <w:rPr>
        <w:noProof/>
      </w:rPr>
      <w:t>4</w:t>
    </w:r>
    <w:r>
      <w:fldChar w:fldCharType="end"/>
    </w:r>
  </w:p>
  <w:p w:rsidR="007C0EBD" w:rsidRDefault="007C0EBD">
    <w:pPr>
      <w:pBdr>
        <w:top w:val="nil"/>
        <w:left w:val="nil"/>
        <w:bottom w:val="nil"/>
        <w:right w:val="nil"/>
        <w:between w:val="nil"/>
      </w:pBd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EBD" w:rsidRDefault="007C0EBD">
    <w:pPr>
      <w:pBdr>
        <w:top w:val="nil"/>
        <w:left w:val="nil"/>
        <w:bottom w:val="nil"/>
        <w:right w:val="nil"/>
        <w:between w:val="nil"/>
      </w:pBdr>
      <w:tabs>
        <w:tab w:val="center" w:pos="4680"/>
        <w:tab w:val="right" w:pos="9360"/>
      </w:tabs>
      <w:spacing w:after="0" w:line="240" w:lineRule="auto"/>
    </w:pPr>
  </w:p>
  <w:p w:rsidR="007C0EBD" w:rsidRDefault="007C0EBD">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6B4E"/>
    <w:multiLevelType w:val="multilevel"/>
    <w:tmpl w:val="A95261BE"/>
    <w:lvl w:ilvl="0">
      <w:start w:val="1"/>
      <w:numFmt w:val="bullet"/>
      <w:lvlText w:val="-"/>
      <w:lvlJc w:val="left"/>
      <w:pPr>
        <w:ind w:left="1080" w:hanging="360"/>
      </w:pPr>
      <w:rPr>
        <w:rFonts w:ascii="Aptos" w:eastAsia="Aptos" w:hAnsi="Aptos" w:cs="Apto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50952F6"/>
    <w:multiLevelType w:val="multilevel"/>
    <w:tmpl w:val="E86E4C48"/>
    <w:lvl w:ilvl="0">
      <w:start w:val="1"/>
      <w:numFmt w:val="bullet"/>
      <w:lvlText w:val="-"/>
      <w:lvlJc w:val="left"/>
      <w:pPr>
        <w:ind w:left="1080" w:hanging="360"/>
      </w:pPr>
      <w:rPr>
        <w:rFonts w:ascii="Aptos" w:eastAsia="Aptos" w:hAnsi="Aptos" w:cs="Apto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5541E5A"/>
    <w:multiLevelType w:val="multilevel"/>
    <w:tmpl w:val="1E201426"/>
    <w:lvl w:ilvl="0">
      <w:start w:val="1"/>
      <w:numFmt w:val="bullet"/>
      <w:lvlText w:val="-"/>
      <w:lvlJc w:val="left"/>
      <w:pPr>
        <w:ind w:left="1080" w:hanging="360"/>
      </w:pPr>
      <w:rPr>
        <w:rFonts w:ascii="Aptos" w:eastAsia="Aptos" w:hAnsi="Aptos" w:cs="Apto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62F73C9"/>
    <w:multiLevelType w:val="multilevel"/>
    <w:tmpl w:val="5F2C7D6C"/>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 w15:restartNumberingAfterBreak="0">
    <w:nsid w:val="06481CDF"/>
    <w:multiLevelType w:val="multilevel"/>
    <w:tmpl w:val="AE929FA8"/>
    <w:lvl w:ilvl="0">
      <w:start w:val="1"/>
      <w:numFmt w:val="bullet"/>
      <w:lvlText w:val="-"/>
      <w:lvlJc w:val="left"/>
      <w:pPr>
        <w:ind w:left="1080" w:hanging="360"/>
      </w:pPr>
      <w:rPr>
        <w:rFonts w:ascii="Aptos" w:eastAsia="Aptos" w:hAnsi="Aptos" w:cs="Apto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75502F3"/>
    <w:multiLevelType w:val="multilevel"/>
    <w:tmpl w:val="A0FA184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1A804649"/>
    <w:multiLevelType w:val="multilevel"/>
    <w:tmpl w:val="6268A52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EB77DDE"/>
    <w:multiLevelType w:val="multilevel"/>
    <w:tmpl w:val="18467C20"/>
    <w:lvl w:ilvl="0">
      <w:start w:val="1"/>
      <w:numFmt w:val="bullet"/>
      <w:lvlText w:val="-"/>
      <w:lvlJc w:val="left"/>
      <w:pPr>
        <w:ind w:left="1080" w:hanging="360"/>
      </w:pPr>
      <w:rPr>
        <w:rFonts w:ascii="Aptos" w:eastAsia="Aptos" w:hAnsi="Aptos" w:cs="Apto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6DE5A5A"/>
    <w:multiLevelType w:val="multilevel"/>
    <w:tmpl w:val="D69CAB1C"/>
    <w:lvl w:ilvl="0">
      <w:start w:val="1"/>
      <w:numFmt w:val="bullet"/>
      <w:lvlText w:val="-"/>
      <w:lvlJc w:val="left"/>
      <w:pPr>
        <w:ind w:left="1080" w:hanging="360"/>
      </w:pPr>
      <w:rPr>
        <w:rFonts w:ascii="Aptos" w:eastAsia="Aptos" w:hAnsi="Aptos" w:cs="Apto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E6C32E0"/>
    <w:multiLevelType w:val="multilevel"/>
    <w:tmpl w:val="11228D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EEF4772"/>
    <w:multiLevelType w:val="multilevel"/>
    <w:tmpl w:val="5B3A41A2"/>
    <w:lvl w:ilvl="0">
      <w:start w:val="1"/>
      <w:numFmt w:val="bullet"/>
      <w:lvlText w:val="-"/>
      <w:lvlJc w:val="left"/>
      <w:pPr>
        <w:ind w:left="1080" w:hanging="360"/>
      </w:pPr>
      <w:rPr>
        <w:rFonts w:ascii="Aptos" w:eastAsia="Aptos" w:hAnsi="Aptos" w:cs="Apto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30CB0CEA"/>
    <w:multiLevelType w:val="multilevel"/>
    <w:tmpl w:val="31784D7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6161F13"/>
    <w:multiLevelType w:val="multilevel"/>
    <w:tmpl w:val="B5ACF47A"/>
    <w:lvl w:ilvl="0">
      <w:start w:val="1"/>
      <w:numFmt w:val="bullet"/>
      <w:lvlText w:val="-"/>
      <w:lvlJc w:val="left"/>
      <w:pPr>
        <w:ind w:left="1080" w:hanging="360"/>
      </w:pPr>
      <w:rPr>
        <w:rFonts w:ascii="Aptos" w:eastAsia="Aptos" w:hAnsi="Aptos" w:cs="Apto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40A372CD"/>
    <w:multiLevelType w:val="multilevel"/>
    <w:tmpl w:val="D7EE5E2A"/>
    <w:lvl w:ilvl="0">
      <w:start w:val="1"/>
      <w:numFmt w:val="bullet"/>
      <w:lvlText w:val="-"/>
      <w:lvlJc w:val="left"/>
      <w:pPr>
        <w:ind w:left="1080" w:hanging="360"/>
      </w:pPr>
      <w:rPr>
        <w:rFonts w:ascii="Aptos" w:eastAsia="Aptos" w:hAnsi="Aptos" w:cs="Apto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43F84F87"/>
    <w:multiLevelType w:val="multilevel"/>
    <w:tmpl w:val="60144E62"/>
    <w:lvl w:ilvl="0">
      <w:start w:val="1"/>
      <w:numFmt w:val="bullet"/>
      <w:lvlText w:val="-"/>
      <w:lvlJc w:val="left"/>
      <w:pPr>
        <w:ind w:left="1080" w:hanging="360"/>
      </w:pPr>
      <w:rPr>
        <w:rFonts w:ascii="Aptos" w:eastAsia="Aptos" w:hAnsi="Aptos" w:cs="Apto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47294416"/>
    <w:multiLevelType w:val="multilevel"/>
    <w:tmpl w:val="765E7B5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514A3F91"/>
    <w:multiLevelType w:val="multilevel"/>
    <w:tmpl w:val="DC1A542C"/>
    <w:lvl w:ilvl="0">
      <w:start w:val="1"/>
      <w:numFmt w:val="bullet"/>
      <w:lvlText w:val="-"/>
      <w:lvlJc w:val="left"/>
      <w:pPr>
        <w:ind w:left="1080" w:hanging="360"/>
      </w:pPr>
      <w:rPr>
        <w:rFonts w:ascii="Aptos" w:eastAsia="Aptos" w:hAnsi="Aptos" w:cs="Apto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54B8612B"/>
    <w:multiLevelType w:val="multilevel"/>
    <w:tmpl w:val="DD06AEEE"/>
    <w:lvl w:ilvl="0">
      <w:start w:val="1"/>
      <w:numFmt w:val="bullet"/>
      <w:lvlText w:val="-"/>
      <w:lvlJc w:val="left"/>
      <w:pPr>
        <w:ind w:left="1080" w:hanging="360"/>
      </w:pPr>
      <w:rPr>
        <w:rFonts w:ascii="Aptos" w:eastAsia="Aptos" w:hAnsi="Aptos" w:cs="Apto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5EE67B23"/>
    <w:multiLevelType w:val="multilevel"/>
    <w:tmpl w:val="81983F2C"/>
    <w:lvl w:ilvl="0">
      <w:start w:val="1"/>
      <w:numFmt w:val="bullet"/>
      <w:lvlText w:val="-"/>
      <w:lvlJc w:val="left"/>
      <w:pPr>
        <w:ind w:left="1080" w:hanging="360"/>
      </w:pPr>
      <w:rPr>
        <w:rFonts w:ascii="Aptos" w:eastAsia="Aptos" w:hAnsi="Aptos" w:cs="Apto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6BDA5FCB"/>
    <w:multiLevelType w:val="multilevel"/>
    <w:tmpl w:val="7D7C8B7C"/>
    <w:lvl w:ilvl="0">
      <w:start w:val="1"/>
      <w:numFmt w:val="bullet"/>
      <w:lvlText w:val="-"/>
      <w:lvlJc w:val="left"/>
      <w:pPr>
        <w:ind w:left="1080" w:hanging="360"/>
      </w:pPr>
      <w:rPr>
        <w:rFonts w:ascii="Aptos" w:eastAsia="Aptos" w:hAnsi="Aptos" w:cs="Apto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711A4D6E"/>
    <w:multiLevelType w:val="multilevel"/>
    <w:tmpl w:val="8B9A1BB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2"/>
  </w:num>
  <w:num w:numId="2">
    <w:abstractNumId w:val="17"/>
  </w:num>
  <w:num w:numId="3">
    <w:abstractNumId w:val="8"/>
  </w:num>
  <w:num w:numId="4">
    <w:abstractNumId w:val="0"/>
  </w:num>
  <w:num w:numId="5">
    <w:abstractNumId w:val="4"/>
  </w:num>
  <w:num w:numId="6">
    <w:abstractNumId w:val="16"/>
  </w:num>
  <w:num w:numId="7">
    <w:abstractNumId w:val="14"/>
  </w:num>
  <w:num w:numId="8">
    <w:abstractNumId w:val="13"/>
  </w:num>
  <w:num w:numId="9">
    <w:abstractNumId w:val="1"/>
  </w:num>
  <w:num w:numId="10">
    <w:abstractNumId w:val="19"/>
  </w:num>
  <w:num w:numId="11">
    <w:abstractNumId w:val="18"/>
  </w:num>
  <w:num w:numId="12">
    <w:abstractNumId w:val="2"/>
  </w:num>
  <w:num w:numId="13">
    <w:abstractNumId w:val="10"/>
  </w:num>
  <w:num w:numId="14">
    <w:abstractNumId w:val="7"/>
  </w:num>
  <w:num w:numId="15">
    <w:abstractNumId w:val="9"/>
  </w:num>
  <w:num w:numId="16">
    <w:abstractNumId w:val="15"/>
  </w:num>
  <w:num w:numId="17">
    <w:abstractNumId w:val="20"/>
  </w:num>
  <w:num w:numId="18">
    <w:abstractNumId w:val="5"/>
  </w:num>
  <w:num w:numId="19">
    <w:abstractNumId w:val="11"/>
  </w:num>
  <w:num w:numId="20">
    <w:abstractNumId w:val="3"/>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EBD"/>
    <w:rsid w:val="000D0174"/>
    <w:rsid w:val="004317B9"/>
    <w:rsid w:val="00667339"/>
    <w:rsid w:val="006F3668"/>
    <w:rsid w:val="007C0EBD"/>
    <w:rsid w:val="0081676D"/>
    <w:rsid w:val="0085427F"/>
    <w:rsid w:val="00A22810"/>
    <w:rsid w:val="00A65154"/>
    <w:rsid w:val="00A77D7C"/>
    <w:rsid w:val="00B324DF"/>
    <w:rsid w:val="00BE0DF0"/>
    <w:rsid w:val="00CE671D"/>
    <w:rsid w:val="00CE7C53"/>
    <w:rsid w:val="00ED2589"/>
    <w:rsid w:val="00F87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654D1"/>
  <w15:docId w15:val="{C0E35609-372E-47CA-9FCA-E345BDDA0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404040"/>
        <w:sz w:val="18"/>
        <w:szCs w:val="18"/>
        <w:lang w:val="lt" w:eastAsia="en-GB" w:bidi="ar-SA"/>
      </w:rPr>
    </w:rPrDefault>
    <w:pPrDefault>
      <w:pPr>
        <w:spacing w:after="18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outlineLvl w:val="0"/>
    </w:pPr>
    <w:rPr>
      <w:b/>
      <w:bCs/>
      <w:color w:val="99CCFF"/>
      <w:sz w:val="24"/>
      <w:szCs w:val="24"/>
    </w:rPr>
  </w:style>
  <w:style w:type="paragraph" w:styleId="Heading2">
    <w:name w:val="heading 2"/>
    <w:basedOn w:val="Normal"/>
    <w:next w:val="Normal"/>
    <w:pPr>
      <w:keepNext/>
      <w:keepLines/>
      <w:spacing w:before="40" w:after="0"/>
      <w:outlineLvl w:val="1"/>
    </w:pPr>
    <w:rPr>
      <w:color w:val="2E75B5"/>
      <w:sz w:val="26"/>
      <w:szCs w:val="2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left w:val="single" w:sz="18" w:space="4" w:color="1F4E79"/>
      </w:pBdr>
      <w:spacing w:after="0" w:line="420" w:lineRule="auto"/>
    </w:pPr>
    <w:rPr>
      <w:b/>
      <w:bCs/>
      <w:smallCaps/>
      <w:color w:val="1F4E79"/>
      <w:sz w:val="38"/>
      <w:szCs w:val="38"/>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E671D"/>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CE671D"/>
    <w:rPr>
      <w:rFonts w:ascii="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722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cE+y8jPAN14G8iGXsWzjl1+hZA==">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8649</Words>
  <Characters>4930</Characters>
  <DocSecurity>4</DocSecurity>
  <Lines>41</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2026-05-25T04:43:00Z</dcterms:created>
  <dcterms:modified xsi:type="dcterms:W3CDTF">2026-05-25T04:43:00Z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22c3d-9145-4d5f-b85b-c720e2d2c997_Enabled">
    <vt:lpwstr>true</vt:lpwstr>
  </property>
  <property fmtid="{D5CDD505-2E9C-101B-9397-08002B2CF9AE}" pid="3" name="MSIP_Label_2fd22c3d-9145-4d5f-b85b-c720e2d2c997_SetDate">
    <vt:lpwstr>2024-07-04T04:50:52Z</vt:lpwstr>
  </property>
  <property fmtid="{D5CDD505-2E9C-101B-9397-08002B2CF9AE}" pid="4" name="MSIP_Label_2fd22c3d-9145-4d5f-b85b-c720e2d2c997_Method">
    <vt:lpwstr>Standard</vt:lpwstr>
  </property>
  <property fmtid="{D5CDD505-2E9C-101B-9397-08002B2CF9AE}" pid="5" name="MSIP_Label_2fd22c3d-9145-4d5f-b85b-c720e2d2c997_Name">
    <vt:lpwstr>Internal</vt:lpwstr>
  </property>
  <property fmtid="{D5CDD505-2E9C-101B-9397-08002B2CF9AE}" pid="6" name="MSIP_Label_2fd22c3d-9145-4d5f-b85b-c720e2d2c997_SiteId">
    <vt:lpwstr>32962403-0f39-4964-b217-92c6042cfde7</vt:lpwstr>
  </property>
  <property fmtid="{D5CDD505-2E9C-101B-9397-08002B2CF9AE}" pid="7" name="MSIP_Label_2fd22c3d-9145-4d5f-b85b-c720e2d2c997_ActionId">
    <vt:lpwstr>062cc6cc-59c4-4250-b638-53a92cc39d2d</vt:lpwstr>
  </property>
  <property fmtid="{D5CDD505-2E9C-101B-9397-08002B2CF9AE}" pid="8" name="MSIP_Label_2fd22c3d-9145-4d5f-b85b-c720e2d2c997_ContentBits">
    <vt:lpwstr>0</vt:lpwstr>
  </property>
</Properties>
</file>