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9731" w14:textId="638536D9" w:rsidR="000C1645" w:rsidRPr="00B56BC5" w:rsidRDefault="000C1645" w:rsidP="000C16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6BC5">
        <w:rPr>
          <w:rFonts w:ascii="Times New Roman" w:hAnsi="Times New Roman" w:cs="Times New Roman"/>
          <w:b/>
          <w:bCs/>
        </w:rPr>
        <w:t xml:space="preserve">ORACLE PROGRAMINĖS ĮRANGOS </w:t>
      </w:r>
      <w:r w:rsidRPr="746BC5D5">
        <w:rPr>
          <w:rFonts w:ascii="Times New Roman" w:hAnsi="Times New Roman" w:cs="Times New Roman"/>
          <w:b/>
          <w:bCs/>
        </w:rPr>
        <w:t>LICENCIJ</w:t>
      </w:r>
      <w:r w:rsidR="351F8457" w:rsidRPr="746BC5D5">
        <w:rPr>
          <w:rFonts w:ascii="Times New Roman" w:hAnsi="Times New Roman" w:cs="Times New Roman"/>
          <w:b/>
          <w:bCs/>
        </w:rPr>
        <w:t>Ų NUOMOS</w:t>
      </w:r>
    </w:p>
    <w:p w14:paraId="665EDA6A" w14:textId="277A4BCE" w:rsidR="00FD78FF" w:rsidRPr="00B56BC5" w:rsidRDefault="008A35B1" w:rsidP="003946F6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B56BC5">
        <w:rPr>
          <w:rFonts w:ascii="Times New Roman" w:hAnsi="Times New Roman" w:cs="Times New Roman"/>
          <w:b/>
          <w:bCs/>
          <w:lang w:val="lt-LT"/>
        </w:rPr>
        <w:t>TECHNINĖ</w:t>
      </w:r>
      <w:r w:rsidR="00A0558B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/>
        </w:rPr>
        <w:t>SPECIFIKACIJA</w:t>
      </w:r>
    </w:p>
    <w:p w14:paraId="7EDA8700" w14:textId="77777777" w:rsidR="000C1645" w:rsidRPr="00B56BC5" w:rsidRDefault="000C1645" w:rsidP="003946F6">
      <w:pPr>
        <w:spacing w:after="0"/>
        <w:jc w:val="center"/>
        <w:rPr>
          <w:rFonts w:ascii="Times New Roman" w:hAnsi="Times New Roman" w:cs="Times New Roman"/>
          <w:lang w:val="lt-LT" w:eastAsia="lt-LT" w:bidi="ar-SA"/>
        </w:rPr>
      </w:pPr>
    </w:p>
    <w:p w14:paraId="5FEDFFE1" w14:textId="19BAE7F1" w:rsidR="00FD78FF" w:rsidRPr="00B56BC5" w:rsidRDefault="00FD78FF" w:rsidP="00144590">
      <w:pPr>
        <w:numPr>
          <w:ilvl w:val="0"/>
          <w:numId w:val="17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lang w:val="lt-LT" w:bidi="ar-SA"/>
        </w:rPr>
      </w:pPr>
      <w:r w:rsidRPr="00B56BC5">
        <w:rPr>
          <w:rFonts w:ascii="Times New Roman" w:hAnsi="Times New Roman" w:cs="Times New Roman"/>
          <w:b/>
          <w:bCs/>
          <w:lang w:val="lt-LT" w:bidi="ar-SA"/>
        </w:rPr>
        <w:t>BENDRA</w:t>
      </w:r>
      <w:r w:rsidR="00A0558B" w:rsidRPr="00B56BC5">
        <w:rPr>
          <w:rFonts w:ascii="Times New Roman" w:hAnsi="Times New Roman" w:cs="Times New Roman"/>
          <w:b/>
          <w:bCs/>
          <w:lang w:val="lt-LT" w:bidi="ar-SA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 w:bidi="ar-SA"/>
        </w:rPr>
        <w:t>INFORMACIJA</w:t>
      </w:r>
    </w:p>
    <w:p w14:paraId="7D2AED05" w14:textId="77777777" w:rsidR="00447360" w:rsidRPr="00B56BC5" w:rsidRDefault="00447360" w:rsidP="00F5420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lt-LT" w:bidi="ar-SA"/>
        </w:rPr>
      </w:pPr>
    </w:p>
    <w:p w14:paraId="487E3FBE" w14:textId="77777777" w:rsidR="00FD78FF" w:rsidRPr="00B56BC5" w:rsidRDefault="00FD78FF" w:rsidP="00FD78F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 w:bidi="ar-SA"/>
        </w:rPr>
      </w:pPr>
    </w:p>
    <w:p w14:paraId="634C7561" w14:textId="6544DE97" w:rsidR="00FD78FF" w:rsidRPr="00B56BC5" w:rsidRDefault="00187F10" w:rsidP="6E2A2A87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Šiuo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metu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Valstybės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skaitmeninių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sprendimų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agentūra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(toliau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–</w:t>
      </w:r>
      <w:r w:rsidR="00086FAA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Perkančioji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organizacija)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yra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įsigijusi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proofErr w:type="spellStart"/>
      <w:r w:rsidRPr="00B56BC5">
        <w:rPr>
          <w:rFonts w:ascii="Times New Roman" w:hAnsi="Times New Roman" w:cs="Times New Roman"/>
          <w:lang w:val="lt-LT" w:eastAsia="ar-SA" w:bidi="ar-SA"/>
        </w:rPr>
        <w:t>Oracle</w:t>
      </w:r>
      <w:proofErr w:type="spellEnd"/>
      <w:r w:rsidR="00614012" w:rsidRPr="00B56BC5">
        <w:rPr>
          <w:rFonts w:ascii="Times New Roman" w:hAnsi="Times New Roman" w:cs="Times New Roman"/>
          <w:lang w:val="lt-LT" w:eastAsia="ar-SA" w:bidi="ar-SA"/>
        </w:rPr>
        <w:t xml:space="preserve"> programinės įrangos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licencijas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(išvardintas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šios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techninės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specifikacijos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1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lentelėje),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kurioms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gamintojo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palaikymas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baigiasi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2026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m.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rugpjūčio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31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d.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Šiuo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pirkimu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planuojama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įsigyti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minėtų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proofErr w:type="spellStart"/>
      <w:r w:rsidRPr="00B56BC5">
        <w:rPr>
          <w:rFonts w:ascii="Times New Roman" w:hAnsi="Times New Roman" w:cs="Times New Roman"/>
          <w:lang w:val="lt-LT" w:eastAsia="ar-SA" w:bidi="ar-SA"/>
        </w:rPr>
        <w:t>Oracle</w:t>
      </w:r>
      <w:proofErr w:type="spellEnd"/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="00614012" w:rsidRPr="00B56BC5">
        <w:rPr>
          <w:rFonts w:ascii="Times New Roman" w:hAnsi="Times New Roman" w:cs="Times New Roman"/>
          <w:lang w:val="lt-LT" w:eastAsia="ar-SA" w:bidi="ar-SA"/>
        </w:rPr>
        <w:t xml:space="preserve">programinės įrangos licencijų </w:t>
      </w:r>
      <w:r w:rsidRPr="00B56BC5">
        <w:rPr>
          <w:rFonts w:ascii="Times New Roman" w:hAnsi="Times New Roman" w:cs="Times New Roman"/>
          <w:lang w:val="lt-LT" w:eastAsia="ar-SA" w:bidi="ar-SA"/>
        </w:rPr>
        <w:t>gamintojo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palaikymo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paslaugas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iki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2029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m.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rugpjūčio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31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d.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Taip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pat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planuojama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įsigyti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trūkstamas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naujas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proofErr w:type="spellStart"/>
      <w:r w:rsidRPr="00B56BC5">
        <w:rPr>
          <w:rFonts w:ascii="Times New Roman" w:hAnsi="Times New Roman" w:cs="Times New Roman"/>
          <w:lang w:val="lt-LT" w:eastAsia="ar-SA" w:bidi="ar-SA"/>
        </w:rPr>
        <w:t>Oracle</w:t>
      </w:r>
      <w:proofErr w:type="spellEnd"/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="00614012" w:rsidRPr="00B56BC5">
        <w:rPr>
          <w:rFonts w:ascii="Times New Roman" w:hAnsi="Times New Roman" w:cs="Times New Roman"/>
          <w:lang w:val="lt-LT" w:eastAsia="ar-SA" w:bidi="ar-SA"/>
        </w:rPr>
        <w:t xml:space="preserve">programinės įrangos </w:t>
      </w:r>
      <w:r w:rsidRPr="00B56BC5">
        <w:rPr>
          <w:rFonts w:ascii="Times New Roman" w:hAnsi="Times New Roman" w:cs="Times New Roman"/>
          <w:lang w:val="lt-LT" w:eastAsia="ar-SA" w:bidi="ar-SA"/>
        </w:rPr>
        <w:t>licencijas,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ar-SA" w:bidi="ar-SA"/>
        </w:rPr>
        <w:t>išvardintas</w:t>
      </w:r>
      <w:r w:rsidR="00A0558B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="008676C7" w:rsidRPr="00B56BC5">
        <w:rPr>
          <w:rFonts w:ascii="Times New Roman" w:hAnsi="Times New Roman" w:cs="Times New Roman"/>
          <w:kern w:val="12"/>
          <w:lang w:val="lt-LT" w:eastAsia="ar-SA" w:bidi="ar-SA"/>
        </w:rPr>
        <w:t>2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lentelėje,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gamintojo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36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mėnesių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56626983" w:rsidRPr="00B56BC5">
        <w:rPr>
          <w:rFonts w:ascii="Times New Roman" w:hAnsi="Times New Roman" w:cs="Times New Roman"/>
          <w:lang w:val="lt-LT" w:eastAsia="ar-SA" w:bidi="ar-SA"/>
        </w:rPr>
        <w:t>garantija</w:t>
      </w:r>
      <w:r w:rsidRPr="00B56BC5">
        <w:rPr>
          <w:rFonts w:ascii="Times New Roman" w:hAnsi="Times New Roman" w:cs="Times New Roman"/>
          <w:lang w:val="lt-LT" w:eastAsia="ar-SA" w:bidi="ar-SA"/>
        </w:rPr>
        <w:t>.</w:t>
      </w:r>
    </w:p>
    <w:p w14:paraId="070A2FD3" w14:textId="54C96870" w:rsidR="00CE7DA1" w:rsidRPr="00B56BC5" w:rsidRDefault="00187F10" w:rsidP="00F54204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lang w:val="lt-LT" w:bidi="ar-SA"/>
        </w:rPr>
      </w:pP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Atsižvelgiant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į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tai,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kad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planuojamos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įsigyti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naujos</w:t>
      </w:r>
      <w:r w:rsidR="00614012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="00614012" w:rsidRPr="00B56BC5">
        <w:rPr>
          <w:rFonts w:ascii="Times New Roman" w:hAnsi="Times New Roman" w:cs="Times New Roman"/>
          <w:lang w:val="lt-LT" w:eastAsia="ar-SA" w:bidi="ar-SA"/>
        </w:rPr>
        <w:t xml:space="preserve">programinės įrangos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licencijos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ir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turimų</w:t>
      </w:r>
      <w:r w:rsidR="00614012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="00614012" w:rsidRPr="00B56BC5">
        <w:rPr>
          <w:rFonts w:ascii="Times New Roman" w:hAnsi="Times New Roman" w:cs="Times New Roman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licencijų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palaikymas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reikalingos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vieningos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platformos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veikimui,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kurios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elementai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tarpusavyje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labai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glaudžiai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suderinami,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šis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pirkimas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į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atskiras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dalis</w:t>
      </w:r>
      <w:r w:rsidR="00A0558B"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color w:val="000000" w:themeColor="text1"/>
          <w:kern w:val="12"/>
          <w:lang w:val="lt-LT" w:eastAsia="ar-SA" w:bidi="ar-SA"/>
        </w:rPr>
        <w:t>neskaidomas.</w:t>
      </w:r>
    </w:p>
    <w:p w14:paraId="4F6CB3D0" w14:textId="77777777" w:rsidR="00FD78FF" w:rsidRPr="00B56BC5" w:rsidRDefault="00FD78FF" w:rsidP="00FD78FF">
      <w:pPr>
        <w:tabs>
          <w:tab w:val="left" w:pos="1170"/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lt-LT" w:eastAsia="ar-SA" w:bidi="ar-SA"/>
        </w:rPr>
      </w:pPr>
    </w:p>
    <w:p w14:paraId="183B09B5" w14:textId="066B7B4C" w:rsidR="00FD78FF" w:rsidRPr="00B56BC5" w:rsidRDefault="00FD78FF" w:rsidP="00144590">
      <w:pPr>
        <w:numPr>
          <w:ilvl w:val="0"/>
          <w:numId w:val="17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lang w:val="lt-LT" w:bidi="ar-SA"/>
        </w:rPr>
      </w:pPr>
      <w:r w:rsidRPr="00B56BC5">
        <w:rPr>
          <w:rFonts w:ascii="Times New Roman" w:hAnsi="Times New Roman" w:cs="Times New Roman"/>
          <w:b/>
          <w:bCs/>
          <w:lang w:val="lt-LT" w:bidi="ar-SA"/>
        </w:rPr>
        <w:t>PIRKIMO</w:t>
      </w:r>
      <w:r w:rsidR="00A0558B" w:rsidRPr="00B56BC5">
        <w:rPr>
          <w:rFonts w:ascii="Times New Roman" w:hAnsi="Times New Roman" w:cs="Times New Roman"/>
          <w:b/>
          <w:bCs/>
          <w:lang w:val="lt-LT" w:bidi="ar-SA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 w:bidi="ar-SA"/>
        </w:rPr>
        <w:t>TIKSLAS</w:t>
      </w:r>
      <w:r w:rsidR="00A0558B" w:rsidRPr="00B56BC5">
        <w:rPr>
          <w:rFonts w:ascii="Times New Roman" w:hAnsi="Times New Roman" w:cs="Times New Roman"/>
          <w:b/>
          <w:bCs/>
          <w:lang w:val="lt-LT" w:bidi="ar-SA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 w:bidi="ar-SA"/>
        </w:rPr>
        <w:t>IR</w:t>
      </w:r>
      <w:r w:rsidR="00A0558B" w:rsidRPr="00B56BC5">
        <w:rPr>
          <w:rFonts w:ascii="Times New Roman" w:hAnsi="Times New Roman" w:cs="Times New Roman"/>
          <w:b/>
          <w:bCs/>
          <w:lang w:val="lt-LT" w:bidi="ar-SA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 w:bidi="ar-SA"/>
        </w:rPr>
        <w:t>APIMTIS</w:t>
      </w:r>
    </w:p>
    <w:p w14:paraId="2BF021BF" w14:textId="77777777" w:rsidR="00FD78FF" w:rsidRPr="00B56BC5" w:rsidRDefault="00FD78FF" w:rsidP="00FD78F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lang w:val="lt-LT" w:eastAsia="lt-LT" w:bidi="ar-SA"/>
        </w:rPr>
      </w:pPr>
    </w:p>
    <w:p w14:paraId="08E51BD1" w14:textId="0E1EFFF5" w:rsidR="001F35AC" w:rsidRPr="00B56BC5" w:rsidRDefault="00A0558B" w:rsidP="00F54204">
      <w:pPr>
        <w:numPr>
          <w:ilvl w:val="1"/>
          <w:numId w:val="17"/>
        </w:numPr>
        <w:tabs>
          <w:tab w:val="left" w:pos="567"/>
          <w:tab w:val="left" w:pos="851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Šio</w:t>
      </w: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viešojo</w:t>
      </w: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pirkimo</w:t>
      </w: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tikslas</w:t>
      </w: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–</w:t>
      </w:r>
      <w:r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įsigyti</w:t>
      </w:r>
      <w:r w:rsidR="001F35AC" w:rsidRPr="00B56BC5">
        <w:rPr>
          <w:rFonts w:ascii="Times New Roman" w:hAnsi="Times New Roman" w:cs="Times New Roman"/>
          <w:lang w:val="lt-LT" w:eastAsia="lt-LT" w:bidi="ar-SA"/>
        </w:rPr>
        <w:t>:</w:t>
      </w:r>
    </w:p>
    <w:p w14:paraId="39397FC1" w14:textId="60702D6F" w:rsidR="001F35AC" w:rsidRPr="00B56BC5" w:rsidRDefault="001F35AC" w:rsidP="00BE5EBD">
      <w:pPr>
        <w:numPr>
          <w:ilvl w:val="2"/>
          <w:numId w:val="17"/>
        </w:numPr>
        <w:tabs>
          <w:tab w:val="left" w:pos="709"/>
          <w:tab w:val="left" w:pos="851"/>
        </w:tabs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  <w:r w:rsidRPr="00B56BC5">
        <w:rPr>
          <w:rFonts w:ascii="Times New Roman" w:hAnsi="Times New Roman" w:cs="Times New Roman"/>
          <w:lang w:val="lt-LT" w:eastAsia="lt-LT" w:bidi="ar-SA"/>
        </w:rPr>
        <w:t>Šiuo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metu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naudojamų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proofErr w:type="spellStart"/>
      <w:r w:rsidR="003E73C6" w:rsidRPr="00B56BC5">
        <w:rPr>
          <w:rFonts w:ascii="Times New Roman" w:hAnsi="Times New Roman" w:cs="Times New Roman"/>
          <w:lang w:val="lt-LT" w:eastAsia="lt-LT"/>
        </w:rPr>
        <w:t>Oracle</w:t>
      </w:r>
      <w:proofErr w:type="spellEnd"/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614012" w:rsidRPr="00B56BC5">
        <w:rPr>
          <w:rFonts w:ascii="Times New Roman" w:hAnsi="Times New Roman" w:cs="Times New Roman"/>
          <w:lang w:val="lt-LT" w:eastAsia="ar-SA" w:bidi="ar-SA"/>
        </w:rPr>
        <w:t xml:space="preserve">programinės įrangos </w:t>
      </w:r>
      <w:r w:rsidRPr="00B56BC5">
        <w:rPr>
          <w:rFonts w:ascii="Times New Roman" w:hAnsi="Times New Roman" w:cs="Times New Roman"/>
          <w:lang w:val="lt-LT" w:eastAsia="lt-LT"/>
        </w:rPr>
        <w:t>licencijų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Pr="00B56BC5">
        <w:rPr>
          <w:rFonts w:ascii="Times New Roman" w:hAnsi="Times New Roman" w:cs="Times New Roman"/>
          <w:lang w:val="lt-LT" w:eastAsia="lt-LT"/>
        </w:rPr>
        <w:t>gamintojo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Pr="00B56BC5">
        <w:rPr>
          <w:rFonts w:ascii="Times New Roman" w:hAnsi="Times New Roman" w:cs="Times New Roman"/>
          <w:lang w:val="lt-LT" w:eastAsia="lt-LT"/>
        </w:rPr>
        <w:t>garantijų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Pr="00B56BC5">
        <w:rPr>
          <w:rFonts w:ascii="Times New Roman" w:hAnsi="Times New Roman" w:cs="Times New Roman"/>
          <w:lang w:val="lt-LT" w:eastAsia="lt-LT"/>
        </w:rPr>
        <w:t>pratęsim</w:t>
      </w:r>
      <w:r w:rsidR="003916C2" w:rsidRPr="00B56BC5">
        <w:rPr>
          <w:rFonts w:ascii="Times New Roman" w:hAnsi="Times New Roman" w:cs="Times New Roman"/>
          <w:lang w:val="lt-LT" w:eastAsia="lt-LT"/>
        </w:rPr>
        <w:t>ą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CA7DB7" w:rsidRPr="00B56BC5">
        <w:rPr>
          <w:rFonts w:ascii="Times New Roman" w:hAnsi="Times New Roman" w:cs="Times New Roman"/>
          <w:lang w:val="lt-LT" w:eastAsia="lt-LT"/>
        </w:rPr>
        <w:t>ne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407F94D0" w:rsidRPr="26873F12">
        <w:rPr>
          <w:rFonts w:ascii="Times New Roman" w:hAnsi="Times New Roman" w:cs="Times New Roman"/>
          <w:lang w:val="lt-LT" w:eastAsia="lt-LT"/>
        </w:rPr>
        <w:t>trumpiau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CA7DB7" w:rsidRPr="00B56BC5">
        <w:rPr>
          <w:rFonts w:ascii="Times New Roman" w:hAnsi="Times New Roman" w:cs="Times New Roman"/>
          <w:lang w:val="lt-LT" w:eastAsia="lt-LT"/>
        </w:rPr>
        <w:t>kaip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3916C2" w:rsidRPr="00B56BC5">
        <w:rPr>
          <w:rFonts w:ascii="Times New Roman" w:hAnsi="Times New Roman" w:cs="Times New Roman"/>
          <w:lang w:val="lt-LT" w:eastAsia="lt-LT"/>
        </w:rPr>
        <w:t>iki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3916C2" w:rsidRPr="00B56BC5">
        <w:rPr>
          <w:rFonts w:ascii="Times New Roman" w:hAnsi="Times New Roman" w:cs="Times New Roman"/>
          <w:lang w:val="lt-LT" w:eastAsia="lt-LT"/>
        </w:rPr>
        <w:t>202</w:t>
      </w:r>
      <w:r w:rsidR="008676C7" w:rsidRPr="00B56BC5">
        <w:rPr>
          <w:rFonts w:ascii="Times New Roman" w:hAnsi="Times New Roman" w:cs="Times New Roman"/>
          <w:lang w:val="lt-LT" w:eastAsia="lt-LT"/>
        </w:rPr>
        <w:t>9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3916C2" w:rsidRPr="00B56BC5">
        <w:rPr>
          <w:rFonts w:ascii="Times New Roman" w:hAnsi="Times New Roman" w:cs="Times New Roman"/>
          <w:lang w:val="lt-LT" w:eastAsia="lt-LT"/>
        </w:rPr>
        <w:t>m.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A5195C" w:rsidRPr="00B56BC5">
        <w:rPr>
          <w:rFonts w:ascii="Times New Roman" w:hAnsi="Times New Roman" w:cs="Times New Roman"/>
          <w:lang w:val="lt-LT" w:eastAsia="lt-LT"/>
        </w:rPr>
        <w:t>rugpjūčio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 </w:t>
      </w:r>
      <w:r w:rsidR="006A02E9" w:rsidRPr="00B56BC5">
        <w:rPr>
          <w:rFonts w:ascii="Times New Roman" w:hAnsi="Times New Roman" w:cs="Times New Roman"/>
          <w:lang w:val="lt-LT" w:eastAsia="lt-LT"/>
        </w:rPr>
        <w:t>31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3916C2" w:rsidRPr="00B56BC5">
        <w:rPr>
          <w:rFonts w:ascii="Times New Roman" w:hAnsi="Times New Roman" w:cs="Times New Roman"/>
          <w:lang w:val="lt-LT" w:eastAsia="lt-LT"/>
        </w:rPr>
        <w:t>d</w:t>
      </w:r>
      <w:r w:rsidR="639F7B75" w:rsidRPr="26873F12">
        <w:rPr>
          <w:rFonts w:ascii="Times New Roman" w:hAnsi="Times New Roman" w:cs="Times New Roman"/>
          <w:lang w:val="lt-LT" w:eastAsia="lt-LT"/>
        </w:rPr>
        <w:t>.</w:t>
      </w:r>
      <w:r w:rsidR="00A0558B" w:rsidRPr="26873F12">
        <w:rPr>
          <w:rFonts w:ascii="Times New Roman" w:hAnsi="Times New Roman" w:cs="Times New Roman"/>
          <w:lang w:val="lt-LT" w:eastAsia="lt-LT"/>
        </w:rPr>
        <w:t xml:space="preserve"> </w:t>
      </w:r>
      <w:r w:rsidR="00D90576" w:rsidRPr="26873F12">
        <w:rPr>
          <w:rFonts w:ascii="Times New Roman" w:hAnsi="Times New Roman" w:cs="Times New Roman"/>
          <w:lang w:val="lt-LT" w:eastAsia="lt-LT"/>
        </w:rPr>
        <w:t>(nurodyt</w:t>
      </w:r>
      <w:r w:rsidR="25AA4AEE" w:rsidRPr="26873F12">
        <w:rPr>
          <w:rFonts w:ascii="Times New Roman" w:hAnsi="Times New Roman" w:cs="Times New Roman"/>
          <w:lang w:val="lt-LT" w:eastAsia="lt-LT"/>
        </w:rPr>
        <w:t>oms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D90576" w:rsidRPr="00B56BC5">
        <w:rPr>
          <w:rFonts w:ascii="Times New Roman" w:hAnsi="Times New Roman" w:cs="Times New Roman"/>
          <w:lang w:val="lt-LT" w:eastAsia="lt-LT"/>
        </w:rPr>
        <w:t>1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D90576" w:rsidRPr="00B56BC5">
        <w:rPr>
          <w:rFonts w:ascii="Times New Roman" w:hAnsi="Times New Roman" w:cs="Times New Roman"/>
          <w:lang w:val="lt-LT" w:eastAsia="lt-LT"/>
        </w:rPr>
        <w:t>lentelėje):</w:t>
      </w:r>
    </w:p>
    <w:p w14:paraId="6C813B51" w14:textId="77777777" w:rsidR="00DE41E7" w:rsidRPr="00B56BC5" w:rsidRDefault="00DE41E7" w:rsidP="00DF0E46">
      <w:pPr>
        <w:tabs>
          <w:tab w:val="left" w:pos="709"/>
          <w:tab w:val="left" w:pos="851"/>
        </w:tabs>
        <w:spacing w:after="0" w:line="360" w:lineRule="auto"/>
        <w:ind w:left="425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</w:p>
    <w:p w14:paraId="55C7529D" w14:textId="4BA8BC36" w:rsidR="00D90576" w:rsidRPr="00B56BC5" w:rsidRDefault="00D90576" w:rsidP="003946F6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  <w:r w:rsidRPr="00B56BC5">
        <w:rPr>
          <w:rFonts w:ascii="Times New Roman" w:hAnsi="Times New Roman" w:cs="Times New Roman"/>
          <w:lang w:val="lt-LT" w:eastAsia="lt-LT" w:bidi="ar-SA"/>
        </w:rPr>
        <w:t>1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lentelė.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Turimos</w:t>
      </w:r>
      <w:r w:rsidR="00404F8D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404F8D" w:rsidRPr="00B56BC5">
        <w:rPr>
          <w:rFonts w:ascii="Times New Roman" w:hAnsi="Times New Roman" w:cs="Times New Roman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licencijos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004"/>
        <w:gridCol w:w="1526"/>
        <w:gridCol w:w="2406"/>
      </w:tblGrid>
      <w:tr w:rsidR="00A32B81" w:rsidRPr="00B56BC5" w14:paraId="3CA7ED98" w14:textId="77777777" w:rsidTr="00A4003F">
        <w:trPr>
          <w:trHeight w:val="780"/>
          <w:jc w:val="center"/>
        </w:trPr>
        <w:tc>
          <w:tcPr>
            <w:tcW w:w="30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F60E" w14:textId="234945C6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Ei</w:t>
            </w:r>
            <w:r w:rsidR="002D2485"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l</w:t>
            </w:r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.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Nr.</w:t>
            </w:r>
          </w:p>
        </w:tc>
        <w:tc>
          <w:tcPr>
            <w:tcW w:w="262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2F6E" w14:textId="1088189B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Naudojamo</w:t>
            </w:r>
            <w:r w:rsidR="002D2485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s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licencijos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pavadinimas</w:t>
            </w:r>
          </w:p>
        </w:tc>
        <w:tc>
          <w:tcPr>
            <w:tcW w:w="8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FE99" w14:textId="50249D64" w:rsidR="00145ABB" w:rsidRPr="00B56BC5" w:rsidRDefault="003916C2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K</w:t>
            </w:r>
            <w:r w:rsidR="001F35AC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iekis</w:t>
            </w:r>
            <w:r w:rsidR="00145AB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,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</w:p>
          <w:p w14:paraId="4B897F94" w14:textId="7AB80447" w:rsidR="001F35AC" w:rsidRPr="00B56BC5" w:rsidRDefault="00145ABB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vnt.</w:t>
            </w:r>
          </w:p>
        </w:tc>
        <w:tc>
          <w:tcPr>
            <w:tcW w:w="126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2AD4" w14:textId="5C354D77" w:rsidR="001F35AC" w:rsidRPr="00B56BC5" w:rsidRDefault="003916C2" w:rsidP="003946F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garantijos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galiojimo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pabaigos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data</w:t>
            </w:r>
          </w:p>
        </w:tc>
      </w:tr>
      <w:tr w:rsidR="002D2485" w:rsidRPr="00B56BC5" w14:paraId="584B3937" w14:textId="77777777" w:rsidTr="00A4003F">
        <w:trPr>
          <w:trHeight w:val="287"/>
          <w:jc w:val="center"/>
        </w:trPr>
        <w:tc>
          <w:tcPr>
            <w:tcW w:w="30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AD53" w14:textId="77777777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1</w:t>
            </w:r>
          </w:p>
        </w:tc>
        <w:tc>
          <w:tcPr>
            <w:tcW w:w="262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F91C" w14:textId="77777777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2</w:t>
            </w:r>
          </w:p>
        </w:tc>
        <w:tc>
          <w:tcPr>
            <w:tcW w:w="8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643D" w14:textId="77777777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3</w:t>
            </w:r>
          </w:p>
        </w:tc>
        <w:tc>
          <w:tcPr>
            <w:tcW w:w="126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536D" w14:textId="77777777" w:rsidR="001F35AC" w:rsidRPr="00B56BC5" w:rsidRDefault="001F35AC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4</w:t>
            </w:r>
          </w:p>
        </w:tc>
      </w:tr>
      <w:tr w:rsidR="001F35AC" w:rsidRPr="00B56BC5" w14:paraId="5133C1B5" w14:textId="77777777" w:rsidTr="00A4003F">
        <w:trPr>
          <w:trHeight w:val="255"/>
          <w:jc w:val="center"/>
        </w:trPr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1F8B" w14:textId="2062D079" w:rsidR="001F35AC" w:rsidRPr="00B56BC5" w:rsidRDefault="008676C7" w:rsidP="00DF0E4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</w:t>
            </w:r>
            <w:r w:rsidR="001F35AC" w:rsidRPr="00B56BC5">
              <w:rPr>
                <w:rFonts w:ascii="Times New Roman" w:hAnsi="Times New Roman" w:cs="Times New Roman"/>
                <w:lang w:val="lt-LT" w:eastAsia="lt-LT" w:bidi="ar-SA"/>
              </w:rPr>
              <w:t>.</w:t>
            </w:r>
          </w:p>
        </w:tc>
        <w:tc>
          <w:tcPr>
            <w:tcW w:w="2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BBE9" w14:textId="1235167B" w:rsidR="001F35AC" w:rsidRPr="00B56BC5" w:rsidRDefault="008676C7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lt-LT" w:eastAsia="lt-LT" w:bidi="ar-SA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WebLogic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Suite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(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Processor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Perpetual</w:t>
            </w:r>
            <w:proofErr w:type="spellEnd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)</w:t>
            </w:r>
          </w:p>
        </w:tc>
        <w:tc>
          <w:tcPr>
            <w:tcW w:w="8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BE1F" w14:textId="19AC2AA7" w:rsidR="001F35AC" w:rsidRPr="00B56BC5" w:rsidRDefault="003A2614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12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9B5C" w14:textId="6863B6B3" w:rsidR="001F35AC" w:rsidRPr="00B56BC5" w:rsidRDefault="00053934" w:rsidP="00C96841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</w:t>
            </w:r>
            <w:r w:rsidR="008676C7" w:rsidRPr="00B56BC5">
              <w:rPr>
                <w:rFonts w:ascii="Times New Roman" w:hAnsi="Times New Roman" w:cs="Times New Roman"/>
                <w:lang w:val="lt-LT"/>
              </w:rPr>
              <w:t>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m.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/>
              </w:rPr>
              <w:t>rugpjūčio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676C7" w:rsidRPr="00B56BC5">
              <w:rPr>
                <w:rFonts w:ascii="Times New Roman" w:hAnsi="Times New Roman" w:cs="Times New Roman"/>
                <w:lang w:val="lt-LT"/>
              </w:rPr>
              <w:t>31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d.</w:t>
            </w:r>
          </w:p>
        </w:tc>
      </w:tr>
      <w:tr w:rsidR="008676C7" w:rsidRPr="00B56BC5" w14:paraId="03ABCD45" w14:textId="77777777" w:rsidTr="00A4003F">
        <w:trPr>
          <w:trHeight w:val="255"/>
          <w:jc w:val="center"/>
        </w:trPr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7F7C" w14:textId="19E62711" w:rsidR="008676C7" w:rsidRPr="00B56BC5" w:rsidRDefault="008676C7" w:rsidP="00DF0E4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2.</w:t>
            </w:r>
          </w:p>
        </w:tc>
        <w:tc>
          <w:tcPr>
            <w:tcW w:w="2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A5F8" w14:textId="4C578264" w:rsidR="008676C7" w:rsidRPr="00B56BC5" w:rsidRDefault="008676C7" w:rsidP="008676C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lt-LT" w:eastAsia="lt-LT" w:bidi="ar-SA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SOA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Suite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for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Middleware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(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Processor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Perpetual</w:t>
            </w:r>
            <w:proofErr w:type="spellEnd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)</w:t>
            </w:r>
          </w:p>
        </w:tc>
        <w:tc>
          <w:tcPr>
            <w:tcW w:w="8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E08E" w14:textId="54320F44" w:rsidR="008676C7" w:rsidRPr="00B56BC5" w:rsidRDefault="008676C7" w:rsidP="008676C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12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69AB" w14:textId="550AB660" w:rsidR="008676C7" w:rsidRPr="00B56BC5" w:rsidRDefault="008676C7" w:rsidP="008676C7">
            <w:pPr>
              <w:pStyle w:val="ListParagraph"/>
              <w:tabs>
                <w:tab w:val="left" w:pos="510"/>
                <w:tab w:val="left" w:pos="935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m.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/>
              </w:rPr>
              <w:t>rugpjūčio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31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d.</w:t>
            </w:r>
          </w:p>
        </w:tc>
      </w:tr>
      <w:tr w:rsidR="008676C7" w:rsidRPr="00B56BC5" w14:paraId="4E7148D2" w14:textId="77777777" w:rsidTr="00A4003F">
        <w:trPr>
          <w:trHeight w:val="255"/>
          <w:jc w:val="center"/>
        </w:trPr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5B23" w14:textId="1099EB87" w:rsidR="008676C7" w:rsidRPr="00B56BC5" w:rsidRDefault="008676C7" w:rsidP="00DF0E4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lang w:eastAsia="lt-LT" w:bidi="ar-SA"/>
              </w:rPr>
              <w:t>3.</w:t>
            </w:r>
          </w:p>
        </w:tc>
        <w:tc>
          <w:tcPr>
            <w:tcW w:w="2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1891" w14:textId="28CCAADC" w:rsidR="008676C7" w:rsidRPr="00B56BC5" w:rsidRDefault="008676C7" w:rsidP="008676C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lt-LT" w:eastAsia="lt-LT" w:bidi="ar-SA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Linux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Premier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Limited</w:t>
            </w:r>
            <w:proofErr w:type="spellEnd"/>
          </w:p>
        </w:tc>
        <w:tc>
          <w:tcPr>
            <w:tcW w:w="8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5E20" w14:textId="4EC371E5" w:rsidR="008676C7" w:rsidRPr="00B56BC5" w:rsidRDefault="008676C7" w:rsidP="008676C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2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12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B73C" w14:textId="0C57231D" w:rsidR="008676C7" w:rsidRPr="00B56BC5" w:rsidRDefault="008676C7" w:rsidP="008676C7">
            <w:pPr>
              <w:pStyle w:val="ListParagraph"/>
              <w:tabs>
                <w:tab w:val="left" w:pos="510"/>
                <w:tab w:val="left" w:pos="935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m.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/>
              </w:rPr>
              <w:t>rugpjūčio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31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d.</w:t>
            </w:r>
          </w:p>
        </w:tc>
      </w:tr>
    </w:tbl>
    <w:p w14:paraId="7FBFBFB6" w14:textId="77777777" w:rsidR="001F35AC" w:rsidRPr="00B56BC5" w:rsidRDefault="001F35AC" w:rsidP="001F35AC">
      <w:pPr>
        <w:tabs>
          <w:tab w:val="left" w:pos="851"/>
          <w:tab w:val="left" w:pos="1134"/>
        </w:tabs>
        <w:spacing w:after="0" w:line="360" w:lineRule="auto"/>
        <w:ind w:left="1145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</w:p>
    <w:p w14:paraId="364B70AF" w14:textId="6B9BB6F1" w:rsidR="00FD78FF" w:rsidRPr="00B56BC5" w:rsidRDefault="004164F4" w:rsidP="00AE2D5D">
      <w:pPr>
        <w:numPr>
          <w:ilvl w:val="2"/>
          <w:numId w:val="17"/>
        </w:numPr>
        <w:tabs>
          <w:tab w:val="left" w:pos="851"/>
        </w:tabs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  <w:r w:rsidRPr="00B56BC5">
        <w:rPr>
          <w:rFonts w:ascii="Times New Roman" w:hAnsi="Times New Roman" w:cs="Times New Roman"/>
          <w:lang w:val="lt-LT" w:eastAsia="lt-LT" w:bidi="ar-SA"/>
        </w:rPr>
        <w:t>Esamos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proofErr w:type="spellStart"/>
      <w:r w:rsidR="00337FC1" w:rsidRPr="00B56BC5">
        <w:rPr>
          <w:rFonts w:ascii="Times New Roman" w:hAnsi="Times New Roman" w:cs="Times New Roman"/>
          <w:lang w:val="lt-LT" w:eastAsia="lt-LT" w:bidi="ar-SA"/>
        </w:rPr>
        <w:t>Oracle</w:t>
      </w:r>
      <w:proofErr w:type="spellEnd"/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413B22" w:rsidRPr="00B56BC5">
        <w:rPr>
          <w:rFonts w:ascii="Times New Roman" w:hAnsi="Times New Roman" w:cs="Times New Roman"/>
          <w:lang w:val="lt-LT" w:eastAsia="lt-LT" w:bidi="ar-SA"/>
        </w:rPr>
        <w:t>platformos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413B22" w:rsidRPr="00B56BC5">
        <w:rPr>
          <w:rFonts w:ascii="Times New Roman" w:hAnsi="Times New Roman" w:cs="Times New Roman"/>
          <w:lang w:val="lt-LT" w:eastAsia="lt-LT" w:bidi="ar-SA"/>
        </w:rPr>
        <w:t>išplėtimui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795489" w:rsidRPr="00B56BC5">
        <w:rPr>
          <w:rFonts w:ascii="Times New Roman" w:hAnsi="Times New Roman" w:cs="Times New Roman"/>
          <w:lang w:val="lt-LT" w:eastAsia="lt-LT" w:bidi="ar-SA"/>
        </w:rPr>
        <w:t>reikalingas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795489" w:rsidRPr="26873F12">
        <w:rPr>
          <w:rFonts w:ascii="Times New Roman" w:hAnsi="Times New Roman" w:cs="Times New Roman"/>
          <w:lang w:val="lt-LT" w:eastAsia="lt-LT" w:bidi="ar-SA"/>
        </w:rPr>
        <w:t>papildom</w:t>
      </w:r>
      <w:r w:rsidR="6F5BF708" w:rsidRPr="26873F12">
        <w:rPr>
          <w:rFonts w:ascii="Times New Roman" w:hAnsi="Times New Roman" w:cs="Times New Roman"/>
          <w:lang w:val="lt-LT" w:eastAsia="lt-LT" w:bidi="ar-SA"/>
        </w:rPr>
        <w:t>o</w:t>
      </w:r>
      <w:r w:rsidR="00795489" w:rsidRPr="26873F12">
        <w:rPr>
          <w:rFonts w:ascii="Times New Roman" w:hAnsi="Times New Roman" w:cs="Times New Roman"/>
          <w:lang w:val="lt-LT" w:eastAsia="lt-LT" w:bidi="ar-SA"/>
        </w:rPr>
        <w:t>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404F8D" w:rsidRPr="00B56BC5">
        <w:rPr>
          <w:rFonts w:ascii="Times New Roman" w:hAnsi="Times New Roman" w:cs="Times New Roman"/>
          <w:lang w:val="lt-LT" w:eastAsia="ar-SA" w:bidi="ar-SA"/>
        </w:rPr>
        <w:t xml:space="preserve">programinės įrangos </w:t>
      </w:r>
      <w:r w:rsidR="00795489" w:rsidRPr="00B56BC5">
        <w:rPr>
          <w:rFonts w:ascii="Times New Roman" w:hAnsi="Times New Roman" w:cs="Times New Roman"/>
          <w:lang w:val="lt-LT" w:eastAsia="lt-LT"/>
        </w:rPr>
        <w:t>licencijas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3B629C" w:rsidRPr="00B56BC5">
        <w:rPr>
          <w:rFonts w:ascii="Times New Roman" w:hAnsi="Times New Roman" w:cs="Times New Roman"/>
          <w:lang w:val="lt-LT" w:eastAsia="lt-LT"/>
        </w:rPr>
        <w:t>su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1F35AC" w:rsidRPr="00B56BC5">
        <w:rPr>
          <w:rFonts w:ascii="Times New Roman" w:hAnsi="Times New Roman" w:cs="Times New Roman"/>
          <w:lang w:val="lt-LT" w:eastAsia="lt-LT"/>
        </w:rPr>
        <w:t>gamintojo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8676C7" w:rsidRPr="00B56BC5">
        <w:rPr>
          <w:rFonts w:ascii="Times New Roman" w:hAnsi="Times New Roman" w:cs="Times New Roman"/>
          <w:lang w:val="lt-LT" w:eastAsia="lt-LT"/>
        </w:rPr>
        <w:t>36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8676C7" w:rsidRPr="00B56BC5">
        <w:rPr>
          <w:rFonts w:ascii="Times New Roman" w:hAnsi="Times New Roman" w:cs="Times New Roman"/>
          <w:lang w:val="lt-LT" w:eastAsia="lt-LT"/>
        </w:rPr>
        <w:t>mėnesių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47074D" w:rsidRPr="00B56BC5">
        <w:rPr>
          <w:rFonts w:ascii="Times New Roman" w:hAnsi="Times New Roman" w:cs="Times New Roman"/>
          <w:lang w:val="lt-LT" w:eastAsia="lt-LT"/>
        </w:rPr>
        <w:t>garantija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B23662" w:rsidRPr="00B56BC5">
        <w:rPr>
          <w:rFonts w:ascii="Times New Roman" w:hAnsi="Times New Roman" w:cs="Times New Roman"/>
          <w:lang w:val="lt-LT" w:eastAsia="lt-LT"/>
        </w:rPr>
        <w:t>(2</w:t>
      </w:r>
      <w:r w:rsidR="00A0558B" w:rsidRPr="00B56BC5">
        <w:rPr>
          <w:rFonts w:ascii="Times New Roman" w:hAnsi="Times New Roman" w:cs="Times New Roman"/>
          <w:lang w:val="lt-LT" w:eastAsia="lt-LT"/>
        </w:rPr>
        <w:t xml:space="preserve"> </w:t>
      </w:r>
      <w:r w:rsidR="00B23662" w:rsidRPr="00B56BC5">
        <w:rPr>
          <w:rFonts w:ascii="Times New Roman" w:hAnsi="Times New Roman" w:cs="Times New Roman"/>
          <w:lang w:val="lt-LT" w:eastAsia="lt-LT"/>
        </w:rPr>
        <w:t>lentelė)</w:t>
      </w:r>
      <w:r w:rsidR="00FD78FF" w:rsidRPr="00B56BC5">
        <w:rPr>
          <w:rFonts w:ascii="Times New Roman" w:hAnsi="Times New Roman" w:cs="Times New Roman"/>
          <w:lang w:val="lt-LT" w:eastAsia="lt-LT" w:bidi="ar-SA"/>
        </w:rPr>
        <w:t>:</w:t>
      </w:r>
    </w:p>
    <w:p w14:paraId="6A102A26" w14:textId="77777777" w:rsidR="00DE41E7" w:rsidRPr="00B56BC5" w:rsidRDefault="00DE41E7" w:rsidP="00DF0E46">
      <w:pPr>
        <w:tabs>
          <w:tab w:val="left" w:pos="851"/>
        </w:tabs>
        <w:spacing w:after="0" w:line="360" w:lineRule="auto"/>
        <w:ind w:left="425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</w:p>
    <w:p w14:paraId="7F7DC4A9" w14:textId="788AC79A" w:rsidR="00D90576" w:rsidRPr="00B56BC5" w:rsidRDefault="00D90576" w:rsidP="00E0457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lt-LT" w:eastAsia="lt-LT" w:bidi="ar-SA"/>
        </w:rPr>
      </w:pPr>
      <w:r w:rsidRPr="00B56BC5">
        <w:rPr>
          <w:rFonts w:ascii="Times New Roman" w:hAnsi="Times New Roman" w:cs="Times New Roman"/>
          <w:lang w:val="lt-LT" w:eastAsia="lt-LT" w:bidi="ar-SA"/>
        </w:rPr>
        <w:t>2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lentelė.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Perkamos</w:t>
      </w:r>
      <w:r w:rsidR="00404F8D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404F8D" w:rsidRPr="00B56BC5">
        <w:rPr>
          <w:rFonts w:ascii="Times New Roman" w:hAnsi="Times New Roman" w:cs="Times New Roman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licencijos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7234"/>
        <w:gridCol w:w="1555"/>
      </w:tblGrid>
      <w:tr w:rsidR="007E6D27" w:rsidRPr="00B56BC5" w14:paraId="71EF7E89" w14:textId="77777777" w:rsidTr="00E04572">
        <w:trPr>
          <w:trHeight w:val="780"/>
          <w:jc w:val="center"/>
        </w:trPr>
        <w:tc>
          <w:tcPr>
            <w:tcW w:w="88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BF75" w14:textId="7F184F56" w:rsidR="007E6D27" w:rsidRPr="00B56BC5" w:rsidRDefault="007E6D27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Eil.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Nr.</w:t>
            </w:r>
          </w:p>
        </w:tc>
        <w:tc>
          <w:tcPr>
            <w:tcW w:w="72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07C7" w14:textId="758708DA" w:rsidR="007E6D27" w:rsidRPr="00B56BC5" w:rsidRDefault="007E6D27" w:rsidP="00E248E8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Planuojamos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įsigyti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licencijos</w:t>
            </w:r>
          </w:p>
        </w:tc>
        <w:tc>
          <w:tcPr>
            <w:tcW w:w="155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E5DA" w14:textId="586B8C6E" w:rsidR="007E6D27" w:rsidRPr="00B56BC5" w:rsidRDefault="007E6D27" w:rsidP="007E6D2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Kiekis</w:t>
            </w:r>
            <w:r w:rsidR="00145AB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>,</w:t>
            </w:r>
            <w:r w:rsidR="00A0558B" w:rsidRPr="00B56BC5">
              <w:rPr>
                <w:rFonts w:ascii="Times New Roman" w:hAnsi="Times New Roman" w:cs="Times New Roman"/>
                <w:b/>
                <w:bCs/>
                <w:lang w:val="lt-LT" w:eastAsia="lt-LT" w:bidi="ar-SA"/>
              </w:rPr>
              <w:t xml:space="preserve"> </w:t>
            </w:r>
          </w:p>
          <w:p w14:paraId="3DC935C9" w14:textId="3A202DF0" w:rsidR="00145ABB" w:rsidRPr="00B56BC5" w:rsidRDefault="00145ABB" w:rsidP="007E6D27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lt-LT" w:bidi="ar-SA"/>
              </w:rPr>
            </w:pPr>
            <w:proofErr w:type="spellStart"/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vnt</w:t>
            </w:r>
            <w:proofErr w:type="spellEnd"/>
            <w:r w:rsidRPr="00B56BC5">
              <w:rPr>
                <w:rFonts w:ascii="Times New Roman" w:hAnsi="Times New Roman" w:cs="Times New Roman"/>
                <w:b/>
                <w:bCs/>
                <w:lang w:eastAsia="lt-LT" w:bidi="ar-SA"/>
              </w:rPr>
              <w:t>.</w:t>
            </w:r>
          </w:p>
        </w:tc>
      </w:tr>
      <w:tr w:rsidR="007E6D27" w:rsidRPr="00B56BC5" w14:paraId="716C12B8" w14:textId="77777777" w:rsidTr="00E04572">
        <w:trPr>
          <w:trHeight w:val="287"/>
          <w:jc w:val="center"/>
        </w:trPr>
        <w:tc>
          <w:tcPr>
            <w:tcW w:w="88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3BB1" w14:textId="77777777" w:rsidR="007E6D27" w:rsidRPr="00B56BC5" w:rsidRDefault="007E6D27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1</w:t>
            </w:r>
          </w:p>
        </w:tc>
        <w:tc>
          <w:tcPr>
            <w:tcW w:w="72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8CED" w14:textId="5C0F2A76" w:rsidR="007E6D27" w:rsidRPr="00B56BC5" w:rsidRDefault="007E6D27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2</w:t>
            </w:r>
          </w:p>
        </w:tc>
        <w:tc>
          <w:tcPr>
            <w:tcW w:w="155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41E1" w14:textId="0276822E" w:rsidR="007E6D27" w:rsidRPr="00B56BC5" w:rsidRDefault="007E6D27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i/>
                <w:iCs/>
                <w:lang w:eastAsia="lt-LT" w:bidi="ar-SA"/>
              </w:rPr>
              <w:t>3</w:t>
            </w:r>
          </w:p>
        </w:tc>
      </w:tr>
      <w:tr w:rsidR="007E6D27" w:rsidRPr="00B56BC5" w14:paraId="1C92393D" w14:textId="77777777" w:rsidTr="00E04572">
        <w:trPr>
          <w:trHeight w:val="313"/>
          <w:jc w:val="center"/>
        </w:trPr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4C05" w14:textId="77777777" w:rsidR="007E6D27" w:rsidRPr="00B56BC5" w:rsidRDefault="007E6D27" w:rsidP="00DF0E4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lang w:eastAsia="lt-LT" w:bidi="ar-SA"/>
              </w:rPr>
              <w:t>1.</w:t>
            </w:r>
          </w:p>
        </w:tc>
        <w:tc>
          <w:tcPr>
            <w:tcW w:w="7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3859" w14:textId="6D014EBB" w:rsidR="007E6D27" w:rsidRPr="00B56BC5" w:rsidRDefault="0054327E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lt-LT" w:bidi="ar-SA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E6D27" w:rsidRPr="00B56BC5">
              <w:rPr>
                <w:rFonts w:ascii="Times New Roman" w:hAnsi="Times New Roman" w:cs="Times New Roman"/>
                <w:lang w:val="lt-LT" w:eastAsia="lt-LT" w:bidi="ar-SA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E6D27" w:rsidRPr="00B56BC5">
              <w:rPr>
                <w:rFonts w:ascii="Times New Roman" w:hAnsi="Times New Roman" w:cs="Times New Roman"/>
                <w:lang w:val="lt-LT" w:eastAsia="lt-LT" w:bidi="ar-SA"/>
              </w:rPr>
              <w:t>lygiavertė</w:t>
            </w:r>
            <w:r w:rsidR="00404F8D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s </w:t>
            </w:r>
            <w:r w:rsidR="00404F8D" w:rsidRPr="00B56BC5">
              <w:rPr>
                <w:rFonts w:ascii="Times New Roman" w:hAnsi="Times New Roman" w:cs="Times New Roman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E6D27" w:rsidRPr="00B56BC5">
              <w:rPr>
                <w:rFonts w:ascii="Times New Roman" w:hAnsi="Times New Roman" w:cs="Times New Roman"/>
                <w:lang w:val="lt-LT" w:eastAsia="lt-LT" w:bidi="ar-SA"/>
              </w:rPr>
              <w:t>licencija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E6D27" w:rsidRPr="00B56BC5">
              <w:rPr>
                <w:rFonts w:ascii="Times New Roman" w:hAnsi="Times New Roman" w:cs="Times New Roman"/>
                <w:lang w:val="lt-LT" w:eastAsia="lt-LT" w:bidi="ar-SA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Active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Data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Guard</w:t>
            </w:r>
            <w:proofErr w:type="spellEnd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Diagnostic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Pack</w:t>
            </w:r>
            <w:proofErr w:type="spellEnd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Tuning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Pack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(arba lygiaverčiais)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komponentais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4C4F20" w:rsidRPr="00B56BC5">
              <w:rPr>
                <w:rFonts w:ascii="Times New Roman" w:hAnsi="Times New Roman" w:cs="Times New Roman"/>
                <w:lang w:val="lt-LT" w:eastAsia="lt-LT" w:bidi="ar-SA"/>
              </w:rPr>
              <w:t>ir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E6D27" w:rsidRPr="00B56BC5">
              <w:rPr>
                <w:rFonts w:ascii="Times New Roman" w:hAnsi="Times New Roman" w:cs="Times New Roman"/>
                <w:lang w:val="lt-LT" w:eastAsia="lt-LT" w:bidi="ar-SA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F93A1D" w:rsidRPr="00B56BC5">
              <w:rPr>
                <w:rFonts w:ascii="Times New Roman" w:hAnsi="Times New Roman" w:cs="Times New Roman"/>
                <w:lang w:val="lt-LT" w:eastAsia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F93A1D" w:rsidRPr="00B56BC5">
              <w:rPr>
                <w:rFonts w:ascii="Times New Roman" w:hAnsi="Times New Roman" w:cs="Times New Roman"/>
                <w:lang w:val="lt-LT" w:eastAsia="lt-LT"/>
              </w:rPr>
              <w:t>mažiau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F93A1D" w:rsidRPr="00B56BC5">
              <w:rPr>
                <w:rFonts w:ascii="Times New Roman" w:hAnsi="Times New Roman" w:cs="Times New Roman"/>
                <w:lang w:val="lt-LT" w:eastAsia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187F10" w:rsidRPr="00B56BC5">
              <w:rPr>
                <w:rFonts w:ascii="Times New Roman" w:hAnsi="Times New Roman" w:cs="Times New Roman"/>
                <w:lang w:val="lt-LT" w:eastAsia="lt-LT" w:bidi="ar-SA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51AD5" w:rsidRPr="00B56BC5">
              <w:rPr>
                <w:rFonts w:ascii="Times New Roman" w:hAnsi="Times New Roman" w:cs="Times New Roman"/>
                <w:lang w:val="lt-LT" w:eastAsia="lt-LT" w:bidi="ar-SA"/>
              </w:rPr>
              <w:t>mėnesių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751AD5" w:rsidRPr="00B56BC5">
              <w:rPr>
                <w:rFonts w:ascii="Times New Roman" w:hAnsi="Times New Roman" w:cs="Times New Roman"/>
                <w:lang w:val="lt-LT" w:eastAsia="lt-LT" w:bidi="ar-SA"/>
              </w:rPr>
              <w:t>garantija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89AB" w14:textId="2A4E8AD3" w:rsidR="007E6D27" w:rsidRPr="00B56BC5" w:rsidRDefault="008676C7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32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</w:tr>
      <w:tr w:rsidR="007E6D27" w:rsidRPr="00B56BC5" w14:paraId="16597C0E" w14:textId="77777777" w:rsidTr="00E04572">
        <w:trPr>
          <w:trHeight w:val="355"/>
          <w:jc w:val="center"/>
        </w:trPr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8884" w14:textId="77777777" w:rsidR="007E6D27" w:rsidRPr="00B56BC5" w:rsidRDefault="007E6D27" w:rsidP="00DF0E46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lang w:eastAsia="lt-LT" w:bidi="ar-SA"/>
              </w:rPr>
              <w:t>2.</w:t>
            </w:r>
          </w:p>
        </w:tc>
        <w:tc>
          <w:tcPr>
            <w:tcW w:w="7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8FDE" w14:textId="10DF57A3" w:rsidR="007E6D27" w:rsidRPr="00B56BC5" w:rsidRDefault="004C4F20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lt-LT" w:bidi="ar-SA"/>
              </w:rPr>
            </w:pPr>
            <w:r w:rsidRPr="00B56BC5">
              <w:rPr>
                <w:rFonts w:ascii="Times New Roman" w:hAnsi="Times New Roman" w:cs="Times New Roman"/>
                <w:lang w:eastAsia="lt-LT" w:bidi="ar-SA"/>
              </w:rPr>
              <w:t>Oracle</w:t>
            </w:r>
            <w:r w:rsidR="00A0558B" w:rsidRPr="00B56BC5">
              <w:rPr>
                <w:rFonts w:ascii="Times New Roman" w:hAnsi="Times New Roman" w:cs="Times New Roman"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eastAsia="lt-LT" w:bidi="ar-SA"/>
              </w:rPr>
              <w:t>Database</w:t>
            </w:r>
            <w:r w:rsidR="00A0558B" w:rsidRPr="00B56BC5">
              <w:rPr>
                <w:rFonts w:ascii="Times New Roman" w:hAnsi="Times New Roman" w:cs="Times New Roman"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eastAsia="lt-LT" w:bidi="ar-SA"/>
              </w:rPr>
              <w:t>Standard</w:t>
            </w:r>
            <w:r w:rsidR="00A0558B" w:rsidRPr="00B56BC5">
              <w:rPr>
                <w:rFonts w:ascii="Times New Roman" w:hAnsi="Times New Roman" w:cs="Times New Roman"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eastAsia="lt-LT" w:bidi="ar-SA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eastAsia="lt-LT" w:bidi="ar-SA"/>
              </w:rPr>
              <w:t>2</w:t>
            </w:r>
            <w:r w:rsidR="00A0558B" w:rsidRPr="00B56BC5">
              <w:rPr>
                <w:rFonts w:ascii="Times New Roman" w:hAnsi="Times New Roman" w:cs="Times New Roman"/>
                <w:lang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lygiavertė</w:t>
            </w:r>
            <w:r w:rsidR="00404F8D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404F8D" w:rsidRPr="00B56BC5">
              <w:rPr>
                <w:rFonts w:ascii="Times New Roman" w:hAnsi="Times New Roman" w:cs="Times New Roman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licencija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 w:eastAsia="lt-LT" w:bidi="ar-SA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 w:eastAsia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 w:eastAsia="lt-LT"/>
              </w:rPr>
              <w:t>mažiau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 w:eastAsia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1F4793" w:rsidRPr="00B56BC5">
              <w:rPr>
                <w:rFonts w:ascii="Times New Roman" w:hAnsi="Times New Roman" w:cs="Times New Roman"/>
                <w:lang w:val="lt-LT" w:eastAsia="lt-LT" w:bidi="ar-SA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mėnesių garantija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17A1" w14:textId="54A83699" w:rsidR="007E6D27" w:rsidRPr="00B56BC5" w:rsidRDefault="001F4793" w:rsidP="0028144E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lt-LT" w:eastAsia="lt-LT" w:bidi="ar-SA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12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</w:tr>
    </w:tbl>
    <w:p w14:paraId="33E7A9A0" w14:textId="04470571" w:rsidR="00FD78FF" w:rsidRPr="00B56BC5" w:rsidRDefault="00FD78FF" w:rsidP="00144590">
      <w:pPr>
        <w:numPr>
          <w:ilvl w:val="0"/>
          <w:numId w:val="17"/>
        </w:numPr>
        <w:spacing w:before="240" w:after="0" w:line="240" w:lineRule="auto"/>
        <w:ind w:left="714" w:hanging="357"/>
        <w:jc w:val="center"/>
        <w:rPr>
          <w:rFonts w:ascii="Times New Roman" w:hAnsi="Times New Roman" w:cs="Times New Roman"/>
          <w:b/>
          <w:lang w:val="lt-LT" w:bidi="ar-SA"/>
        </w:rPr>
      </w:pPr>
      <w:r w:rsidRPr="00B56BC5">
        <w:rPr>
          <w:rFonts w:ascii="Times New Roman" w:hAnsi="Times New Roman" w:cs="Times New Roman"/>
          <w:b/>
          <w:bCs/>
          <w:lang w:val="lt-LT" w:bidi="ar-SA"/>
        </w:rPr>
        <w:lastRenderedPageBreak/>
        <w:t xml:space="preserve">BENDRIEJI REIKALAVIMAI </w:t>
      </w:r>
      <w:r w:rsidR="00DA49B6" w:rsidRPr="00B56BC5">
        <w:rPr>
          <w:rFonts w:ascii="Times New Roman" w:hAnsi="Times New Roman" w:cs="Times New Roman"/>
          <w:b/>
          <w:bCs/>
          <w:lang w:val="lt-LT" w:bidi="ar-SA"/>
        </w:rPr>
        <w:t xml:space="preserve">SIŪLOMOS PROGRAMINĖS ĮRANGOS LICENCIJOMS </w:t>
      </w:r>
      <w:r w:rsidRPr="00B56BC5">
        <w:rPr>
          <w:rFonts w:ascii="Times New Roman" w:hAnsi="Times New Roman" w:cs="Times New Roman"/>
          <w:b/>
          <w:bCs/>
          <w:lang w:val="lt-LT" w:bidi="ar-SA"/>
        </w:rPr>
        <w:t>IR PASLAUGOMS</w:t>
      </w:r>
    </w:p>
    <w:p w14:paraId="5963287B" w14:textId="77777777" w:rsidR="00FD78FF" w:rsidRPr="00B56BC5" w:rsidRDefault="00FD78FF" w:rsidP="00FD78FF">
      <w:pPr>
        <w:tabs>
          <w:tab w:val="left" w:pos="426"/>
          <w:tab w:val="left" w:pos="709"/>
          <w:tab w:val="left" w:pos="851"/>
          <w:tab w:val="left" w:pos="1170"/>
          <w:tab w:val="left" w:pos="1440"/>
          <w:tab w:val="left" w:pos="1560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lang w:val="lt-LT" w:bidi="ar-SA"/>
        </w:rPr>
      </w:pPr>
    </w:p>
    <w:p w14:paraId="4C14C9DB" w14:textId="4217E546" w:rsidR="00FD78FF" w:rsidRPr="00B56BC5" w:rsidRDefault="00FD78FF" w:rsidP="00E04572">
      <w:pPr>
        <w:numPr>
          <w:ilvl w:val="1"/>
          <w:numId w:val="17"/>
        </w:numPr>
        <w:tabs>
          <w:tab w:val="left" w:pos="567"/>
          <w:tab w:val="left" w:pos="851"/>
          <w:tab w:val="left" w:pos="113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lang w:val="lt-LT" w:eastAsia="lt-LT" w:bidi="ar-SA"/>
        </w:rPr>
      </w:pPr>
      <w:r w:rsidRPr="00B56BC5">
        <w:rPr>
          <w:rFonts w:ascii="Times New Roman" w:hAnsi="Times New Roman" w:cs="Times New Roman"/>
          <w:b/>
          <w:lang w:val="lt-LT" w:eastAsia="lt-LT" w:bidi="ar-SA"/>
        </w:rPr>
        <w:t>Bendrieji reikalavimai siūlomos</w:t>
      </w:r>
      <w:r w:rsidR="00302920" w:rsidRPr="00B56BC5">
        <w:rPr>
          <w:rFonts w:ascii="Times New Roman" w:hAnsi="Times New Roman" w:cs="Times New Roman"/>
          <w:b/>
          <w:lang w:val="lt-LT" w:eastAsia="lt-LT" w:bidi="ar-SA"/>
        </w:rPr>
        <w:t xml:space="preserve"> programinės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 xml:space="preserve"> įrangos </w:t>
      </w:r>
      <w:r w:rsidR="00DA49B6" w:rsidRPr="00B56BC5">
        <w:rPr>
          <w:rFonts w:ascii="Times New Roman" w:hAnsi="Times New Roman" w:cs="Times New Roman"/>
          <w:b/>
          <w:lang w:val="lt-LT" w:eastAsia="lt-LT" w:bidi="ar-SA"/>
        </w:rPr>
        <w:t xml:space="preserve">licencijų 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>tiekėjui:</w:t>
      </w:r>
    </w:p>
    <w:p w14:paraId="4F733B14" w14:textId="1AE92B14" w:rsidR="000270CC" w:rsidRPr="00B56BC5" w:rsidRDefault="002A08CF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 l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>icencijų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tiekėjas turi būti siūlom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os programinės įrangos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licencijų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gamintojas arba gamintojo atstovas, įgaliotas pateikti (parduoti) siūlom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os programinės įrangos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licencijas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arba turi būti sudaręs sutartį su tokiu atstovu, turinčiu išvardintas teises. Pasiūlyme turi būti pateiktos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siūlomos programinės įrangos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>licencijų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gamintojo pažymos, patvirtinančios, kad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programinės įrangos 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>licencijų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tiekėjas yra siūlom</w:t>
      </w:r>
      <w:r w:rsidR="00153A02" w:rsidRPr="00B56BC5">
        <w:rPr>
          <w:rFonts w:ascii="Times New Roman" w:hAnsi="Times New Roman" w:cs="Times New Roman"/>
          <w:kern w:val="12"/>
          <w:lang w:val="lt-LT" w:eastAsia="ar-SA" w:bidi="ar-SA"/>
        </w:rPr>
        <w:t>os programinės įrangos l</w:t>
      </w:r>
      <w:r w:rsidR="004F7F8C" w:rsidRPr="00B56BC5">
        <w:rPr>
          <w:rFonts w:ascii="Times New Roman" w:hAnsi="Times New Roman" w:cs="Times New Roman"/>
          <w:kern w:val="12"/>
          <w:lang w:val="lt-LT" w:eastAsia="ar-SA" w:bidi="ar-SA"/>
        </w:rPr>
        <w:t>ice</w:t>
      </w:r>
      <w:r w:rsidR="00366C6A" w:rsidRPr="00B56BC5">
        <w:rPr>
          <w:rFonts w:ascii="Times New Roman" w:hAnsi="Times New Roman" w:cs="Times New Roman"/>
          <w:kern w:val="12"/>
          <w:lang w:val="lt-LT" w:eastAsia="ar-SA" w:bidi="ar-SA"/>
        </w:rPr>
        <w:t>ncijų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gamintojo atstovas, įgaliotas pateikti (parduoti) siūlom</w:t>
      </w:r>
      <w:r w:rsidR="00153A02" w:rsidRPr="00B56BC5">
        <w:rPr>
          <w:rFonts w:ascii="Times New Roman" w:hAnsi="Times New Roman" w:cs="Times New Roman"/>
          <w:kern w:val="12"/>
          <w:lang w:val="lt-LT" w:eastAsia="ar-SA" w:bidi="ar-SA"/>
        </w:rPr>
        <w:t>os programinės įrangos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366C6A" w:rsidRPr="00B56BC5">
        <w:rPr>
          <w:rFonts w:ascii="Times New Roman" w:hAnsi="Times New Roman" w:cs="Times New Roman"/>
          <w:kern w:val="12"/>
          <w:lang w:val="lt-LT" w:eastAsia="ar-SA" w:bidi="ar-SA"/>
        </w:rPr>
        <w:t>licencijas</w:t>
      </w:r>
      <w:r w:rsidR="00EA1874" w:rsidRPr="00B56BC5">
        <w:rPr>
          <w:rFonts w:ascii="Times New Roman" w:hAnsi="Times New Roman" w:cs="Times New Roman"/>
          <w:lang w:val="lt-LT" w:eastAsia="ar-SA" w:bidi="ar-SA"/>
        </w:rPr>
        <w:t xml:space="preserve"> </w:t>
      </w:r>
      <w:r w:rsidR="00EA1874" w:rsidRPr="00B56BC5">
        <w:rPr>
          <w:rFonts w:ascii="Times New Roman" w:hAnsi="Times New Roman" w:cs="Times New Roman"/>
          <w:kern w:val="12"/>
          <w:lang w:val="lt-LT" w:eastAsia="ar-SA" w:bidi="ar-SA"/>
        </w:rPr>
        <w:t>arba turi būti sudaręs sutartį su tokiu atstovu, turinčiu išvardintas teises (turi būti pateikta skaitmeninė kopija)</w:t>
      </w:r>
      <w:r w:rsidR="000270CC" w:rsidRPr="00B56BC5">
        <w:rPr>
          <w:rFonts w:ascii="Times New Roman" w:hAnsi="Times New Roman" w:cs="Times New Roman"/>
          <w:lang w:val="lt-LT" w:eastAsia="ar-SA" w:bidi="ar-SA"/>
        </w:rPr>
        <w:t>.</w:t>
      </w:r>
    </w:p>
    <w:p w14:paraId="16681C2D" w14:textId="2AE13F3D" w:rsidR="00FD78FF" w:rsidRPr="00B56BC5" w:rsidRDefault="00FD78FF" w:rsidP="001A7308">
      <w:pPr>
        <w:tabs>
          <w:tab w:val="left" w:pos="426"/>
        </w:tabs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 w:cs="Times New Roman"/>
          <w:color w:val="222222"/>
          <w:lang w:val="lt-LT" w:bidi="ar-SA"/>
        </w:rPr>
      </w:pPr>
    </w:p>
    <w:p w14:paraId="330D9642" w14:textId="39C8F69D" w:rsidR="00FD78FF" w:rsidRPr="00B56BC5" w:rsidRDefault="00FD78FF" w:rsidP="00F54204">
      <w:pPr>
        <w:numPr>
          <w:ilvl w:val="1"/>
          <w:numId w:val="17"/>
        </w:numPr>
        <w:tabs>
          <w:tab w:val="left" w:pos="567"/>
          <w:tab w:val="left" w:pos="851"/>
          <w:tab w:val="left" w:pos="113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lang w:val="lt-LT" w:eastAsia="lt-LT" w:bidi="ar-SA"/>
        </w:rPr>
      </w:pPr>
      <w:r w:rsidRPr="00B56BC5">
        <w:rPr>
          <w:rFonts w:ascii="Times New Roman" w:hAnsi="Times New Roman" w:cs="Times New Roman"/>
          <w:b/>
          <w:lang w:val="lt-LT" w:eastAsia="lt-LT" w:bidi="ar-SA"/>
        </w:rPr>
        <w:t xml:space="preserve">Bendrieji reikalavimai </w:t>
      </w:r>
      <w:r w:rsidR="00153A02" w:rsidRPr="00B56BC5">
        <w:rPr>
          <w:rFonts w:ascii="Times New Roman" w:hAnsi="Times New Roman" w:cs="Times New Roman"/>
          <w:b/>
          <w:lang w:val="lt-LT" w:eastAsia="lt-LT" w:bidi="ar-SA"/>
        </w:rPr>
        <w:t xml:space="preserve">siūlomos programinės įrangos </w:t>
      </w:r>
      <w:r w:rsidR="00712118" w:rsidRPr="00B56BC5">
        <w:rPr>
          <w:rFonts w:ascii="Times New Roman" w:hAnsi="Times New Roman" w:cs="Times New Roman"/>
          <w:b/>
          <w:lang w:val="lt-LT" w:eastAsia="lt-LT" w:bidi="ar-SA"/>
        </w:rPr>
        <w:t>licencijoms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>:</w:t>
      </w:r>
    </w:p>
    <w:p w14:paraId="175D14B2" w14:textId="7D7447A7" w:rsidR="00FD78FF" w:rsidRPr="00B56BC5" w:rsidRDefault="00FD78FF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Visos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siūlomos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programinės įrangos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licencijos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turi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būti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pateikiamos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gamintojo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garantija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2D3528" w:rsidRPr="00B56BC5">
        <w:rPr>
          <w:rFonts w:ascii="Times New Roman" w:hAnsi="Times New Roman" w:cs="Times New Roman"/>
          <w:kern w:val="12"/>
          <w:lang w:val="lt-LT" w:eastAsia="ar-SA" w:bidi="ar-SA"/>
        </w:rPr>
        <w:t>nurodytam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2D3528" w:rsidRPr="00B56BC5">
        <w:rPr>
          <w:rFonts w:ascii="Times New Roman" w:hAnsi="Times New Roman" w:cs="Times New Roman"/>
          <w:kern w:val="12"/>
          <w:lang w:val="lt-LT" w:eastAsia="ar-SA" w:bidi="ar-SA"/>
        </w:rPr>
        <w:t>laikotarpiui</w:t>
      </w:r>
      <w:r w:rsidR="001F4793" w:rsidRPr="00B56BC5">
        <w:rPr>
          <w:rFonts w:ascii="Times New Roman" w:hAnsi="Times New Roman" w:cs="Times New Roman"/>
          <w:kern w:val="12"/>
          <w:lang w:val="lt-LT" w:eastAsia="ar-SA" w:bidi="ar-SA"/>
        </w:rPr>
        <w:t>.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</w:p>
    <w:p w14:paraId="2B030031" w14:textId="67C7CDF5" w:rsidR="002103BB" w:rsidRPr="00B56BC5" w:rsidRDefault="002103BB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Naudojant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1317A2" w:rsidRPr="00B56BC5">
        <w:rPr>
          <w:rFonts w:ascii="Times New Roman" w:hAnsi="Times New Roman" w:cs="Times New Roman"/>
          <w:kern w:val="12"/>
          <w:lang w:val="lt-LT" w:eastAsia="ar-SA" w:bidi="ar-SA"/>
        </w:rPr>
        <w:t>įsigytas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programinės įrangos </w:t>
      </w:r>
      <w:r w:rsidR="001317A2" w:rsidRPr="00B56BC5">
        <w:rPr>
          <w:rFonts w:ascii="Times New Roman" w:hAnsi="Times New Roman" w:cs="Times New Roman"/>
          <w:kern w:val="12"/>
          <w:lang w:val="lt-LT" w:eastAsia="ar-SA" w:bidi="ar-SA"/>
        </w:rPr>
        <w:t>licencijas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bus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teikiamos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debesijos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paslaugos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kitoms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valstybės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įstaigoms,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įmonėms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bei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organizacijoms,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todėl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jeigu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gamintojų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taisyklės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šiam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poreikiui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realizuoti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reikalauja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papildomų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programinių įrangų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licencijų,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tokias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programinės įrangos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licencijas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būtina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įtraukti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į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pasiūlymo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kainą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(taip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pat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tai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turi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būti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nurodyta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pasiūlyme).</w:t>
      </w:r>
    </w:p>
    <w:p w14:paraId="0F5C7D21" w14:textId="4519571B" w:rsidR="002103BB" w:rsidRPr="00B56BC5" w:rsidRDefault="009B485F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Vis</w:t>
      </w:r>
      <w:r w:rsidR="001C5830" w:rsidRPr="00B56BC5">
        <w:rPr>
          <w:rFonts w:ascii="Times New Roman" w:hAnsi="Times New Roman" w:cs="Times New Roman"/>
          <w:kern w:val="12"/>
          <w:lang w:val="lt-LT" w:eastAsia="ar-SA" w:bidi="ar-SA"/>
        </w:rPr>
        <w:t>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siūlom</w:t>
      </w:r>
      <w:r w:rsidR="001C5830" w:rsidRPr="00B56BC5">
        <w:rPr>
          <w:rFonts w:ascii="Times New Roman" w:hAnsi="Times New Roman" w:cs="Times New Roman"/>
          <w:kern w:val="12"/>
          <w:lang w:val="lt-LT" w:eastAsia="ar-SA" w:bidi="ar-SA"/>
        </w:rPr>
        <w:t>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programinės įrangos </w:t>
      </w:r>
      <w:r w:rsidR="001C5830" w:rsidRPr="00B56BC5">
        <w:rPr>
          <w:rFonts w:ascii="Times New Roman" w:hAnsi="Times New Roman" w:cs="Times New Roman"/>
          <w:kern w:val="12"/>
          <w:lang w:val="lt-LT" w:eastAsia="ar-SA" w:bidi="ar-SA"/>
        </w:rPr>
        <w:t>licencijas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tiekėjas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privalo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užregistruoti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Perkančiosios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organizacijos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vardu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gamintojų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nustatyta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tvarka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garantinių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paslaugų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teikimui,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registracijos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duomenis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perduoti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Perkančiajai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 w:bidi="ar-SA"/>
        </w:rPr>
        <w:t>organizacijai.</w:t>
      </w:r>
    </w:p>
    <w:p w14:paraId="44B591A4" w14:textId="0FF290F2" w:rsidR="00D013A8" w:rsidRPr="00B56BC5" w:rsidRDefault="00D013A8" w:rsidP="00F54204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lt-LT"/>
        </w:rPr>
      </w:pPr>
      <w:r w:rsidRPr="00B56BC5">
        <w:rPr>
          <w:rFonts w:ascii="Times New Roman" w:eastAsia="Calibri" w:hAnsi="Times New Roman" w:cs="Times New Roman"/>
          <w:lang w:val="lt-LT"/>
        </w:rPr>
        <w:t>Siūlom</w:t>
      </w:r>
      <w:r w:rsidR="001C5830" w:rsidRPr="00B56BC5">
        <w:rPr>
          <w:rFonts w:ascii="Times New Roman" w:eastAsia="Calibri" w:hAnsi="Times New Roman" w:cs="Times New Roman"/>
          <w:lang w:val="lt-LT"/>
        </w:rPr>
        <w:t>ų</w:t>
      </w:r>
      <w:r w:rsidR="00712118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712118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1C5830" w:rsidRPr="00B56BC5">
        <w:rPr>
          <w:rFonts w:ascii="Times New Roman" w:eastAsia="Calibri" w:hAnsi="Times New Roman" w:cs="Times New Roman"/>
          <w:lang w:val="lt-LT"/>
        </w:rPr>
        <w:t xml:space="preserve"> licencijų </w:t>
      </w:r>
      <w:r w:rsidRPr="00B56BC5">
        <w:rPr>
          <w:rFonts w:ascii="Times New Roman" w:eastAsia="Calibri" w:hAnsi="Times New Roman" w:cs="Times New Roman"/>
          <w:lang w:val="lt-LT"/>
        </w:rPr>
        <w:t>gamintojo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C7114D" w:rsidRPr="00B56BC5">
        <w:rPr>
          <w:rFonts w:ascii="Times New Roman" w:eastAsia="Calibri" w:hAnsi="Times New Roman" w:cs="Times New Roman"/>
          <w:lang w:val="lt-LT"/>
        </w:rPr>
        <w:t>garantija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Pr="00B56BC5">
        <w:rPr>
          <w:rFonts w:ascii="Times New Roman" w:eastAsia="Calibri" w:hAnsi="Times New Roman" w:cs="Times New Roman"/>
          <w:lang w:val="lt-LT"/>
        </w:rPr>
        <w:t>Software</w:t>
      </w:r>
      <w:proofErr w:type="spellEnd"/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B56BC5">
        <w:rPr>
          <w:rFonts w:ascii="Times New Roman" w:eastAsia="Calibri" w:hAnsi="Times New Roman" w:cs="Times New Roman"/>
          <w:lang w:val="lt-LT"/>
        </w:rPr>
        <w:t>Update</w:t>
      </w:r>
      <w:proofErr w:type="spellEnd"/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B56BC5">
        <w:rPr>
          <w:rFonts w:ascii="Times New Roman" w:eastAsia="Calibri" w:hAnsi="Times New Roman" w:cs="Times New Roman"/>
          <w:lang w:val="lt-LT"/>
        </w:rPr>
        <w:t>License</w:t>
      </w:r>
      <w:proofErr w:type="spellEnd"/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&amp;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B56BC5">
        <w:rPr>
          <w:rFonts w:ascii="Times New Roman" w:eastAsia="Calibri" w:hAnsi="Times New Roman" w:cs="Times New Roman"/>
          <w:lang w:val="lt-LT"/>
        </w:rPr>
        <w:t>Support</w:t>
      </w:r>
      <w:proofErr w:type="spellEnd"/>
      <w:r w:rsidRPr="00B56BC5">
        <w:rPr>
          <w:rFonts w:ascii="Times New Roman" w:eastAsia="Calibri" w:hAnsi="Times New Roman" w:cs="Times New Roman"/>
          <w:lang w:val="lt-LT"/>
        </w:rPr>
        <w:t>)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turi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apimti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ne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mažiau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kaip:</w:t>
      </w:r>
    </w:p>
    <w:p w14:paraId="04A12C54" w14:textId="200C473E" w:rsidR="00D013A8" w:rsidRPr="00B56BC5" w:rsidRDefault="00621A56" w:rsidP="00D517FF">
      <w:pPr>
        <w:numPr>
          <w:ilvl w:val="3"/>
          <w:numId w:val="17"/>
        </w:numPr>
        <w:suppressAutoHyphens/>
        <w:autoSpaceDN w:val="0"/>
        <w:spacing w:after="0" w:line="360" w:lineRule="auto"/>
        <w:ind w:left="0" w:firstLine="360"/>
        <w:contextualSpacing/>
        <w:jc w:val="both"/>
        <w:textAlignment w:val="baseline"/>
        <w:rPr>
          <w:rFonts w:ascii="Times New Roman" w:eastAsia="Calibri" w:hAnsi="Times New Roman" w:cs="Times New Roman"/>
          <w:lang w:val="lt-LT"/>
        </w:rPr>
      </w:pPr>
      <w:proofErr w:type="spellStart"/>
      <w:r w:rsidRPr="00DF0E46">
        <w:rPr>
          <w:rFonts w:ascii="Times New Roman" w:eastAsia="Calibri" w:hAnsi="Times New Roman" w:cs="Times New Roman"/>
          <w:lang w:val="lt-LT"/>
        </w:rPr>
        <w:t>galimybę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be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papildomo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mokesčio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naudotis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naujausiomis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programinės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įrangos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licencijų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versijomis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įskaitant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jų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atsisiuntimą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ir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susijusios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dokumentacijos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gavimą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iš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programinės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įrangos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gamintojo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interneto</w:t>
      </w:r>
      <w:proofErr w:type="spellEnd"/>
      <w:r w:rsidRPr="00DF0E46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F0E46">
        <w:rPr>
          <w:rFonts w:ascii="Times New Roman" w:eastAsia="Calibri" w:hAnsi="Times New Roman" w:cs="Times New Roman"/>
          <w:lang w:val="lt-LT"/>
        </w:rPr>
        <w:t>svetainės</w:t>
      </w:r>
      <w:proofErr w:type="spellEnd"/>
      <w:r w:rsidR="00D013A8" w:rsidRPr="00B56BC5">
        <w:rPr>
          <w:rFonts w:ascii="Times New Roman" w:eastAsia="Calibri" w:hAnsi="Times New Roman" w:cs="Times New Roman"/>
          <w:lang w:val="lt-LT"/>
        </w:rPr>
        <w:t>;</w:t>
      </w:r>
    </w:p>
    <w:p w14:paraId="28663827" w14:textId="00F437FD" w:rsidR="00D013A8" w:rsidRPr="00B56BC5" w:rsidRDefault="00621A56" w:rsidP="00D517FF">
      <w:pPr>
        <w:numPr>
          <w:ilvl w:val="3"/>
          <w:numId w:val="17"/>
        </w:numPr>
        <w:suppressAutoHyphens/>
        <w:autoSpaceDN w:val="0"/>
        <w:spacing w:after="0" w:line="360" w:lineRule="auto"/>
        <w:ind w:left="0" w:firstLine="360"/>
        <w:contextualSpacing/>
        <w:jc w:val="both"/>
        <w:textAlignment w:val="baseline"/>
        <w:rPr>
          <w:rFonts w:ascii="Times New Roman" w:eastAsia="Calibri" w:hAnsi="Times New Roman" w:cs="Times New Roman"/>
          <w:lang w:val="lt-LT"/>
        </w:rPr>
      </w:pPr>
      <w:r w:rsidRPr="00B56BC5">
        <w:rPr>
          <w:rFonts w:ascii="Times New Roman" w:hAnsi="Times New Roman" w:cs="Times New Roman"/>
          <w:kern w:val="12"/>
          <w:lang w:val="lt-LT" w:eastAsia="ar-SA"/>
        </w:rPr>
        <w:t>galimybę naudotis programinės įrangos gamintojo internetiniu portalu „</w:t>
      </w:r>
      <w:proofErr w:type="spellStart"/>
      <w:r w:rsidRPr="00B56BC5">
        <w:rPr>
          <w:rFonts w:ascii="Times New Roman" w:hAnsi="Times New Roman" w:cs="Times New Roman"/>
          <w:kern w:val="12"/>
          <w:lang w:val="lt-LT" w:eastAsia="ar-SA"/>
        </w:rPr>
        <w:t>My</w:t>
      </w:r>
      <w:proofErr w:type="spellEnd"/>
      <w:r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proofErr w:type="spellStart"/>
      <w:r w:rsidRPr="00B56BC5">
        <w:rPr>
          <w:rFonts w:ascii="Times New Roman" w:hAnsi="Times New Roman" w:cs="Times New Roman"/>
          <w:kern w:val="12"/>
          <w:lang w:val="lt-LT" w:eastAsia="ar-SA"/>
        </w:rPr>
        <w:t>Oracle</w:t>
      </w:r>
      <w:proofErr w:type="spellEnd"/>
      <w:r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proofErr w:type="spellStart"/>
      <w:r w:rsidRPr="00B56BC5">
        <w:rPr>
          <w:rFonts w:ascii="Times New Roman" w:hAnsi="Times New Roman" w:cs="Times New Roman"/>
          <w:kern w:val="12"/>
          <w:lang w:val="lt-LT" w:eastAsia="ar-SA"/>
        </w:rPr>
        <w:t>Support</w:t>
      </w:r>
      <w:proofErr w:type="spellEnd"/>
      <w:r w:rsidRPr="00B56BC5">
        <w:rPr>
          <w:rFonts w:ascii="Times New Roman" w:hAnsi="Times New Roman" w:cs="Times New Roman"/>
          <w:kern w:val="12"/>
          <w:lang w:val="lt-LT" w:eastAsia="ar-SA"/>
        </w:rPr>
        <w:t>“ arba lygiaverčiu, taip pat gauti informaciją apie programinės įrangos atnaujinimus</w:t>
      </w:r>
      <w:r w:rsidR="00D013A8" w:rsidRPr="00B56BC5">
        <w:rPr>
          <w:rFonts w:ascii="Times New Roman" w:eastAsia="Calibri" w:hAnsi="Times New Roman" w:cs="Times New Roman"/>
          <w:lang w:val="lt-LT"/>
        </w:rPr>
        <w:t>;</w:t>
      </w:r>
    </w:p>
    <w:p w14:paraId="2D1A74B4" w14:textId="6904564D" w:rsidR="00D013A8" w:rsidRPr="00B56BC5" w:rsidRDefault="005C21C2" w:rsidP="00D517FF">
      <w:pPr>
        <w:numPr>
          <w:ilvl w:val="3"/>
          <w:numId w:val="17"/>
        </w:numPr>
        <w:suppressAutoHyphens/>
        <w:autoSpaceDN w:val="0"/>
        <w:spacing w:after="0" w:line="360" w:lineRule="auto"/>
        <w:ind w:left="0" w:firstLine="360"/>
        <w:contextualSpacing/>
        <w:jc w:val="both"/>
        <w:textAlignment w:val="baseline"/>
        <w:rPr>
          <w:rFonts w:ascii="Times New Roman" w:eastAsia="Calibri" w:hAnsi="Times New Roman" w:cs="Times New Roman"/>
          <w:lang w:val="lt-LT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Programinės įrangos </w:t>
      </w:r>
      <w:r w:rsidRPr="00B56BC5">
        <w:rPr>
          <w:rFonts w:ascii="Times New Roman" w:eastAsia="Calibri" w:hAnsi="Times New Roman" w:cs="Times New Roman"/>
          <w:lang w:val="lt-LT"/>
        </w:rPr>
        <w:t>l</w:t>
      </w:r>
      <w:r w:rsidR="001C5830" w:rsidRPr="00B56BC5">
        <w:rPr>
          <w:rFonts w:ascii="Times New Roman" w:eastAsia="Calibri" w:hAnsi="Times New Roman" w:cs="Times New Roman"/>
          <w:lang w:val="lt-LT"/>
        </w:rPr>
        <w:t>icencijų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palaikym</w:t>
      </w:r>
      <w:r w:rsidR="00FA520F" w:rsidRPr="00B56BC5">
        <w:rPr>
          <w:rFonts w:ascii="Times New Roman" w:eastAsia="Calibri" w:hAnsi="Times New Roman" w:cs="Times New Roman"/>
          <w:lang w:val="lt-LT"/>
        </w:rPr>
        <w:t>ą, kuris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207255" w:rsidRPr="00B56BC5">
        <w:rPr>
          <w:rFonts w:ascii="Times New Roman" w:eastAsia="Calibri" w:hAnsi="Times New Roman" w:cs="Times New Roman"/>
          <w:lang w:val="lt-LT"/>
        </w:rPr>
        <w:t>atitinka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ir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apim</w:t>
      </w:r>
      <w:r w:rsidR="00207255" w:rsidRPr="00B56BC5">
        <w:rPr>
          <w:rFonts w:ascii="Times New Roman" w:eastAsia="Calibri" w:hAnsi="Times New Roman" w:cs="Times New Roman"/>
          <w:lang w:val="lt-LT"/>
        </w:rPr>
        <w:t xml:space="preserve">a </w:t>
      </w:r>
      <w:r w:rsidR="00207255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licencijų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techninio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palaikymo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standartinių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sąlygų,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A54E6" w:rsidRPr="00B56BC5">
        <w:rPr>
          <w:rFonts w:ascii="Times New Roman" w:eastAsia="Calibri" w:hAnsi="Times New Roman" w:cs="Times New Roman"/>
          <w:lang w:val="lt-LT"/>
        </w:rPr>
        <w:t>pateiktų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interneto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puslapyje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adresu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color w:val="0000FF"/>
          <w:u w:val="single"/>
          <w:lang w:val="lt-LT"/>
        </w:rPr>
        <w:t>http://www.oracle.com/us/support/policies/index.html</w:t>
      </w:r>
      <w:r w:rsidR="00D013A8" w:rsidRPr="00B56BC5">
        <w:rPr>
          <w:rFonts w:ascii="Times New Roman" w:eastAsia="Calibri" w:hAnsi="Times New Roman" w:cs="Times New Roman"/>
          <w:lang w:val="lt-LT"/>
        </w:rPr>
        <w:t>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apraše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nurodytas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veiklas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(</w:t>
      </w:r>
      <w:hyperlink r:id="rId11" w:history="1">
        <w:r w:rsidR="00366D49" w:rsidRPr="00B56BC5">
          <w:rPr>
            <w:rStyle w:val="Hyperlink"/>
            <w:rFonts w:ascii="Times New Roman" w:hAnsi="Times New Roman" w:cs="Times New Roman"/>
          </w:rPr>
          <w:t>https://www.oracle.com/contracts/docs/057419.pdf</w:t>
        </w:r>
      </w:hyperlink>
      <w:r w:rsidR="00D013A8" w:rsidRPr="00B56BC5">
        <w:rPr>
          <w:rFonts w:ascii="Times New Roman" w:eastAsia="Calibri" w:hAnsi="Times New Roman" w:cs="Times New Roman"/>
          <w:lang w:val="lt-LT"/>
        </w:rPr>
        <w:t>)</w:t>
      </w:r>
      <w:r w:rsidR="00DF1AE6" w:rsidRPr="00B56BC5">
        <w:rPr>
          <w:rFonts w:ascii="Times New Roman" w:eastAsia="Calibri" w:hAnsi="Times New Roman" w:cs="Times New Roman"/>
          <w:lang w:val="lt-LT"/>
        </w:rPr>
        <w:t>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jeigu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siūlom</w:t>
      </w:r>
      <w:r w:rsidR="001C5830" w:rsidRPr="00B56BC5">
        <w:rPr>
          <w:rFonts w:ascii="Times New Roman" w:eastAsia="Calibri" w:hAnsi="Times New Roman" w:cs="Times New Roman"/>
          <w:lang w:val="lt-LT"/>
        </w:rPr>
        <w:t>os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ORACLE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1C5830" w:rsidRPr="00B56BC5">
        <w:rPr>
          <w:rFonts w:ascii="Times New Roman" w:eastAsia="Calibri" w:hAnsi="Times New Roman" w:cs="Times New Roman"/>
          <w:lang w:val="lt-LT"/>
        </w:rPr>
        <w:t>licencijos</w:t>
      </w:r>
      <w:r w:rsidR="00DF1AE6" w:rsidRPr="00B56BC5">
        <w:rPr>
          <w:rFonts w:ascii="Times New Roman" w:eastAsia="Calibri" w:hAnsi="Times New Roman" w:cs="Times New Roman"/>
          <w:lang w:val="lt-LT"/>
        </w:rPr>
        <w:t>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arba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siūlom</w:t>
      </w:r>
      <w:r w:rsidR="001C5830" w:rsidRPr="00B56BC5">
        <w:rPr>
          <w:rFonts w:ascii="Times New Roman" w:eastAsia="Calibri" w:hAnsi="Times New Roman" w:cs="Times New Roman"/>
          <w:lang w:val="lt-LT"/>
        </w:rPr>
        <w:t>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90849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D90849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licencijų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 </w:t>
      </w:r>
      <w:r w:rsidR="00D013A8" w:rsidRPr="00B56BC5">
        <w:rPr>
          <w:rFonts w:ascii="Times New Roman" w:eastAsia="Calibri" w:hAnsi="Times New Roman" w:cs="Times New Roman"/>
          <w:lang w:val="lt-LT"/>
        </w:rPr>
        <w:t>gamintojo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techninio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palaikymo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standartines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013A8" w:rsidRPr="00B56BC5">
        <w:rPr>
          <w:rFonts w:ascii="Times New Roman" w:eastAsia="Calibri" w:hAnsi="Times New Roman" w:cs="Times New Roman"/>
          <w:lang w:val="lt-LT"/>
        </w:rPr>
        <w:t>sąlygas;</w:t>
      </w:r>
    </w:p>
    <w:p w14:paraId="6F5ED8B6" w14:textId="68F50C1B" w:rsidR="002F4699" w:rsidRPr="00B56BC5" w:rsidRDefault="00D013A8" w:rsidP="00D517FF">
      <w:pPr>
        <w:numPr>
          <w:ilvl w:val="3"/>
          <w:numId w:val="17"/>
        </w:numPr>
        <w:suppressAutoHyphens/>
        <w:autoSpaceDN w:val="0"/>
        <w:spacing w:after="0" w:line="360" w:lineRule="auto"/>
        <w:ind w:left="0" w:firstLine="360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eastAsia="Calibri" w:hAnsi="Times New Roman" w:cs="Times New Roman"/>
          <w:lang w:val="lt-LT"/>
        </w:rPr>
        <w:t>galimyb</w:t>
      </w:r>
      <w:r w:rsidR="00FA520F" w:rsidRPr="00B56BC5">
        <w:rPr>
          <w:rFonts w:ascii="Times New Roman" w:eastAsia="Calibri" w:hAnsi="Times New Roman" w:cs="Times New Roman"/>
          <w:lang w:val="lt-LT"/>
        </w:rPr>
        <w:t>ę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tiesiogiai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kreiptis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į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siūlom</w:t>
      </w:r>
      <w:r w:rsidR="00DF1AE6" w:rsidRPr="00B56BC5">
        <w:rPr>
          <w:rFonts w:ascii="Times New Roman" w:eastAsia="Calibri" w:hAnsi="Times New Roman" w:cs="Times New Roman"/>
          <w:lang w:val="lt-LT"/>
        </w:rPr>
        <w:t>os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DF1AE6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DF1AE6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1C5830" w:rsidRPr="00B56BC5">
        <w:rPr>
          <w:rFonts w:ascii="Times New Roman" w:eastAsia="Calibri" w:hAnsi="Times New Roman" w:cs="Times New Roman"/>
          <w:lang w:val="lt-LT"/>
        </w:rPr>
        <w:t>licencijų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gamintoją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ir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nemokamai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gauti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jo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techninį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palaikymą,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kaip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nurodyta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interneto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puslapyje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adresu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color w:val="0000FF"/>
          <w:u w:val="single"/>
          <w:lang w:val="lt-LT"/>
        </w:rPr>
        <w:t>http://www.oracle.com/us/support/contact/index.html</w:t>
      </w:r>
      <w:r w:rsidRPr="00B56BC5">
        <w:rPr>
          <w:rFonts w:ascii="Times New Roman" w:eastAsia="Calibri" w:hAnsi="Times New Roman" w:cs="Times New Roman"/>
          <w:lang w:val="lt-LT"/>
        </w:rPr>
        <w:t>,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arba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siūlom</w:t>
      </w:r>
      <w:r w:rsidR="001C5830" w:rsidRPr="00B56BC5">
        <w:rPr>
          <w:rFonts w:ascii="Times New Roman" w:eastAsia="Calibri" w:hAnsi="Times New Roman" w:cs="Times New Roman"/>
          <w:lang w:val="lt-LT"/>
        </w:rPr>
        <w:t>ų licencijų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gamintojo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interneto</w:t>
      </w:r>
      <w:r w:rsidR="00A0558B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Pr="00B56BC5">
        <w:rPr>
          <w:rFonts w:ascii="Times New Roman" w:eastAsia="Calibri" w:hAnsi="Times New Roman" w:cs="Times New Roman"/>
          <w:lang w:val="lt-LT"/>
        </w:rPr>
        <w:t>puslapyje.</w:t>
      </w:r>
    </w:p>
    <w:p w14:paraId="68EF9FCB" w14:textId="572A05B9" w:rsidR="00FD78FF" w:rsidRPr="00B56BC5" w:rsidRDefault="005E4B7A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kern w:val="12"/>
          <w:lang w:val="lt-LT" w:eastAsia="ar-SA" w:bidi="ar-SA"/>
        </w:rPr>
        <w:t>T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iekėjas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turi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pateikti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tikslius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siūlomų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licencijų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pavadinimus,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kiekius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ir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kitą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standartiškai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licencijų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konfigūracijose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pateikiamą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  <w:r w:rsidR="00801AF4" w:rsidRPr="00B56BC5">
        <w:rPr>
          <w:rFonts w:ascii="Times New Roman" w:hAnsi="Times New Roman" w:cs="Times New Roman"/>
          <w:kern w:val="12"/>
          <w:lang w:val="lt-LT" w:eastAsia="ar-SA" w:bidi="ar-SA"/>
        </w:rPr>
        <w:t>informaciją</w:t>
      </w:r>
      <w:r w:rsidR="00FD78FF" w:rsidRPr="00B56BC5">
        <w:rPr>
          <w:rFonts w:ascii="Times New Roman" w:hAnsi="Times New Roman" w:cs="Times New Roman"/>
          <w:kern w:val="12"/>
          <w:lang w:val="lt-LT" w:eastAsia="ar-SA" w:bidi="ar-SA"/>
        </w:rPr>
        <w:t>.</w:t>
      </w:r>
      <w:r w:rsidR="00A0558B" w:rsidRPr="00B56BC5">
        <w:rPr>
          <w:rFonts w:ascii="Times New Roman" w:hAnsi="Times New Roman" w:cs="Times New Roman"/>
          <w:kern w:val="12"/>
          <w:lang w:val="lt-LT" w:eastAsia="ar-SA" w:bidi="ar-SA"/>
        </w:rPr>
        <w:t xml:space="preserve"> </w:t>
      </w:r>
    </w:p>
    <w:p w14:paraId="31A4B284" w14:textId="77777777" w:rsidR="00FD78FF" w:rsidRPr="00B56BC5" w:rsidRDefault="00FD78FF" w:rsidP="00FD78FF">
      <w:pPr>
        <w:spacing w:after="0" w:line="240" w:lineRule="auto"/>
        <w:rPr>
          <w:rFonts w:ascii="Times New Roman" w:hAnsi="Times New Roman" w:cs="Times New Roman"/>
          <w:lang w:val="lt-LT" w:eastAsia="ar-SA" w:bidi="ar-SA"/>
        </w:rPr>
      </w:pPr>
    </w:p>
    <w:p w14:paraId="16612D00" w14:textId="1D2F2D8F" w:rsidR="00FD78FF" w:rsidRPr="00B56BC5" w:rsidRDefault="00FD78FF" w:rsidP="00F54204">
      <w:pPr>
        <w:numPr>
          <w:ilvl w:val="1"/>
          <w:numId w:val="17"/>
        </w:numPr>
        <w:tabs>
          <w:tab w:val="left" w:pos="567"/>
          <w:tab w:val="left" w:pos="851"/>
          <w:tab w:val="left" w:pos="113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kern w:val="12"/>
          <w:lang w:val="lt-LT" w:eastAsia="ar-SA" w:bidi="ar-SA"/>
        </w:rPr>
      </w:pPr>
      <w:r w:rsidRPr="00B56BC5">
        <w:rPr>
          <w:rFonts w:ascii="Times New Roman" w:hAnsi="Times New Roman" w:cs="Times New Roman"/>
          <w:b/>
          <w:lang w:val="lt-LT" w:eastAsia="lt-LT" w:bidi="ar-SA"/>
        </w:rPr>
        <w:t>Bendrieji</w:t>
      </w:r>
      <w:r w:rsidR="00A0558B" w:rsidRPr="00B56BC5">
        <w:rPr>
          <w:rFonts w:ascii="Times New Roman" w:hAnsi="Times New Roman" w:cs="Times New Roman"/>
          <w:b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>reikalavimai</w:t>
      </w:r>
      <w:r w:rsidR="00A0558B" w:rsidRPr="00B56BC5">
        <w:rPr>
          <w:rFonts w:ascii="Times New Roman" w:hAnsi="Times New Roman" w:cs="Times New Roman"/>
          <w:b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>siūlom</w:t>
      </w:r>
      <w:r w:rsidR="001C5830" w:rsidRPr="00B56BC5">
        <w:rPr>
          <w:rFonts w:ascii="Times New Roman" w:hAnsi="Times New Roman" w:cs="Times New Roman"/>
          <w:b/>
          <w:lang w:val="lt-LT" w:eastAsia="lt-LT" w:bidi="ar-SA"/>
        </w:rPr>
        <w:t>ų</w:t>
      </w:r>
      <w:r w:rsidR="00DB20A0" w:rsidRPr="00B56BC5">
        <w:rPr>
          <w:rFonts w:ascii="Times New Roman" w:hAnsi="Times New Roman" w:cs="Times New Roman"/>
          <w:b/>
          <w:lang w:val="lt-LT" w:eastAsia="lt-LT" w:bidi="ar-SA"/>
        </w:rPr>
        <w:t xml:space="preserve"> </w:t>
      </w:r>
      <w:r w:rsidR="00DB20A0" w:rsidRPr="00B56BC5">
        <w:rPr>
          <w:rFonts w:ascii="Times New Roman" w:hAnsi="Times New Roman" w:cs="Times New Roman"/>
          <w:b/>
          <w:bCs/>
          <w:kern w:val="12"/>
          <w:lang w:val="lt-LT" w:eastAsia="ar-SA" w:bidi="ar-SA"/>
        </w:rPr>
        <w:t>programinės įrangos</w:t>
      </w:r>
      <w:r w:rsidR="001C5830" w:rsidRPr="00B56BC5">
        <w:rPr>
          <w:rFonts w:ascii="Times New Roman" w:hAnsi="Times New Roman" w:cs="Times New Roman"/>
          <w:b/>
          <w:lang w:val="lt-LT" w:eastAsia="lt-LT" w:bidi="ar-SA"/>
        </w:rPr>
        <w:t xml:space="preserve"> licencijų</w:t>
      </w:r>
      <w:r w:rsidR="00A0558B" w:rsidRPr="00B56BC5">
        <w:rPr>
          <w:rFonts w:ascii="Times New Roman" w:hAnsi="Times New Roman" w:cs="Times New Roman"/>
          <w:b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b/>
          <w:lang w:val="lt-LT" w:eastAsia="lt-LT" w:bidi="ar-SA"/>
        </w:rPr>
        <w:t>pristatymui:</w:t>
      </w:r>
      <w:r w:rsidR="00A0558B" w:rsidRPr="00B56BC5">
        <w:rPr>
          <w:rFonts w:ascii="Times New Roman" w:hAnsi="Times New Roman" w:cs="Times New Roman"/>
          <w:b/>
          <w:lang w:val="lt-LT" w:eastAsia="lt-LT" w:bidi="ar-SA"/>
        </w:rPr>
        <w:t xml:space="preserve"> </w:t>
      </w:r>
    </w:p>
    <w:p w14:paraId="29AD0886" w14:textId="2F2935FB" w:rsidR="00306872" w:rsidRPr="00B56BC5" w:rsidRDefault="001C5830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/>
        </w:rPr>
      </w:pPr>
      <w:r w:rsidRPr="00B56BC5">
        <w:rPr>
          <w:rFonts w:ascii="Times New Roman" w:hAnsi="Times New Roman" w:cs="Times New Roman"/>
          <w:kern w:val="12"/>
          <w:lang w:val="lt-LT" w:eastAsia="ar-SA"/>
        </w:rPr>
        <w:t>T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iekėjas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įsipareigoja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pristatyti</w:t>
      </w:r>
      <w:r w:rsidR="00DB20A0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DB20A0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licencijas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per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7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(septynias)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kalendorines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dienas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nuo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sutarties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su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Perkančiąja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organizacija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įsigaliojimo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dienos</w:t>
      </w:r>
      <w:r w:rsidR="004A6E14">
        <w:rPr>
          <w:rFonts w:ascii="Times New Roman" w:hAnsi="Times New Roman" w:cs="Times New Roman"/>
          <w:kern w:val="12"/>
          <w:lang w:val="lt-LT" w:eastAsia="ar-SA"/>
        </w:rPr>
        <w:t xml:space="preserve">, </w:t>
      </w:r>
      <w:r w:rsidR="004A6E14" w:rsidRPr="004A6E14">
        <w:rPr>
          <w:rFonts w:ascii="Times New Roman" w:hAnsi="Times New Roman" w:cs="Times New Roman"/>
          <w:kern w:val="12"/>
          <w:lang w:val="lt-LT" w:eastAsia="ar-SA"/>
        </w:rPr>
        <w:t>bet ne vėliau kaip iki 2026 m. rugpjūčio 31 d</w:t>
      </w:r>
      <w:r w:rsidR="00302920" w:rsidRPr="00B56BC5">
        <w:rPr>
          <w:rFonts w:ascii="Times New Roman" w:hAnsi="Times New Roman" w:cs="Times New Roman"/>
          <w:kern w:val="12"/>
          <w:lang w:val="lt-LT" w:eastAsia="ar-SA"/>
        </w:rPr>
        <w:t>.</w:t>
      </w:r>
      <w:r w:rsidR="00C25011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C25011" w:rsidRPr="00C25011">
        <w:rPr>
          <w:rFonts w:ascii="Times New Roman" w:hAnsi="Times New Roman" w:cs="Times New Roman"/>
          <w:kern w:val="12"/>
          <w:lang w:val="lt-LT" w:eastAsia="ar-SA"/>
        </w:rPr>
        <w:t xml:space="preserve">Į Prekių pristatymo terminą įeina ir </w:t>
      </w:r>
      <w:r w:rsidR="00BA39B5">
        <w:rPr>
          <w:rFonts w:ascii="Times New Roman" w:hAnsi="Times New Roman" w:cs="Times New Roman"/>
          <w:kern w:val="12"/>
          <w:lang w:val="lt-LT" w:eastAsia="ar-SA"/>
        </w:rPr>
        <w:t xml:space="preserve">Prekių </w:t>
      </w:r>
      <w:r w:rsidR="00C25011" w:rsidRPr="00C25011">
        <w:rPr>
          <w:rFonts w:ascii="Times New Roman" w:hAnsi="Times New Roman" w:cs="Times New Roman"/>
          <w:kern w:val="12"/>
          <w:lang w:val="lt-LT" w:eastAsia="ar-SA"/>
        </w:rPr>
        <w:t>perdavimo-priėmimo akto pasirašymas.</w:t>
      </w:r>
    </w:p>
    <w:p w14:paraId="6F9B7A67" w14:textId="388333AB" w:rsidR="00302920" w:rsidRPr="00B56BC5" w:rsidRDefault="00302920" w:rsidP="00144590">
      <w:pPr>
        <w:numPr>
          <w:ilvl w:val="2"/>
          <w:numId w:val="17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/>
        </w:rPr>
      </w:pPr>
      <w:r w:rsidRPr="00B56BC5">
        <w:rPr>
          <w:rFonts w:ascii="Times New Roman" w:hAnsi="Times New Roman" w:cs="Times New Roman"/>
          <w:kern w:val="12"/>
          <w:lang w:val="lt-LT" w:eastAsia="ar-SA"/>
        </w:rPr>
        <w:t>Visa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dokumentacija,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susijusi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su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="00DB20A0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DB20A0" w:rsidRPr="00B56BC5">
        <w:rPr>
          <w:rFonts w:ascii="Times New Roman" w:eastAsia="Calibri" w:hAnsi="Times New Roman" w:cs="Times New Roman"/>
          <w:lang w:val="lt-LT"/>
        </w:rPr>
        <w:t xml:space="preserve"> </w:t>
      </w:r>
      <w:r w:rsidR="001C5830" w:rsidRPr="00B56BC5">
        <w:rPr>
          <w:rFonts w:ascii="Times New Roman" w:hAnsi="Times New Roman" w:cs="Times New Roman"/>
          <w:kern w:val="12"/>
          <w:lang w:val="lt-LT" w:eastAsia="ar-SA"/>
        </w:rPr>
        <w:t>licencijų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pristatymu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ir/ar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perdavimu,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vykdoma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elektronin</w:t>
      </w:r>
      <w:r w:rsidR="00A14D6A" w:rsidRPr="00B56BC5">
        <w:rPr>
          <w:rFonts w:ascii="Times New Roman" w:hAnsi="Times New Roman" w:cs="Times New Roman"/>
          <w:kern w:val="12"/>
          <w:lang w:val="lt-LT" w:eastAsia="ar-SA"/>
        </w:rPr>
        <w:t>ėmis priemonėmis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(raštu,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el.</w:t>
      </w:r>
      <w:r w:rsidR="00A0558B" w:rsidRPr="00B56BC5">
        <w:rPr>
          <w:rFonts w:ascii="Times New Roman" w:hAnsi="Times New Roman" w:cs="Times New Roman"/>
          <w:kern w:val="12"/>
          <w:lang w:val="lt-LT" w:eastAsia="ar-SA"/>
        </w:rPr>
        <w:t xml:space="preserve"> </w:t>
      </w:r>
      <w:r w:rsidRPr="00B56BC5">
        <w:rPr>
          <w:rFonts w:ascii="Times New Roman" w:hAnsi="Times New Roman" w:cs="Times New Roman"/>
          <w:kern w:val="12"/>
          <w:lang w:val="lt-LT" w:eastAsia="ar-SA"/>
        </w:rPr>
        <w:t>paštu).</w:t>
      </w:r>
    </w:p>
    <w:p w14:paraId="380EE44E" w14:textId="77777777" w:rsidR="00AC5FED" w:rsidRPr="00B56BC5" w:rsidRDefault="00AC5FED" w:rsidP="00F54204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kern w:val="12"/>
          <w:lang w:val="lt-LT" w:eastAsia="ar-SA"/>
        </w:rPr>
      </w:pPr>
    </w:p>
    <w:p w14:paraId="38804738" w14:textId="6F8DBDEB" w:rsidR="008A35B1" w:rsidRPr="00B56BC5" w:rsidRDefault="008A35B1" w:rsidP="0014459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lang w:val="lt-LT"/>
        </w:rPr>
      </w:pPr>
      <w:r w:rsidRPr="00B56BC5">
        <w:rPr>
          <w:rFonts w:ascii="Times New Roman" w:hAnsi="Times New Roman" w:cs="Times New Roman"/>
          <w:b/>
          <w:bCs/>
          <w:lang w:val="lt-LT"/>
        </w:rPr>
        <w:t>SPECIALIEJI</w:t>
      </w:r>
      <w:r w:rsidR="00A0558B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/>
        </w:rPr>
        <w:t>REIKALAVIMAI</w:t>
      </w:r>
      <w:r w:rsidR="00A0558B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/>
        </w:rPr>
        <w:t>SIŪLOM</w:t>
      </w:r>
      <w:r w:rsidR="00656648" w:rsidRPr="00B56BC5">
        <w:rPr>
          <w:rFonts w:ascii="Times New Roman" w:hAnsi="Times New Roman" w:cs="Times New Roman"/>
          <w:b/>
          <w:bCs/>
          <w:lang w:val="lt-LT"/>
        </w:rPr>
        <w:t>OMS</w:t>
      </w:r>
      <w:r w:rsidR="00DB20A0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DB20A0" w:rsidRPr="00B56BC5">
        <w:rPr>
          <w:rFonts w:ascii="Times New Roman" w:hAnsi="Times New Roman" w:cs="Times New Roman"/>
          <w:b/>
          <w:bCs/>
          <w:kern w:val="12"/>
          <w:lang w:val="lt-LT" w:eastAsia="ar-SA" w:bidi="ar-SA"/>
        </w:rPr>
        <w:t>PROGRAMINĖS ĮRANGOS</w:t>
      </w:r>
      <w:r w:rsidR="00DB20A0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656648" w:rsidRPr="00B56BC5">
        <w:rPr>
          <w:rFonts w:ascii="Times New Roman" w:hAnsi="Times New Roman" w:cs="Times New Roman"/>
          <w:b/>
          <w:bCs/>
          <w:lang w:val="lt-LT"/>
        </w:rPr>
        <w:t>LICENCIJOMS</w:t>
      </w:r>
      <w:r w:rsidR="00A0558B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/>
        </w:rPr>
        <w:t>IR</w:t>
      </w:r>
      <w:r w:rsidR="00A0558B" w:rsidRPr="00B56B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/>
          <w:bCs/>
          <w:lang w:val="lt-LT"/>
        </w:rPr>
        <w:t>PASLAUGOMS</w:t>
      </w:r>
    </w:p>
    <w:p w14:paraId="1B15D6EE" w14:textId="272232E6" w:rsidR="00DC503C" w:rsidRPr="00B56BC5" w:rsidRDefault="00D90576" w:rsidP="008A248A">
      <w:pPr>
        <w:pStyle w:val="Heading1"/>
        <w:numPr>
          <w:ilvl w:val="0"/>
          <w:numId w:val="0"/>
        </w:numPr>
        <w:ind w:left="-142" w:firstLine="142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</w:pPr>
      <w:r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3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0F6B83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lentelė.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193D56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P</w:t>
      </w:r>
      <w:r w:rsidR="00DB20A0" w:rsidRPr="00B56BC5">
        <w:rPr>
          <w:rFonts w:ascii="Times New Roman" w:hAnsi="Times New Roman" w:cs="Times New Roman"/>
          <w:color w:val="auto"/>
          <w:kern w:val="12"/>
          <w:sz w:val="22"/>
          <w:szCs w:val="22"/>
          <w:lang w:val="lt-LT" w:eastAsia="ar-SA" w:bidi="ar-SA"/>
        </w:rPr>
        <w:t>rograminės įrangos</w:t>
      </w:r>
      <w:r w:rsidR="00DB20A0" w:rsidRPr="00B56BC5">
        <w:rPr>
          <w:rFonts w:ascii="Times New Roman" w:eastAsia="Calibri" w:hAnsi="Times New Roman" w:cs="Times New Roman"/>
          <w:color w:val="auto"/>
          <w:sz w:val="22"/>
          <w:szCs w:val="22"/>
          <w:lang w:val="lt-LT"/>
        </w:rPr>
        <w:t xml:space="preserve"> </w:t>
      </w:r>
      <w:r w:rsidR="00193D56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l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icencijų,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kurioms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reikalingas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gamintojo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garantijos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AC6DBF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pratęsimas,</w:t>
      </w:r>
      <w:r w:rsidR="00A0558B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DC503C" w:rsidRPr="00B56BC5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sąrašas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765"/>
        <w:gridCol w:w="1163"/>
        <w:gridCol w:w="1411"/>
        <w:gridCol w:w="1799"/>
        <w:gridCol w:w="1824"/>
      </w:tblGrid>
      <w:tr w:rsidR="007F780F" w:rsidRPr="00B56BC5" w14:paraId="73D34118" w14:textId="77777777" w:rsidTr="008A248A">
        <w:trPr>
          <w:jc w:val="center"/>
        </w:trPr>
        <w:tc>
          <w:tcPr>
            <w:tcW w:w="346" w:type="pct"/>
            <w:shd w:val="clear" w:color="auto" w:fill="DBDBDB" w:themeFill="accent3" w:themeFillTint="66"/>
            <w:vAlign w:val="center"/>
          </w:tcPr>
          <w:p w14:paraId="3A1F168A" w14:textId="66075999" w:rsidR="00AC6DBF" w:rsidRPr="00B56BC5" w:rsidRDefault="00AC6DBF" w:rsidP="00C96841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Eil.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Nr.</w:t>
            </w:r>
          </w:p>
        </w:tc>
        <w:tc>
          <w:tcPr>
            <w:tcW w:w="1436" w:type="pct"/>
            <w:shd w:val="clear" w:color="auto" w:fill="DBDBDB" w:themeFill="accent3" w:themeFillTint="66"/>
            <w:vAlign w:val="center"/>
          </w:tcPr>
          <w:p w14:paraId="55B079FB" w14:textId="3B1C737C" w:rsidR="00AC6DBF" w:rsidRPr="00B56BC5" w:rsidRDefault="00550A3B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Programinės įrangos l</w:t>
            </w:r>
            <w:r w:rsidR="00AC6DBF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icencijos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 xml:space="preserve"> </w:t>
            </w:r>
            <w:r w:rsidR="00AC6DBF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pavadinimas</w:t>
            </w:r>
          </w:p>
        </w:tc>
        <w:tc>
          <w:tcPr>
            <w:tcW w:w="604" w:type="pct"/>
            <w:shd w:val="clear" w:color="auto" w:fill="DBDBDB" w:themeFill="accent3" w:themeFillTint="66"/>
            <w:vAlign w:val="center"/>
          </w:tcPr>
          <w:p w14:paraId="55B882BC" w14:textId="4D874120" w:rsidR="00AC6DBF" w:rsidRPr="00B56BC5" w:rsidRDefault="00AC6DBF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Kiekis</w:t>
            </w:r>
            <w:r w:rsidR="00275BAF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="00275BAF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vnt.</w:t>
            </w:r>
          </w:p>
        </w:tc>
        <w:tc>
          <w:tcPr>
            <w:tcW w:w="733" w:type="pct"/>
            <w:shd w:val="clear" w:color="auto" w:fill="DBDBDB" w:themeFill="accent3" w:themeFillTint="66"/>
            <w:vAlign w:val="center"/>
          </w:tcPr>
          <w:p w14:paraId="1D7EDB73" w14:textId="78BA9F72" w:rsidR="00AC6DBF" w:rsidRPr="00B56BC5" w:rsidRDefault="00AC6DBF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garantijos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pabaigos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data</w:t>
            </w:r>
          </w:p>
        </w:tc>
        <w:tc>
          <w:tcPr>
            <w:tcW w:w="934" w:type="pct"/>
            <w:shd w:val="clear" w:color="auto" w:fill="DBDBDB" w:themeFill="accent3" w:themeFillTint="66"/>
            <w:vAlign w:val="center"/>
          </w:tcPr>
          <w:p w14:paraId="6E4487D2" w14:textId="0F99C4FA" w:rsidR="00AC6DBF" w:rsidRPr="00B56BC5" w:rsidRDefault="00AC6DBF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Reikalaujama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garantijos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pratęsimo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pabaigos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data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(ne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="02E999C8" w:rsidRPr="26873F12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trumpiau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kaip)</w:t>
            </w:r>
          </w:p>
        </w:tc>
        <w:tc>
          <w:tcPr>
            <w:tcW w:w="947" w:type="pct"/>
            <w:shd w:val="clear" w:color="auto" w:fill="DBDBDB" w:themeFill="accent3" w:themeFillTint="66"/>
            <w:vAlign w:val="center"/>
          </w:tcPr>
          <w:p w14:paraId="035583E2" w14:textId="7C5226DD" w:rsidR="00AC6DBF" w:rsidRPr="00B56BC5" w:rsidRDefault="00AC6DBF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charakteristika</w:t>
            </w:r>
          </w:p>
          <w:p w14:paraId="4FC0F9A0" w14:textId="76A9E657" w:rsidR="00FC6950" w:rsidRPr="00B56BC5" w:rsidRDefault="00FC695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lt-LT"/>
              </w:rPr>
              <w:t>pildo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lt-LT"/>
              </w:rPr>
              <w:t>Tiekėjas</w:t>
            </w:r>
          </w:p>
          <w:p w14:paraId="561B63DF" w14:textId="43BFD3DD" w:rsidR="00A4435C" w:rsidRPr="00B56BC5" w:rsidRDefault="00A12C19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(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būtina</w:t>
            </w:r>
            <w:r w:rsidR="00A0558B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išvardinti</w:t>
            </w:r>
            <w:r w:rsidR="00A0558B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siūlomų</w:t>
            </w:r>
            <w:r w:rsidR="00A0558B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licencijų</w:t>
            </w:r>
            <w:r w:rsidR="00A0558B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pavadinimus,</w:t>
            </w:r>
            <w:r w:rsidR="00A0558B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A4435C" w:rsidRPr="00B56BC5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gamintoją)</w:t>
            </w:r>
          </w:p>
        </w:tc>
      </w:tr>
      <w:tr w:rsidR="00E740A2" w:rsidRPr="00B56BC5" w14:paraId="2BF9285D" w14:textId="77777777" w:rsidTr="008A2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883" w14:textId="77777777" w:rsidR="00E740A2" w:rsidRPr="00B56BC5" w:rsidRDefault="00E740A2" w:rsidP="00E740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974" w14:textId="41B9D99A" w:rsidR="00E740A2" w:rsidRPr="00B56BC5" w:rsidRDefault="00E740A2" w:rsidP="00E740A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WebLogic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Suite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(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Processor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Perpetual</w:t>
            </w:r>
            <w:proofErr w:type="spellEnd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A0C6" w14:textId="11DDCDCD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DFF" w14:textId="36EB7430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2026-08-31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E9C" w14:textId="67CBE7C2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2029-08-31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12019" w14:textId="1A90D096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  <w:tr w:rsidR="00E740A2" w:rsidRPr="00B56BC5" w14:paraId="30642D23" w14:textId="77777777" w:rsidTr="008A2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677" w14:textId="77777777" w:rsidR="00E740A2" w:rsidRPr="00B56BC5" w:rsidRDefault="00E740A2" w:rsidP="00E740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73A" w14:textId="5314D11D" w:rsidR="00E740A2" w:rsidRPr="00B56BC5" w:rsidRDefault="00E740A2" w:rsidP="00E740A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SOA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Suite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for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Middleware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 </w:t>
            </w: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(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Processor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Perpetual</w:t>
            </w:r>
            <w:proofErr w:type="spellEnd"/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EC0C" w14:textId="60A732DB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16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7DC" w14:textId="75068A15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2026-08-31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74D" w14:textId="027E0AE7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2029-08-31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C5268A" w14:textId="409EDD37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  <w:tr w:rsidR="00E740A2" w:rsidRPr="00B56BC5" w14:paraId="74821F51" w14:textId="77777777" w:rsidTr="008A2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E84" w14:textId="77777777" w:rsidR="00E740A2" w:rsidRPr="00B56BC5" w:rsidRDefault="00E740A2" w:rsidP="00E740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7E8" w14:textId="7F954D31" w:rsidR="00E740A2" w:rsidRPr="00B56BC5" w:rsidRDefault="00E740A2" w:rsidP="00E740A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Linux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Premier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Limited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CA6" w14:textId="1DBF4804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 w:eastAsia="lt-LT" w:bidi="ar-SA"/>
              </w:rPr>
              <w:t>2</w:t>
            </w:r>
            <w:r w:rsidR="00A0558B" w:rsidRPr="00B56BC5">
              <w:rPr>
                <w:rFonts w:ascii="Times New Roman" w:hAnsi="Times New Roman" w:cs="Times New Roman"/>
                <w:lang w:val="lt-LT" w:eastAsia="lt-LT" w:bidi="ar-SA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AE9" w14:textId="61DC2275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2026-08-31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3D5" w14:textId="3149E603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2029-08-31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04E997" w14:textId="29994ED7" w:rsidR="00E740A2" w:rsidRPr="00B56BC5" w:rsidRDefault="00E740A2" w:rsidP="00E74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</w:tbl>
    <w:p w14:paraId="3AE52690" w14:textId="77777777" w:rsidR="008A248A" w:rsidRPr="00B56BC5" w:rsidRDefault="008A248A" w:rsidP="00E04572">
      <w:pPr>
        <w:rPr>
          <w:rFonts w:ascii="Times New Roman" w:hAnsi="Times New Roman" w:cs="Times New Roman"/>
          <w:lang w:val="lt-LT"/>
        </w:rPr>
      </w:pPr>
    </w:p>
    <w:p w14:paraId="16D06AAD" w14:textId="58A585E6" w:rsidR="004818E0" w:rsidRPr="00B56BC5" w:rsidRDefault="009E28A3" w:rsidP="00E04572">
      <w:pPr>
        <w:spacing w:after="60" w:line="240" w:lineRule="auto"/>
        <w:jc w:val="both"/>
        <w:rPr>
          <w:rFonts w:ascii="Times New Roman" w:hAnsi="Times New Roman" w:cs="Times New Roman"/>
          <w:bCs/>
          <w:lang w:val="lt-LT"/>
        </w:rPr>
      </w:pPr>
      <w:r w:rsidRPr="00B56BC5">
        <w:rPr>
          <w:rFonts w:ascii="Times New Roman" w:hAnsi="Times New Roman" w:cs="Times New Roman"/>
          <w:bCs/>
          <w:lang w:val="lt-LT"/>
        </w:rPr>
        <w:t>4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lentelė.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Reikalavimai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7F60F5" w:rsidRPr="00B56BC5">
        <w:rPr>
          <w:rFonts w:ascii="Times New Roman" w:hAnsi="Times New Roman" w:cs="Times New Roman"/>
          <w:lang w:val="lt-LT" w:eastAsia="lt-LT" w:bidi="ar-SA"/>
        </w:rPr>
        <w:t>esamos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proofErr w:type="spellStart"/>
      <w:r w:rsidR="007F60F5" w:rsidRPr="00B56BC5">
        <w:rPr>
          <w:rFonts w:ascii="Times New Roman" w:hAnsi="Times New Roman" w:cs="Times New Roman"/>
          <w:lang w:val="lt-LT" w:eastAsia="lt-LT" w:bidi="ar-SA"/>
        </w:rPr>
        <w:t>Oracle</w:t>
      </w:r>
      <w:proofErr w:type="spellEnd"/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7F60F5" w:rsidRPr="00B56BC5">
        <w:rPr>
          <w:rFonts w:ascii="Times New Roman" w:hAnsi="Times New Roman" w:cs="Times New Roman"/>
          <w:lang w:val="lt-LT" w:eastAsia="lt-LT" w:bidi="ar-SA"/>
        </w:rPr>
        <w:t>platformos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7F60F5" w:rsidRPr="00B56BC5">
        <w:rPr>
          <w:rFonts w:ascii="Times New Roman" w:hAnsi="Times New Roman" w:cs="Times New Roman"/>
          <w:lang w:val="lt-LT" w:eastAsia="lt-LT" w:bidi="ar-SA"/>
        </w:rPr>
        <w:t>išplėtimui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7F60F5" w:rsidRPr="00B56BC5">
        <w:rPr>
          <w:rFonts w:ascii="Times New Roman" w:hAnsi="Times New Roman" w:cs="Times New Roman"/>
          <w:lang w:val="lt-LT" w:eastAsia="lt-LT" w:bidi="ar-SA"/>
        </w:rPr>
        <w:t>reikalingoms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="000D1BFC" w:rsidRPr="00B56BC5">
        <w:rPr>
          <w:rFonts w:ascii="Times New Roman" w:hAnsi="Times New Roman" w:cs="Times New Roman"/>
          <w:lang w:val="lt-LT" w:eastAsia="lt-LT" w:bidi="ar-SA"/>
        </w:rPr>
        <w:t>papildomoms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proofErr w:type="spellStart"/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Oracle</w:t>
      </w:r>
      <w:proofErr w:type="spellEnd"/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proofErr w:type="spellStart"/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Database</w:t>
      </w:r>
      <w:proofErr w:type="spellEnd"/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proofErr w:type="spellStart"/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Enterprise</w:t>
      </w:r>
      <w:proofErr w:type="spellEnd"/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Edition</w:t>
      </w:r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arba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lygiavertė</w:t>
      </w:r>
      <w:r w:rsidR="00224682" w:rsidRPr="00B56BC5">
        <w:rPr>
          <w:rFonts w:ascii="Times New Roman" w:hAnsi="Times New Roman" w:cs="Times New Roman"/>
          <w:bCs/>
          <w:lang w:val="lt-LT"/>
        </w:rPr>
        <w:t xml:space="preserve">s </w:t>
      </w:r>
      <w:r w:rsidR="00224682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licencijoms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889"/>
        <w:gridCol w:w="5246"/>
        <w:gridCol w:w="1729"/>
      </w:tblGrid>
      <w:tr w:rsidR="00AE2D0C" w:rsidRPr="00B56BC5" w14:paraId="6E56EEDF" w14:textId="77777777" w:rsidTr="007A704E">
        <w:tc>
          <w:tcPr>
            <w:tcW w:w="294" w:type="pct"/>
            <w:shd w:val="clear" w:color="auto" w:fill="DBDBDB" w:themeFill="accent3" w:themeFillTint="66"/>
            <w:vAlign w:val="center"/>
          </w:tcPr>
          <w:p w14:paraId="54992C23" w14:textId="610E9F8B" w:rsidR="004818E0" w:rsidRPr="00B56BC5" w:rsidRDefault="004818E0" w:rsidP="00C96841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Eil.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Nr.</w:t>
            </w:r>
          </w:p>
        </w:tc>
        <w:tc>
          <w:tcPr>
            <w:tcW w:w="1003" w:type="pct"/>
            <w:shd w:val="clear" w:color="auto" w:fill="DBDBDB" w:themeFill="accent3" w:themeFillTint="66"/>
            <w:vAlign w:val="center"/>
          </w:tcPr>
          <w:p w14:paraId="133F2AE3" w14:textId="090B9348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Charakteristikos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lang w:val="lt-LT"/>
              </w:rPr>
              <w:t>pavadinimas</w:t>
            </w:r>
          </w:p>
        </w:tc>
        <w:tc>
          <w:tcPr>
            <w:tcW w:w="2785" w:type="pct"/>
            <w:shd w:val="clear" w:color="auto" w:fill="DBDBDB" w:themeFill="accent3" w:themeFillTint="66"/>
            <w:vAlign w:val="center"/>
          </w:tcPr>
          <w:p w14:paraId="795CF6B7" w14:textId="3CDE2CA0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Reikalaujama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charakteristika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</w:p>
        </w:tc>
        <w:tc>
          <w:tcPr>
            <w:tcW w:w="918" w:type="pct"/>
            <w:shd w:val="clear" w:color="auto" w:fill="DBDBDB" w:themeFill="accent3" w:themeFillTint="66"/>
            <w:vAlign w:val="center"/>
          </w:tcPr>
          <w:p w14:paraId="7E71C9C8" w14:textId="0F6CFF9E" w:rsidR="004818E0" w:rsidRPr="00B56BC5" w:rsidRDefault="004818E0" w:rsidP="00F542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charakteristika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</w:t>
            </w:r>
          </w:p>
        </w:tc>
      </w:tr>
      <w:tr w:rsidR="004818E0" w:rsidRPr="00B56BC5" w14:paraId="5B32B21B" w14:textId="77777777" w:rsidTr="007A704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6CC89" w14:textId="77777777" w:rsidR="004818E0" w:rsidRPr="00B56BC5" w:rsidRDefault="004818E0" w:rsidP="00E04572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1706C" w14:textId="7CB21B9F" w:rsidR="00366D49" w:rsidRPr="00B56BC5" w:rsidRDefault="004818E0" w:rsidP="00C968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Edition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lygiavertės</w:t>
            </w:r>
            <w:r w:rsidR="00224682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24682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410ADAC7" w:rsidRPr="00B56BC5">
              <w:rPr>
                <w:rFonts w:ascii="Times New Roman" w:hAnsi="Times New Roman" w:cs="Times New Roman"/>
                <w:lang w:val="lt-LT"/>
              </w:rPr>
              <w:t>trumpiau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97B94" w:rsidRPr="00B56BC5">
              <w:rPr>
                <w:rFonts w:ascii="Times New Roman" w:hAnsi="Times New Roman" w:cs="Times New Roman"/>
                <w:lang w:val="lt-LT"/>
              </w:rPr>
              <w:t>mėnesių garantija</w:t>
            </w:r>
            <w:r w:rsidR="00275BAF" w:rsidRPr="00B56BC5">
              <w:rPr>
                <w:rFonts w:ascii="Times New Roman" w:hAnsi="Times New Roman" w:cs="Times New Roman"/>
                <w:lang w:val="lt-LT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bCs/>
                <w:lang w:val="lt-LT"/>
              </w:rPr>
              <w:t>32</w:t>
            </w:r>
            <w:r w:rsidR="00A0558B" w:rsidRPr="00B56BC5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750221" w:rsidRPr="00B56BC5">
              <w:rPr>
                <w:rFonts w:ascii="Times New Roman" w:hAnsi="Times New Roman" w:cs="Times New Roman"/>
                <w:bCs/>
                <w:lang w:val="lt-LT"/>
              </w:rPr>
              <w:t>v</w:t>
            </w:r>
            <w:r w:rsidR="00275BAF" w:rsidRPr="00B56BC5">
              <w:rPr>
                <w:rFonts w:ascii="Times New Roman" w:hAnsi="Times New Roman" w:cs="Times New Roman"/>
                <w:bCs/>
                <w:lang w:val="lt-LT"/>
              </w:rPr>
              <w:t>nt.</w:t>
            </w:r>
          </w:p>
        </w:tc>
      </w:tr>
      <w:tr w:rsidR="00AE2D0C" w:rsidRPr="00B56BC5" w14:paraId="5BFEF172" w14:textId="77777777" w:rsidTr="00F54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B9A" w14:textId="77777777" w:rsidR="004818E0" w:rsidRPr="00B56BC5" w:rsidRDefault="004818E0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BF6" w14:textId="6A48EAF7" w:rsidR="004818E0" w:rsidRPr="00B56BC5" w:rsidRDefault="004818E0" w:rsidP="00AE2D0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8E1C" w14:textId="6630CB30" w:rsidR="004818E0" w:rsidRPr="00B56BC5" w:rsidRDefault="004818E0" w:rsidP="00E04572">
            <w:pPr>
              <w:tabs>
                <w:tab w:val="left" w:pos="565"/>
              </w:tabs>
              <w:autoSpaceDE w:val="0"/>
              <w:autoSpaceDN w:val="0"/>
              <w:adjustRightInd w:val="0"/>
              <w:spacing w:after="0" w:line="240" w:lineRule="auto"/>
              <w:ind w:right="37"/>
              <w:contextualSpacing/>
              <w:jc w:val="both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405B14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405B14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 įranga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.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negali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reikalauti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esamų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informacinių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sistemų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aplikacijų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modifikavimo.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A5CEE6" w14:textId="2EF915DF" w:rsidR="004818E0" w:rsidRPr="00B56BC5" w:rsidRDefault="00CE1C3D" w:rsidP="00FC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  <w:tr w:rsidR="00750221" w:rsidRPr="00B56BC5" w14:paraId="358B6CDF" w14:textId="77777777" w:rsidTr="00750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C7A" w14:textId="77777777" w:rsidR="00750221" w:rsidRPr="00B56BC5" w:rsidRDefault="00750221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AE6" w14:textId="4F081428" w:rsidR="00750221" w:rsidRPr="00B56BC5" w:rsidRDefault="00750221" w:rsidP="00AE2D0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17A" w14:textId="71D4EA41" w:rsidR="00750221" w:rsidRPr="00B56BC5" w:rsidRDefault="00750221" w:rsidP="0097299A">
            <w:pPr>
              <w:spacing w:after="0" w:line="240" w:lineRule="auto"/>
              <w:ind w:left="34" w:right="37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funkcionalumas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atitikti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nurodytą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apraše,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yra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publikuojamas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interneto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svetainėje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adresu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hyperlink r:id="rId12" w:history="1">
              <w:r w:rsidRPr="00B56BC5">
                <w:rPr>
                  <w:rStyle w:val="Hyperlink"/>
                  <w:rFonts w:ascii="Times New Roman" w:eastAsiaTheme="majorEastAsia" w:hAnsi="Times New Roman" w:cs="Times New Roman"/>
                  <w:lang w:val="lt-LT"/>
                </w:rPr>
                <w:t>https://www.oracle.com/database/enterprise-edition/index.html</w:t>
              </w:r>
            </w:hyperlink>
            <w:r w:rsidR="00A0558B" w:rsidRPr="00B56BC5">
              <w:rPr>
                <w:rStyle w:val="Hyperlink"/>
                <w:rFonts w:ascii="Times New Roman" w:eastAsiaTheme="majorEastAsia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pilnai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suderinama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0743C3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Perkančiosios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0743C3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organizacijos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Edition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naujausios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versijos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programine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įranga</w:t>
            </w:r>
          </w:p>
        </w:tc>
      </w:tr>
      <w:tr w:rsidR="00001D64" w:rsidRPr="00B56BC5" w14:paraId="37C734A6" w14:textId="77777777" w:rsidTr="00001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0F4" w14:textId="77777777" w:rsidR="00001D64" w:rsidRPr="00B56BC5" w:rsidRDefault="00001D64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F32" w14:textId="77777777" w:rsidR="00001D64" w:rsidRPr="00B56BC5" w:rsidRDefault="00001D64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Licencijavimas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5A3" w14:textId="2BE557F7" w:rsidR="00001D64" w:rsidRPr="00B56BC5" w:rsidRDefault="00001D64" w:rsidP="00F5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parinktas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toks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licencijavimo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modelis,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nereikalauja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licencijuoti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prisijungimų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suteikia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galimybę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sukurtomis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naudotis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neribotam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skaičiui.</w:t>
            </w:r>
          </w:p>
        </w:tc>
      </w:tr>
      <w:tr w:rsidR="004818E0" w:rsidRPr="00B56BC5" w14:paraId="52B16F82" w14:textId="77777777" w:rsidTr="007A704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B9440" w14:textId="77777777" w:rsidR="004818E0" w:rsidRPr="00B56BC5" w:rsidRDefault="004818E0" w:rsidP="00E0457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3542F" w14:textId="2A088966" w:rsidR="004818E0" w:rsidRPr="00B56BC5" w:rsidRDefault="004818E0" w:rsidP="00C968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komponentas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Active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Guard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lygiavertė</w:t>
            </w:r>
            <w:r w:rsidR="00224682" w:rsidRPr="00B56BC5">
              <w:rPr>
                <w:rFonts w:ascii="Times New Roman" w:hAnsi="Times New Roman" w:cs="Times New Roman"/>
                <w:lang w:val="lt-LT"/>
              </w:rPr>
              <w:t xml:space="preserve">s </w:t>
            </w:r>
            <w:r w:rsidR="00224682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57DFCDD8" w:rsidRPr="00B56BC5">
              <w:rPr>
                <w:rFonts w:ascii="Times New Roman" w:hAnsi="Times New Roman" w:cs="Times New Roman"/>
                <w:lang w:val="lt-LT"/>
              </w:rPr>
              <w:t>trumpiau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mėnesi</w:t>
            </w:r>
            <w:r w:rsidR="1262C847" w:rsidRPr="00B56BC5">
              <w:rPr>
                <w:rFonts w:ascii="Times New Roman" w:hAnsi="Times New Roman" w:cs="Times New Roman"/>
                <w:lang w:val="lt-LT"/>
              </w:rPr>
              <w:t>ų</w:t>
            </w:r>
            <w:r w:rsidR="00410430" w:rsidRPr="00B56BC5">
              <w:rPr>
                <w:rFonts w:ascii="Times New Roman" w:hAnsi="Times New Roman" w:cs="Times New Roman"/>
                <w:lang w:val="lt-LT"/>
              </w:rPr>
              <w:t xml:space="preserve"> garantija</w:t>
            </w:r>
            <w:r w:rsidR="00366D49" w:rsidRPr="00B56BC5">
              <w:rPr>
                <w:rFonts w:ascii="Times New Roman" w:hAnsi="Times New Roman" w:cs="Times New Roman"/>
                <w:lang w:val="lt-LT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bCs/>
                <w:lang w:val="lt-LT"/>
              </w:rPr>
              <w:t>32</w:t>
            </w:r>
            <w:r w:rsidR="00A0558B" w:rsidRPr="00B56BC5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366D49" w:rsidRPr="00B56BC5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</w:tr>
      <w:tr w:rsidR="00AE2D0C" w:rsidRPr="00B56BC5" w14:paraId="3F22372A" w14:textId="77777777" w:rsidTr="0025793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9F4C" w14:textId="77777777" w:rsidR="004818E0" w:rsidRPr="00B56BC5" w:rsidRDefault="004818E0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14FA" w14:textId="5FDFF8F5" w:rsidR="004818E0" w:rsidRPr="00B56BC5" w:rsidRDefault="004818E0" w:rsidP="0013017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lastRenderedPageBreak/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A17" w14:textId="79A500A7" w:rsidR="004818E0" w:rsidRPr="00B56BC5" w:rsidRDefault="004818E0" w:rsidP="00E04572">
            <w:pPr>
              <w:tabs>
                <w:tab w:val="left" w:pos="5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lastRenderedPageBreak/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Active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Guard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405B14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405B14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 įrang</w:t>
            </w:r>
            <w:r w:rsidR="005D03DE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a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.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lastRenderedPageBreak/>
              <w:t>programinė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negali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reikalauti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esamų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informacinių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sistemų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aplikacijų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modifikavimo.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EE0427" w14:textId="1307DEE3" w:rsidR="004818E0" w:rsidRPr="00B56BC5" w:rsidRDefault="00A2407C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lastRenderedPageBreak/>
              <w:t>Užpildyti</w:t>
            </w:r>
          </w:p>
        </w:tc>
      </w:tr>
      <w:tr w:rsidR="000743C3" w:rsidRPr="00B56BC5" w14:paraId="7EB8766D" w14:textId="77777777" w:rsidTr="00074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EC9" w14:textId="77777777" w:rsidR="000743C3" w:rsidRPr="00B56BC5" w:rsidRDefault="000743C3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9768" w14:textId="199747FE" w:rsidR="000743C3" w:rsidRPr="00B56BC5" w:rsidRDefault="000743C3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BD5" w14:textId="0A2D8D9C" w:rsidR="000743C3" w:rsidRPr="00B56BC5" w:rsidRDefault="000743C3" w:rsidP="00F5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funkcionalumas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atitikti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nurodytą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apraše,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yra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publikuojamas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interneto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svetainėje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adresu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hyperlink r:id="rId13" w:history="1">
              <w:r w:rsidR="00366D49" w:rsidRPr="00B56BC5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https://www.oracle.com/database/data-guard/</w:t>
              </w:r>
            </w:hyperlink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pilnai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suderinama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Perkančiosios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organizacijos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Edition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Active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Guard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naujausios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versijos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programine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įranga</w:t>
            </w:r>
            <w:r w:rsidR="00E8009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.</w:t>
            </w:r>
          </w:p>
        </w:tc>
      </w:tr>
      <w:tr w:rsidR="005A7E85" w:rsidRPr="00B56BC5" w14:paraId="10471A55" w14:textId="77777777" w:rsidTr="005A7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64" w14:textId="77777777" w:rsidR="005A7E85" w:rsidRPr="00B56BC5" w:rsidRDefault="005A7E85" w:rsidP="00F54204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047" w14:textId="77777777" w:rsidR="005A7E85" w:rsidRPr="00B56BC5" w:rsidRDefault="005A7E85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Licencijavimas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79F" w14:textId="498A617E" w:rsidR="005A7E85" w:rsidRPr="00B56BC5" w:rsidRDefault="005A7E85" w:rsidP="00366D4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parinktas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toks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licencijavimo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modelis,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nereikalauja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licencijuoti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prisijungimų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suteikia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galimybę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sukurtomis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naudotis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neribotam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skaičiui.</w:t>
            </w:r>
          </w:p>
        </w:tc>
      </w:tr>
      <w:tr w:rsidR="004818E0" w:rsidRPr="00B56BC5" w14:paraId="20F72B58" w14:textId="77777777" w:rsidTr="00CC4C1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D8D7" w14:textId="77777777" w:rsidR="004818E0" w:rsidRPr="00B56BC5" w:rsidRDefault="004818E0" w:rsidP="00E0457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26DB2" w14:textId="061549D1" w:rsidR="004818E0" w:rsidRPr="00B56BC5" w:rsidRDefault="004818E0" w:rsidP="00C968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komponentas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Diagnostic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lygiavertė</w:t>
            </w:r>
            <w:r w:rsidR="00E8009B" w:rsidRPr="00B56BC5">
              <w:rPr>
                <w:rFonts w:ascii="Times New Roman" w:hAnsi="Times New Roman" w:cs="Times New Roman"/>
                <w:lang w:val="lt-LT"/>
              </w:rPr>
              <w:t xml:space="preserve">s </w:t>
            </w:r>
            <w:r w:rsidR="00E8009B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mažiau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mėnesi</w:t>
            </w:r>
            <w:r w:rsidR="00410430" w:rsidRPr="00B56BC5">
              <w:rPr>
                <w:rFonts w:ascii="Times New Roman" w:hAnsi="Times New Roman" w:cs="Times New Roman"/>
                <w:lang w:val="lt-LT"/>
              </w:rPr>
              <w:t>ų garantija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bCs/>
                <w:lang w:val="lt-LT"/>
              </w:rPr>
              <w:t>32</w:t>
            </w:r>
            <w:r w:rsidR="00A0558B" w:rsidRPr="00B56BC5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</w:tr>
      <w:tr w:rsidR="00AE2D0C" w:rsidRPr="00B56BC5" w14:paraId="371226A6" w14:textId="77777777" w:rsidTr="0025793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51A" w14:textId="77777777" w:rsidR="004818E0" w:rsidRPr="00B56BC5" w:rsidRDefault="004818E0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E0E2" w14:textId="168F3CF8" w:rsidR="004818E0" w:rsidRPr="00B56BC5" w:rsidRDefault="004818E0" w:rsidP="0013017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2129" w14:textId="2CAB6331" w:rsidR="004818E0" w:rsidRPr="00B56BC5" w:rsidRDefault="004818E0" w:rsidP="0013017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Diagnostic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E8009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E8009B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 įranga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.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negali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reikalauti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esamų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informacinių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sistemų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aplikacijų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modifikavimo.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6DA50" w14:textId="4955E814" w:rsidR="004818E0" w:rsidRPr="00B56BC5" w:rsidRDefault="00AF419C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  <w:tr w:rsidR="005A7E85" w:rsidRPr="00B56BC5" w14:paraId="122F98B8" w14:textId="77777777" w:rsidTr="005A7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43F" w14:textId="77777777" w:rsidR="005A7E85" w:rsidRPr="00B56BC5" w:rsidRDefault="005A7E85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4BD7" w14:textId="3A5F43E2" w:rsidR="005A7E85" w:rsidRPr="00B56BC5" w:rsidRDefault="005A7E85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1C7" w14:textId="25F8CA55" w:rsidR="005A7E85" w:rsidRPr="00B56BC5" w:rsidRDefault="005A7E85" w:rsidP="0080272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funkcionalumas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atitikti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nurodytą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apraše,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yra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publikuojamas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interneto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svetainėje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adresu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hyperlink r:id="rId14" w:history="1">
              <w:r w:rsidRPr="00B56BC5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https://www.oracle.com/technetwork/database/manageability/ds-diagnostics-pack-db12c-1964641.pdf</w:t>
              </w:r>
            </w:hyperlink>
            <w:r w:rsidR="00A0558B" w:rsidRPr="00B56BC5">
              <w:rPr>
                <w:rFonts w:ascii="Times New Roman" w:hAnsi="Times New Roman" w:cs="Times New Roman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pilnai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suderinama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Perkančiosios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organizacijos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Edition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Diagnostic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naujausios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versijos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programine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įranga</w:t>
            </w:r>
            <w:r w:rsidR="0080272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.</w:t>
            </w:r>
          </w:p>
        </w:tc>
      </w:tr>
      <w:tr w:rsidR="005A7E85" w:rsidRPr="00B56BC5" w14:paraId="19A336F7" w14:textId="77777777" w:rsidTr="005A7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68C2" w14:textId="77777777" w:rsidR="005A7E85" w:rsidRPr="00B56BC5" w:rsidRDefault="005A7E85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9D2A" w14:textId="77777777" w:rsidR="005A7E85" w:rsidRPr="00B56BC5" w:rsidRDefault="005A7E85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Licencijavimas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958F" w14:textId="7EEB0517" w:rsidR="005A7E85" w:rsidRPr="00B56BC5" w:rsidRDefault="005A7E85" w:rsidP="0080272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parinktas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toks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licencijavimo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modelis,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nereikalauja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licencijuoti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prisijungimų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suteikia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galimybę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sukurtomis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naudotis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neribotam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skaičiui.</w:t>
            </w:r>
          </w:p>
        </w:tc>
      </w:tr>
      <w:tr w:rsidR="004818E0" w:rsidRPr="00B56BC5" w14:paraId="457DC0B5" w14:textId="77777777" w:rsidTr="00CC4C1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0550F" w14:textId="77777777" w:rsidR="004818E0" w:rsidRPr="00B56BC5" w:rsidRDefault="004818E0" w:rsidP="00E0457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BE42F" w14:textId="57FC538E" w:rsidR="004818E0" w:rsidRPr="00B56BC5" w:rsidRDefault="004818E0" w:rsidP="00C968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komponentas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Tuning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lygiavertė</w:t>
            </w:r>
            <w:r w:rsidR="00E8009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8009B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programinės 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1C0F6B35" w:rsidRPr="00B56BC5">
              <w:rPr>
                <w:rFonts w:ascii="Times New Roman" w:hAnsi="Times New Roman" w:cs="Times New Roman"/>
                <w:lang w:val="lt-LT"/>
              </w:rPr>
              <w:t>trumpiau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36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mėnesi</w:t>
            </w:r>
            <w:r w:rsidR="00410430" w:rsidRPr="00B56BC5">
              <w:rPr>
                <w:rFonts w:ascii="Times New Roman" w:hAnsi="Times New Roman" w:cs="Times New Roman"/>
                <w:lang w:val="lt-LT"/>
              </w:rPr>
              <w:t>ų garantija</w:t>
            </w:r>
            <w:r w:rsidR="0080272B" w:rsidRPr="00B56BC5">
              <w:rPr>
                <w:rFonts w:ascii="Times New Roman" w:hAnsi="Times New Roman" w:cs="Times New Roman"/>
                <w:lang w:val="lt-LT"/>
              </w:rPr>
              <w:t>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bCs/>
                <w:lang w:val="lt-LT"/>
              </w:rPr>
              <w:t>32</w:t>
            </w:r>
            <w:r w:rsidR="00A0558B" w:rsidRPr="00B56BC5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80272B" w:rsidRPr="00B56BC5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</w:tr>
      <w:tr w:rsidR="00AE2D0C" w:rsidRPr="00B56BC5" w14:paraId="09232BE9" w14:textId="77777777" w:rsidTr="0025793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D3C" w14:textId="77777777" w:rsidR="004818E0" w:rsidRPr="00B56BC5" w:rsidRDefault="004818E0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33C" w14:textId="08EE9484" w:rsidR="004818E0" w:rsidRPr="00B56BC5" w:rsidRDefault="004818E0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D43" w14:textId="56A32115" w:rsidR="004818E0" w:rsidRPr="00B56BC5" w:rsidRDefault="004818E0" w:rsidP="000F455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Enterprise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Tuning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E8009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E8009B" w:rsidRPr="00B56BC5">
              <w:rPr>
                <w:rFonts w:ascii="Times New Roman" w:hAnsi="Times New Roman" w:cs="Times New Roman"/>
                <w:kern w:val="12"/>
                <w:lang w:val="lt-LT" w:eastAsia="ar-SA" w:bidi="ar-SA"/>
              </w:rPr>
              <w:t>programinė įranga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.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lygiavertė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negali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reikalauti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esamų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informacinių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sistemų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aplikacijų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modifikavimo.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F5EA1D" w14:textId="1457F05F" w:rsidR="004818E0" w:rsidRPr="00B56BC5" w:rsidRDefault="0031131A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</w:pPr>
            <w:r w:rsidRPr="00B56BC5">
              <w:rPr>
                <w:rFonts w:ascii="Times New Roman" w:hAnsi="Times New Roman" w:cs="Times New Roman"/>
                <w:bCs/>
                <w:i/>
                <w:iCs/>
                <w:color w:val="FF0000"/>
                <w:lang w:val="lt-LT"/>
              </w:rPr>
              <w:t>Užpildyti</w:t>
            </w:r>
          </w:p>
        </w:tc>
      </w:tr>
      <w:tr w:rsidR="005A7E85" w:rsidRPr="00B56BC5" w14:paraId="31866974" w14:textId="77777777" w:rsidTr="005A7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72A" w14:textId="77777777" w:rsidR="005A7E85" w:rsidRPr="00B56BC5" w:rsidRDefault="005A7E85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CE9B" w14:textId="42E7A039" w:rsidR="005A7E85" w:rsidRPr="00B56BC5" w:rsidRDefault="005A7E85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061" w14:textId="4380EDB8" w:rsidR="005A7E85" w:rsidRPr="00B56BC5" w:rsidRDefault="005A7E85" w:rsidP="0080272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funkcionalumas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atitikti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nurodytą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apraše,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yra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publikuojamas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interneto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svetainėje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adresu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hyperlink r:id="rId15" w:history="1">
              <w:r w:rsidRPr="00B56BC5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https://www.oracle.com/technetwork/oem/db-mgmt/ds-tuning-pack-db12-2-3350800.pdf</w:t>
              </w:r>
            </w:hyperlink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pilnai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suderinama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636C59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Perkančiosios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636C59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organizacijos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="00636C59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>turima</w:t>
            </w:r>
            <w:r w:rsidR="00A0558B" w:rsidRPr="00B56BC5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Oracle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Database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Enterprise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Edition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Tuning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Pack</w:t>
            </w:r>
            <w:proofErr w:type="spellEnd"/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636C59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naujausios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636C59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versijos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programine</w:t>
            </w:r>
            <w:r w:rsidR="00A0558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įranga</w:t>
            </w:r>
            <w:r w:rsidR="0080272B" w:rsidRPr="00B56BC5">
              <w:rPr>
                <w:rFonts w:ascii="Times New Roman" w:eastAsia="Calibri" w:hAnsi="Times New Roman" w:cs="Times New Roman"/>
                <w:color w:val="000000"/>
                <w:lang w:val="lt-LT"/>
              </w:rPr>
              <w:t>.</w:t>
            </w:r>
          </w:p>
        </w:tc>
      </w:tr>
      <w:tr w:rsidR="00636C59" w:rsidRPr="00B56BC5" w14:paraId="51C1803C" w14:textId="77777777" w:rsidTr="00636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42C" w14:textId="77777777" w:rsidR="00636C59" w:rsidRPr="00B56BC5" w:rsidRDefault="00636C59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4F8" w14:textId="759B130D" w:rsidR="00636C59" w:rsidRPr="00B56BC5" w:rsidRDefault="00636C59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Esminiai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funkcionalumai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75B" w14:textId="6C553DAD" w:rsidR="00636C59" w:rsidRPr="00B56BC5" w:rsidRDefault="00636C59" w:rsidP="00C9684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užtikrinti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mažiau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kaip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šiuos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esminius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funkcionalumus:</w:t>
            </w:r>
          </w:p>
          <w:p w14:paraId="1A56310E" w14:textId="38079877" w:rsidR="00636C59" w:rsidRPr="00B56BC5" w:rsidRDefault="00636C59" w:rsidP="004818E0">
            <w:pPr>
              <w:pStyle w:val="ListParagraph"/>
              <w:numPr>
                <w:ilvl w:val="0"/>
                <w:numId w:val="15"/>
              </w:numPr>
              <w:tabs>
                <w:tab w:val="left" w:pos="433"/>
              </w:tabs>
              <w:spacing w:after="0" w:line="240" w:lineRule="auto"/>
              <w:ind w:left="0" w:firstLine="150"/>
              <w:jc w:val="both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užtikrinti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bazių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valdymo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sistemos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veikimo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našumo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automatinį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optimizavimą;</w:t>
            </w:r>
          </w:p>
          <w:p w14:paraId="6824403E" w14:textId="2B16C8BD" w:rsidR="00636C59" w:rsidRPr="00B56BC5" w:rsidRDefault="00636C59" w:rsidP="0080272B">
            <w:pPr>
              <w:pStyle w:val="ListParagraph"/>
              <w:numPr>
                <w:ilvl w:val="0"/>
                <w:numId w:val="15"/>
              </w:numPr>
              <w:tabs>
                <w:tab w:val="left" w:pos="433"/>
              </w:tabs>
              <w:spacing w:after="0" w:line="240" w:lineRule="auto"/>
              <w:ind w:left="0" w:firstLine="150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teikti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patarimus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bazių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valdymo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sistemos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našumo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gerinimui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bei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patarti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kokius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objektus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talpinti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stulpelių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saugyklos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atmintyje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(angl.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In-Memory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column</w:t>
            </w:r>
            <w:proofErr w:type="spellEnd"/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lang w:val="lt-LT"/>
              </w:rPr>
              <w:t>store</w:t>
            </w:r>
            <w:proofErr w:type="spellEnd"/>
            <w:r w:rsidRPr="00B56BC5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636C59" w:rsidRPr="00B56BC5" w14:paraId="1BE9644D" w14:textId="77777777" w:rsidTr="00636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55A" w14:textId="77777777" w:rsidR="00636C59" w:rsidRPr="00B56BC5" w:rsidRDefault="00636C59" w:rsidP="00E04572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right="1311" w:firstLine="3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238" w14:textId="77777777" w:rsidR="00636C59" w:rsidRPr="00B56BC5" w:rsidRDefault="00636C59" w:rsidP="00C968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Licencijavimas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EE4" w14:textId="6100C5E8" w:rsidR="00636C59" w:rsidRPr="00B56BC5" w:rsidRDefault="00636C59" w:rsidP="0080272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parinktas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toks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licencijavimo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modelis,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nereikalauja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papildomai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licencijuoti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ar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prisijungimų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suteikia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galimybę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siūlomoje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programinėje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įrangoje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sukurtomis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bazėmis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naudotis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neribotam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lang w:val="lt-LT"/>
              </w:rPr>
              <w:t>skaičiui.</w:t>
            </w:r>
          </w:p>
        </w:tc>
      </w:tr>
    </w:tbl>
    <w:p w14:paraId="36453561" w14:textId="77777777" w:rsidR="000F4551" w:rsidRPr="00B56BC5" w:rsidRDefault="000F4551" w:rsidP="004818E0">
      <w:pPr>
        <w:jc w:val="both"/>
        <w:rPr>
          <w:rFonts w:ascii="Times New Roman" w:hAnsi="Times New Roman" w:cs="Times New Roman"/>
          <w:bCs/>
          <w:lang w:val="lt-LT"/>
        </w:rPr>
      </w:pPr>
    </w:p>
    <w:p w14:paraId="466AD291" w14:textId="3E569A05" w:rsidR="004818E0" w:rsidRPr="00B56BC5" w:rsidRDefault="009E28A3" w:rsidP="00E04572">
      <w:pPr>
        <w:spacing w:after="0" w:line="240" w:lineRule="auto"/>
        <w:jc w:val="both"/>
        <w:rPr>
          <w:rFonts w:ascii="Times New Roman" w:hAnsi="Times New Roman" w:cs="Times New Roman"/>
          <w:bCs/>
          <w:lang w:val="lt-LT"/>
        </w:rPr>
      </w:pPr>
      <w:r w:rsidRPr="00B56BC5">
        <w:rPr>
          <w:rFonts w:ascii="Times New Roman" w:hAnsi="Times New Roman" w:cs="Times New Roman"/>
          <w:bCs/>
          <w:lang w:val="lt-LT"/>
        </w:rPr>
        <w:lastRenderedPageBreak/>
        <w:t>5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Pr="00B56BC5">
        <w:rPr>
          <w:rFonts w:ascii="Times New Roman" w:hAnsi="Times New Roman" w:cs="Times New Roman"/>
          <w:bCs/>
          <w:lang w:val="lt-LT"/>
        </w:rPr>
        <w:t>l</w:t>
      </w:r>
      <w:r w:rsidR="004818E0" w:rsidRPr="00B56BC5">
        <w:rPr>
          <w:rFonts w:ascii="Times New Roman" w:hAnsi="Times New Roman" w:cs="Times New Roman"/>
          <w:bCs/>
          <w:lang w:val="lt-LT"/>
        </w:rPr>
        <w:t>entelė.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Reikalavimai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Oracle</w:t>
      </w:r>
      <w:proofErr w:type="spellEnd"/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proofErr w:type="spellStart"/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Database</w:t>
      </w:r>
      <w:proofErr w:type="spellEnd"/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Standard</w:t>
      </w:r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Edition</w:t>
      </w:r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eastAsia="Calibri" w:hAnsi="Times New Roman" w:cs="Times New Roman"/>
          <w:bCs/>
          <w:color w:val="000000"/>
          <w:lang w:val="lt-LT"/>
        </w:rPr>
        <w:t>2</w:t>
      </w:r>
      <w:r w:rsidR="00A0558B" w:rsidRPr="00B56BC5">
        <w:rPr>
          <w:rFonts w:ascii="Times New Roman" w:eastAsia="Calibri" w:hAnsi="Times New Roman" w:cs="Times New Roman"/>
          <w:bCs/>
          <w:color w:val="000000"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arba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lygiavertė</w:t>
      </w:r>
      <w:r w:rsidR="00D22CC6" w:rsidRPr="00B56BC5">
        <w:rPr>
          <w:rFonts w:ascii="Times New Roman" w:hAnsi="Times New Roman" w:cs="Times New Roman"/>
          <w:bCs/>
          <w:lang w:val="lt-LT"/>
        </w:rPr>
        <w:t xml:space="preserve">s </w:t>
      </w:r>
      <w:r w:rsidR="00D22CC6" w:rsidRPr="00B56BC5">
        <w:rPr>
          <w:rFonts w:ascii="Times New Roman" w:hAnsi="Times New Roman" w:cs="Times New Roman"/>
          <w:kern w:val="12"/>
          <w:lang w:val="lt-LT" w:eastAsia="ar-SA" w:bidi="ar-SA"/>
        </w:rPr>
        <w:t>programinės įrangos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licencijoms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su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80272B" w:rsidRPr="00B56BC5">
        <w:rPr>
          <w:rFonts w:ascii="Times New Roman" w:hAnsi="Times New Roman" w:cs="Times New Roman"/>
          <w:bCs/>
          <w:lang w:val="lt-LT"/>
        </w:rPr>
        <w:t>gamintojo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80272B" w:rsidRPr="00B56BC5">
        <w:rPr>
          <w:rFonts w:ascii="Times New Roman" w:hAnsi="Times New Roman" w:cs="Times New Roman"/>
          <w:bCs/>
          <w:lang w:val="lt-LT"/>
        </w:rPr>
        <w:t>36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221D15" w:rsidRPr="00B56BC5">
        <w:rPr>
          <w:rFonts w:ascii="Times New Roman" w:hAnsi="Times New Roman" w:cs="Times New Roman"/>
          <w:bCs/>
          <w:lang w:val="lt-LT"/>
        </w:rPr>
        <w:t>mėnesių garantija</w:t>
      </w:r>
      <w:r w:rsidR="0080272B" w:rsidRPr="00B56BC5">
        <w:rPr>
          <w:rFonts w:ascii="Times New Roman" w:hAnsi="Times New Roman" w:cs="Times New Roman"/>
          <w:bCs/>
          <w:lang w:val="lt-LT"/>
        </w:rPr>
        <w:t>.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–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80272B" w:rsidRPr="00B56BC5">
        <w:rPr>
          <w:rFonts w:ascii="Times New Roman" w:hAnsi="Times New Roman" w:cs="Times New Roman"/>
          <w:bCs/>
          <w:lang w:val="lt-LT"/>
        </w:rPr>
        <w:t>12</w:t>
      </w:r>
      <w:r w:rsidR="00A0558B" w:rsidRPr="00B56BC5">
        <w:rPr>
          <w:rFonts w:ascii="Times New Roman" w:hAnsi="Times New Roman" w:cs="Times New Roman"/>
          <w:bCs/>
          <w:lang w:val="lt-LT"/>
        </w:rPr>
        <w:t xml:space="preserve"> </w:t>
      </w:r>
      <w:r w:rsidR="004818E0" w:rsidRPr="00B56BC5">
        <w:rPr>
          <w:rFonts w:ascii="Times New Roman" w:hAnsi="Times New Roman" w:cs="Times New Roman"/>
          <w:bCs/>
          <w:lang w:val="lt-LT"/>
        </w:rPr>
        <w:t>vnt.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70"/>
        <w:gridCol w:w="1872"/>
        <w:gridCol w:w="5243"/>
        <w:gridCol w:w="1954"/>
      </w:tblGrid>
      <w:tr w:rsidR="004818E0" w:rsidRPr="00B56BC5" w14:paraId="4A508B84" w14:textId="77777777" w:rsidTr="003018F8">
        <w:trPr>
          <w:trHeight w:val="745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0B1CD0A8" w14:textId="1B5F921A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Eil.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B7D778C" w14:textId="3C74B295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Charakteristikos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5243" w:type="dxa"/>
            <w:shd w:val="clear" w:color="auto" w:fill="F2F2F2" w:themeFill="background1" w:themeFillShade="F2"/>
            <w:vAlign w:val="center"/>
          </w:tcPr>
          <w:p w14:paraId="476030BE" w14:textId="63F3CE60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Reikalaujama</w:t>
            </w:r>
            <w:r w:rsidR="00A0558B"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lt-LT"/>
              </w:rPr>
              <w:t>charakteristika</w:t>
            </w:r>
          </w:p>
          <w:p w14:paraId="503ABEAA" w14:textId="78BFF697" w:rsidR="004818E0" w:rsidRPr="00B56BC5" w:rsidRDefault="004818E0" w:rsidP="00C968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78B17132" w14:textId="7763F145" w:rsidR="000F4551" w:rsidRPr="00B56BC5" w:rsidRDefault="004818E0" w:rsidP="009E4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  <w:t>charakteristika</w:t>
            </w:r>
          </w:p>
        </w:tc>
      </w:tr>
      <w:tr w:rsidR="004818E0" w:rsidRPr="00B56BC5" w14:paraId="7F97605B" w14:textId="77777777" w:rsidTr="00257930">
        <w:trPr>
          <w:trHeight w:val="312"/>
        </w:trPr>
        <w:tc>
          <w:tcPr>
            <w:tcW w:w="570" w:type="dxa"/>
            <w:vAlign w:val="center"/>
          </w:tcPr>
          <w:p w14:paraId="0F0526A4" w14:textId="77777777" w:rsidR="004818E0" w:rsidRPr="00B56BC5" w:rsidRDefault="004818E0" w:rsidP="004818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Align w:val="center"/>
          </w:tcPr>
          <w:p w14:paraId="53A81354" w14:textId="47319358" w:rsidR="004818E0" w:rsidRPr="00B56BC5" w:rsidRDefault="004818E0" w:rsidP="00C968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5243" w:type="dxa"/>
            <w:vAlign w:val="center"/>
          </w:tcPr>
          <w:p w14:paraId="71FA6EBB" w14:textId="606B2EE8" w:rsidR="004818E0" w:rsidRPr="00B56BC5" w:rsidRDefault="004818E0" w:rsidP="000F4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Standard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2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arba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lygiavertė</w:t>
            </w:r>
            <w:r w:rsidR="00D22CC6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D22CC6" w:rsidRPr="00B56BC5">
              <w:rPr>
                <w:rFonts w:ascii="Times New Roman" w:hAnsi="Times New Roman" w:cs="Times New Roman"/>
                <w:kern w:val="12"/>
                <w:sz w:val="22"/>
                <w:szCs w:val="22"/>
                <w:lang w:val="lt-LT" w:eastAsia="ar-SA" w:bidi="ar-SA"/>
              </w:rPr>
              <w:t>programinė įranga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.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lygiavertė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įranga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negali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reikalauti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esamų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informacinių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sistemų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aplikacijų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modifikavimo.</w:t>
            </w:r>
          </w:p>
        </w:tc>
        <w:tc>
          <w:tcPr>
            <w:tcW w:w="1954" w:type="dxa"/>
            <w:shd w:val="clear" w:color="auto" w:fill="E2EFD9" w:themeFill="accent6" w:themeFillTint="33"/>
            <w:vAlign w:val="center"/>
          </w:tcPr>
          <w:p w14:paraId="2F76E762" w14:textId="2016BCBB" w:rsidR="004818E0" w:rsidRPr="00B56BC5" w:rsidRDefault="009A31A1" w:rsidP="00257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  <w:lang w:val="lt-LT"/>
              </w:rPr>
              <w:t>Užpildyti</w:t>
            </w:r>
          </w:p>
        </w:tc>
      </w:tr>
      <w:tr w:rsidR="003018F8" w:rsidRPr="00B56BC5" w14:paraId="35B79CEF" w14:textId="77777777" w:rsidTr="003018F8">
        <w:trPr>
          <w:trHeight w:val="312"/>
        </w:trPr>
        <w:tc>
          <w:tcPr>
            <w:tcW w:w="570" w:type="dxa"/>
            <w:vAlign w:val="center"/>
          </w:tcPr>
          <w:p w14:paraId="6D588761" w14:textId="77777777" w:rsidR="003018F8" w:rsidRPr="00B56BC5" w:rsidRDefault="003018F8" w:rsidP="004818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Align w:val="center"/>
          </w:tcPr>
          <w:p w14:paraId="784E8C0C" w14:textId="6C0B78B3" w:rsidR="003018F8" w:rsidRPr="00B56BC5" w:rsidRDefault="003018F8" w:rsidP="00C968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funkcionalumas</w:t>
            </w:r>
          </w:p>
        </w:tc>
        <w:tc>
          <w:tcPr>
            <w:tcW w:w="7197" w:type="dxa"/>
            <w:gridSpan w:val="2"/>
            <w:vAlign w:val="center"/>
          </w:tcPr>
          <w:p w14:paraId="05A212CB" w14:textId="061E4402" w:rsidR="003018F8" w:rsidRPr="00B56BC5" w:rsidRDefault="003018F8" w:rsidP="0025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lt-LT"/>
              </w:rPr>
            </w:pP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funkcionalumas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atitikti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nurodytą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gamintojo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apraše,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yra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publikuojamas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interneto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svetainėje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adresu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hyperlink r:id="rId16" w:history="1">
              <w:r w:rsidRPr="00B56BC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https://www.oracle.com/database/standard-edition-two/index.html</w:t>
              </w:r>
            </w:hyperlink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pilnai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suderinama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su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Perkančiosios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organizacijos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turima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Oracle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Database</w:t>
            </w:r>
            <w:proofErr w:type="spellEnd"/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Standard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Edition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2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naujausios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versijos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programine</w:t>
            </w:r>
            <w:r w:rsidR="00A0558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įranga</w:t>
            </w:r>
            <w:r w:rsidR="0080272B" w:rsidRPr="00B56BC5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</w:tr>
      <w:tr w:rsidR="003018F8" w:rsidRPr="00B56BC5" w14:paraId="11BAF05A" w14:textId="77777777">
        <w:trPr>
          <w:trHeight w:val="312"/>
        </w:trPr>
        <w:tc>
          <w:tcPr>
            <w:tcW w:w="570" w:type="dxa"/>
            <w:vAlign w:val="center"/>
          </w:tcPr>
          <w:p w14:paraId="15BB5E1B" w14:textId="77777777" w:rsidR="003018F8" w:rsidRPr="00B56BC5" w:rsidRDefault="003018F8" w:rsidP="004818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Align w:val="center"/>
          </w:tcPr>
          <w:p w14:paraId="5015EC07" w14:textId="77777777" w:rsidR="003018F8" w:rsidRPr="00B56BC5" w:rsidRDefault="003018F8" w:rsidP="00C968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Licencijavimas</w:t>
            </w:r>
          </w:p>
        </w:tc>
        <w:tc>
          <w:tcPr>
            <w:tcW w:w="7197" w:type="dxa"/>
            <w:gridSpan w:val="2"/>
            <w:vAlign w:val="center"/>
          </w:tcPr>
          <w:p w14:paraId="2484B25A" w14:textId="497955E1" w:rsidR="003018F8" w:rsidRPr="00B56BC5" w:rsidRDefault="003018F8" w:rsidP="00802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parinktas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toks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licencijavimo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modelis,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kuris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nereikalauja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papildomai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licencijuoti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bazės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ar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prisijungimų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ir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suteikia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galimybę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siūlomoje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sukurtomis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bazėmis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naudotis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neribotam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vartotojų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skaičiui.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licencijavimas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neturi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riboti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naudojamų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branduolių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skaičiaus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procesoriuje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procesoriuose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įdiegtus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serveryje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serveriuose,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kuriuose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bus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įdiegta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siūloma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</w:t>
            </w:r>
            <w:r w:rsidR="00A0558B"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56BC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įranga.</w:t>
            </w:r>
          </w:p>
        </w:tc>
      </w:tr>
    </w:tbl>
    <w:p w14:paraId="723DCB94" w14:textId="77777777" w:rsidR="004818E0" w:rsidRPr="00B56BC5" w:rsidRDefault="004818E0" w:rsidP="004818E0">
      <w:pPr>
        <w:rPr>
          <w:rFonts w:ascii="Times New Roman" w:hAnsi="Times New Roman" w:cs="Times New Roman"/>
          <w:lang w:val="lt-LT"/>
        </w:rPr>
      </w:pPr>
    </w:p>
    <w:p w14:paraId="71E1DD41" w14:textId="41945A29" w:rsidR="004818E0" w:rsidRPr="00B56BC5" w:rsidRDefault="06FB6E23" w:rsidP="00F54204">
      <w:pPr>
        <w:numPr>
          <w:ilvl w:val="1"/>
          <w:numId w:val="17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B56BC5">
        <w:rPr>
          <w:rFonts w:ascii="Times New Roman" w:hAnsi="Times New Roman" w:cs="Times New Roman"/>
          <w:lang w:val="lt-LT" w:eastAsia="lt-LT" w:bidi="ar-SA"/>
        </w:rPr>
        <w:t>Nacionalinio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saugumo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reikalavimai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perkamam</w:t>
      </w:r>
      <w:r w:rsidR="00A0558B" w:rsidRPr="00B56BC5">
        <w:rPr>
          <w:rFonts w:ascii="Times New Roman" w:hAnsi="Times New Roman" w:cs="Times New Roman"/>
          <w:lang w:val="lt-LT" w:eastAsia="lt-LT" w:bidi="ar-SA"/>
        </w:rPr>
        <w:t xml:space="preserve"> </w:t>
      </w:r>
      <w:r w:rsidRPr="00B56BC5">
        <w:rPr>
          <w:rFonts w:ascii="Times New Roman" w:hAnsi="Times New Roman" w:cs="Times New Roman"/>
          <w:lang w:val="lt-LT" w:eastAsia="lt-LT" w:bidi="ar-SA"/>
        </w:rPr>
        <w:t>objektui:</w:t>
      </w:r>
      <w:r w:rsidR="00A0558B" w:rsidRPr="00B56BC5">
        <w:rPr>
          <w:rFonts w:ascii="Times New Roman" w:hAnsi="Times New Roman" w:cs="Times New Roman"/>
          <w:color w:val="FF0000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Prekės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="00A95CCB" w:rsidRPr="00B56BC5">
        <w:rPr>
          <w:rFonts w:ascii="Times New Roman" w:hAnsi="Times New Roman" w:cs="Times New Roman"/>
          <w:lang w:val="lt-LT"/>
        </w:rPr>
        <w:t>ir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paslaugos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neturi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kelti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grėsmės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nacionaliniam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saugumui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vadovaujantis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L</w:t>
      </w:r>
      <w:r w:rsidR="00133D0A">
        <w:rPr>
          <w:rFonts w:ascii="Times New Roman" w:hAnsi="Times New Roman" w:cs="Times New Roman"/>
          <w:lang w:val="lt-LT"/>
        </w:rPr>
        <w:t>ietuvos Respublikos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="00133D0A">
        <w:rPr>
          <w:rFonts w:ascii="Times New Roman" w:hAnsi="Times New Roman" w:cs="Times New Roman"/>
          <w:lang w:val="lt-LT"/>
        </w:rPr>
        <w:t>v</w:t>
      </w:r>
      <w:r w:rsidRPr="00B56BC5">
        <w:rPr>
          <w:rFonts w:ascii="Times New Roman" w:hAnsi="Times New Roman" w:cs="Times New Roman"/>
          <w:lang w:val="lt-LT"/>
        </w:rPr>
        <w:t>iešųjų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pirkimų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įstatymo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37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straipsnio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9</w:t>
      </w:r>
      <w:r w:rsidR="00A0558B" w:rsidRPr="00B56BC5">
        <w:rPr>
          <w:rFonts w:ascii="Times New Roman" w:hAnsi="Times New Roman" w:cs="Times New Roman"/>
          <w:lang w:val="lt-LT"/>
        </w:rPr>
        <w:t xml:space="preserve"> </w:t>
      </w:r>
      <w:r w:rsidRPr="00B56BC5">
        <w:rPr>
          <w:rFonts w:ascii="Times New Roman" w:hAnsi="Times New Roman" w:cs="Times New Roman"/>
          <w:lang w:val="lt-LT"/>
        </w:rPr>
        <w:t>dalimi</w:t>
      </w:r>
      <w:r w:rsidR="00A95CCB" w:rsidRPr="00B56BC5">
        <w:rPr>
          <w:rFonts w:ascii="Times New Roman" w:hAnsi="Times New Roman" w:cs="Times New Roman"/>
          <w:lang w:val="lt-LT"/>
        </w:rPr>
        <w:t xml:space="preserve"> ir </w:t>
      </w:r>
      <w:r w:rsidR="00906EC7" w:rsidRPr="00B56BC5">
        <w:rPr>
          <w:rFonts w:ascii="Times New Roman" w:hAnsi="Times New Roman" w:cs="Times New Roman"/>
          <w:lang w:val="lt-LT"/>
        </w:rPr>
        <w:t>47 straipsnio 9 dalimi</w:t>
      </w:r>
      <w:r w:rsidR="00A95CCB" w:rsidRPr="00B56BC5">
        <w:rPr>
          <w:rFonts w:ascii="Times New Roman" w:hAnsi="Times New Roman" w:cs="Times New Roman"/>
          <w:lang w:val="lt-LT"/>
        </w:rPr>
        <w:t>.</w:t>
      </w:r>
    </w:p>
    <w:p w14:paraId="3B9CE73C" w14:textId="77777777" w:rsidR="13BD7189" w:rsidRPr="00B56BC5" w:rsidRDefault="605C5B1E" w:rsidP="605C5B1E">
      <w:pPr>
        <w:jc w:val="center"/>
        <w:rPr>
          <w:rFonts w:ascii="Times New Roman" w:hAnsi="Times New Roman" w:cs="Times New Roman"/>
          <w:lang w:val="lt-LT"/>
        </w:rPr>
      </w:pPr>
      <w:r w:rsidRPr="00B56BC5">
        <w:rPr>
          <w:rFonts w:ascii="Times New Roman" w:hAnsi="Times New Roman" w:cs="Times New Roman"/>
          <w:lang w:val="lt-LT"/>
        </w:rPr>
        <w:t>______________________________</w:t>
      </w:r>
    </w:p>
    <w:sectPr w:rsidR="13BD7189" w:rsidRPr="00B56BC5" w:rsidSect="00A25EF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4BEC" w14:textId="77777777" w:rsidR="005113CC" w:rsidRDefault="005113CC">
      <w:pPr>
        <w:spacing w:after="0" w:line="240" w:lineRule="auto"/>
      </w:pPr>
      <w:r>
        <w:separator/>
      </w:r>
    </w:p>
  </w:endnote>
  <w:endnote w:type="continuationSeparator" w:id="0">
    <w:p w14:paraId="6EF0367F" w14:textId="77777777" w:rsidR="005113CC" w:rsidRDefault="005113CC">
      <w:pPr>
        <w:spacing w:after="0" w:line="240" w:lineRule="auto"/>
      </w:pPr>
      <w:r>
        <w:continuationSeparator/>
      </w:r>
    </w:p>
  </w:endnote>
  <w:endnote w:type="continuationNotice" w:id="1">
    <w:p w14:paraId="73EC4359" w14:textId="77777777" w:rsidR="005113CC" w:rsidRDefault="00511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AB9F" w14:textId="77777777" w:rsidR="005113CC" w:rsidRDefault="005113CC">
      <w:pPr>
        <w:spacing w:after="0" w:line="240" w:lineRule="auto"/>
      </w:pPr>
      <w:r>
        <w:separator/>
      </w:r>
    </w:p>
  </w:footnote>
  <w:footnote w:type="continuationSeparator" w:id="0">
    <w:p w14:paraId="29D820B7" w14:textId="77777777" w:rsidR="005113CC" w:rsidRDefault="005113CC">
      <w:pPr>
        <w:spacing w:after="0" w:line="240" w:lineRule="auto"/>
      </w:pPr>
      <w:r>
        <w:continuationSeparator/>
      </w:r>
    </w:p>
  </w:footnote>
  <w:footnote w:type="continuationNotice" w:id="1">
    <w:p w14:paraId="390BBC07" w14:textId="77777777" w:rsidR="005113CC" w:rsidRDefault="005113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9BF"/>
    <w:multiLevelType w:val="hybridMultilevel"/>
    <w:tmpl w:val="7AC66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28A"/>
    <w:multiLevelType w:val="hybridMultilevel"/>
    <w:tmpl w:val="26366726"/>
    <w:lvl w:ilvl="0" w:tplc="0427000F">
      <w:start w:val="1"/>
      <w:numFmt w:val="decimal"/>
      <w:lvlText w:val="%1."/>
      <w:lvlJc w:val="left"/>
      <w:pPr>
        <w:ind w:left="2554" w:hanging="360"/>
      </w:pPr>
    </w:lvl>
    <w:lvl w:ilvl="1" w:tplc="04270019" w:tentative="1">
      <w:start w:val="1"/>
      <w:numFmt w:val="lowerLetter"/>
      <w:lvlText w:val="%2."/>
      <w:lvlJc w:val="left"/>
      <w:pPr>
        <w:ind w:left="3274" w:hanging="360"/>
      </w:pPr>
    </w:lvl>
    <w:lvl w:ilvl="2" w:tplc="0427001B" w:tentative="1">
      <w:start w:val="1"/>
      <w:numFmt w:val="lowerRoman"/>
      <w:lvlText w:val="%3."/>
      <w:lvlJc w:val="right"/>
      <w:pPr>
        <w:ind w:left="3994" w:hanging="180"/>
      </w:pPr>
    </w:lvl>
    <w:lvl w:ilvl="3" w:tplc="0427000F" w:tentative="1">
      <w:start w:val="1"/>
      <w:numFmt w:val="decimal"/>
      <w:lvlText w:val="%4."/>
      <w:lvlJc w:val="left"/>
      <w:pPr>
        <w:ind w:left="4714" w:hanging="360"/>
      </w:pPr>
    </w:lvl>
    <w:lvl w:ilvl="4" w:tplc="04270019" w:tentative="1">
      <w:start w:val="1"/>
      <w:numFmt w:val="lowerLetter"/>
      <w:lvlText w:val="%5."/>
      <w:lvlJc w:val="left"/>
      <w:pPr>
        <w:ind w:left="5434" w:hanging="360"/>
      </w:pPr>
    </w:lvl>
    <w:lvl w:ilvl="5" w:tplc="0427001B" w:tentative="1">
      <w:start w:val="1"/>
      <w:numFmt w:val="lowerRoman"/>
      <w:lvlText w:val="%6."/>
      <w:lvlJc w:val="right"/>
      <w:pPr>
        <w:ind w:left="6154" w:hanging="180"/>
      </w:pPr>
    </w:lvl>
    <w:lvl w:ilvl="6" w:tplc="0427000F" w:tentative="1">
      <w:start w:val="1"/>
      <w:numFmt w:val="decimal"/>
      <w:lvlText w:val="%7."/>
      <w:lvlJc w:val="left"/>
      <w:pPr>
        <w:ind w:left="6874" w:hanging="360"/>
      </w:pPr>
    </w:lvl>
    <w:lvl w:ilvl="7" w:tplc="04270019" w:tentative="1">
      <w:start w:val="1"/>
      <w:numFmt w:val="lowerLetter"/>
      <w:lvlText w:val="%8."/>
      <w:lvlJc w:val="left"/>
      <w:pPr>
        <w:ind w:left="7594" w:hanging="360"/>
      </w:pPr>
    </w:lvl>
    <w:lvl w:ilvl="8" w:tplc="0427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2" w15:restartNumberingAfterBreak="0">
    <w:nsid w:val="08F965B0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2D6F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826"/>
    <w:multiLevelType w:val="hybridMultilevel"/>
    <w:tmpl w:val="23A4916A"/>
    <w:lvl w:ilvl="0" w:tplc="47DE9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B7C52A7"/>
    <w:multiLevelType w:val="hybridMultilevel"/>
    <w:tmpl w:val="9E6C3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01C2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4907"/>
    <w:multiLevelType w:val="hybridMultilevel"/>
    <w:tmpl w:val="2B00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292B"/>
    <w:multiLevelType w:val="hybridMultilevel"/>
    <w:tmpl w:val="57A48ABE"/>
    <w:lvl w:ilvl="0" w:tplc="48125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716F4"/>
    <w:multiLevelType w:val="hybridMultilevel"/>
    <w:tmpl w:val="7AC66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97F33"/>
    <w:multiLevelType w:val="hybridMultilevel"/>
    <w:tmpl w:val="2B00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4031C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3171C"/>
    <w:multiLevelType w:val="hybridMultilevel"/>
    <w:tmpl w:val="26366726"/>
    <w:lvl w:ilvl="0" w:tplc="0427000F">
      <w:start w:val="1"/>
      <w:numFmt w:val="decimal"/>
      <w:lvlText w:val="%1."/>
      <w:lvlJc w:val="left"/>
      <w:pPr>
        <w:ind w:left="2554" w:hanging="360"/>
      </w:pPr>
    </w:lvl>
    <w:lvl w:ilvl="1" w:tplc="04270019" w:tentative="1">
      <w:start w:val="1"/>
      <w:numFmt w:val="lowerLetter"/>
      <w:lvlText w:val="%2."/>
      <w:lvlJc w:val="left"/>
      <w:pPr>
        <w:ind w:left="3274" w:hanging="360"/>
      </w:pPr>
    </w:lvl>
    <w:lvl w:ilvl="2" w:tplc="0427001B" w:tentative="1">
      <w:start w:val="1"/>
      <w:numFmt w:val="lowerRoman"/>
      <w:lvlText w:val="%3."/>
      <w:lvlJc w:val="right"/>
      <w:pPr>
        <w:ind w:left="3994" w:hanging="180"/>
      </w:pPr>
    </w:lvl>
    <w:lvl w:ilvl="3" w:tplc="0427000F" w:tentative="1">
      <w:start w:val="1"/>
      <w:numFmt w:val="decimal"/>
      <w:lvlText w:val="%4."/>
      <w:lvlJc w:val="left"/>
      <w:pPr>
        <w:ind w:left="4714" w:hanging="360"/>
      </w:pPr>
    </w:lvl>
    <w:lvl w:ilvl="4" w:tplc="04270019" w:tentative="1">
      <w:start w:val="1"/>
      <w:numFmt w:val="lowerLetter"/>
      <w:lvlText w:val="%5."/>
      <w:lvlJc w:val="left"/>
      <w:pPr>
        <w:ind w:left="5434" w:hanging="360"/>
      </w:pPr>
    </w:lvl>
    <w:lvl w:ilvl="5" w:tplc="0427001B" w:tentative="1">
      <w:start w:val="1"/>
      <w:numFmt w:val="lowerRoman"/>
      <w:lvlText w:val="%6."/>
      <w:lvlJc w:val="right"/>
      <w:pPr>
        <w:ind w:left="6154" w:hanging="180"/>
      </w:pPr>
    </w:lvl>
    <w:lvl w:ilvl="6" w:tplc="0427000F" w:tentative="1">
      <w:start w:val="1"/>
      <w:numFmt w:val="decimal"/>
      <w:lvlText w:val="%7."/>
      <w:lvlJc w:val="left"/>
      <w:pPr>
        <w:ind w:left="6874" w:hanging="360"/>
      </w:pPr>
    </w:lvl>
    <w:lvl w:ilvl="7" w:tplc="04270019" w:tentative="1">
      <w:start w:val="1"/>
      <w:numFmt w:val="lowerLetter"/>
      <w:lvlText w:val="%8."/>
      <w:lvlJc w:val="left"/>
      <w:pPr>
        <w:ind w:left="7594" w:hanging="360"/>
      </w:pPr>
    </w:lvl>
    <w:lvl w:ilvl="8" w:tplc="0427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13" w15:restartNumberingAfterBreak="0">
    <w:nsid w:val="214754EF"/>
    <w:multiLevelType w:val="hybridMultilevel"/>
    <w:tmpl w:val="9E6C3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BA"/>
    <w:multiLevelType w:val="hybridMultilevel"/>
    <w:tmpl w:val="2B00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217E9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66F0578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118B8"/>
    <w:multiLevelType w:val="hybridMultilevel"/>
    <w:tmpl w:val="26366726"/>
    <w:lvl w:ilvl="0" w:tplc="0427000F">
      <w:start w:val="1"/>
      <w:numFmt w:val="decimal"/>
      <w:lvlText w:val="%1."/>
      <w:lvlJc w:val="left"/>
      <w:pPr>
        <w:ind w:left="2554" w:hanging="360"/>
      </w:pPr>
    </w:lvl>
    <w:lvl w:ilvl="1" w:tplc="04270019" w:tentative="1">
      <w:start w:val="1"/>
      <w:numFmt w:val="lowerLetter"/>
      <w:lvlText w:val="%2."/>
      <w:lvlJc w:val="left"/>
      <w:pPr>
        <w:ind w:left="3274" w:hanging="360"/>
      </w:pPr>
    </w:lvl>
    <w:lvl w:ilvl="2" w:tplc="0427001B" w:tentative="1">
      <w:start w:val="1"/>
      <w:numFmt w:val="lowerRoman"/>
      <w:lvlText w:val="%3."/>
      <w:lvlJc w:val="right"/>
      <w:pPr>
        <w:ind w:left="3994" w:hanging="180"/>
      </w:pPr>
    </w:lvl>
    <w:lvl w:ilvl="3" w:tplc="0427000F" w:tentative="1">
      <w:start w:val="1"/>
      <w:numFmt w:val="decimal"/>
      <w:lvlText w:val="%4."/>
      <w:lvlJc w:val="left"/>
      <w:pPr>
        <w:ind w:left="4714" w:hanging="360"/>
      </w:pPr>
    </w:lvl>
    <w:lvl w:ilvl="4" w:tplc="04270019" w:tentative="1">
      <w:start w:val="1"/>
      <w:numFmt w:val="lowerLetter"/>
      <w:lvlText w:val="%5."/>
      <w:lvlJc w:val="left"/>
      <w:pPr>
        <w:ind w:left="5434" w:hanging="360"/>
      </w:pPr>
    </w:lvl>
    <w:lvl w:ilvl="5" w:tplc="0427001B" w:tentative="1">
      <w:start w:val="1"/>
      <w:numFmt w:val="lowerRoman"/>
      <w:lvlText w:val="%6."/>
      <w:lvlJc w:val="right"/>
      <w:pPr>
        <w:ind w:left="6154" w:hanging="180"/>
      </w:pPr>
    </w:lvl>
    <w:lvl w:ilvl="6" w:tplc="0427000F" w:tentative="1">
      <w:start w:val="1"/>
      <w:numFmt w:val="decimal"/>
      <w:lvlText w:val="%7."/>
      <w:lvlJc w:val="left"/>
      <w:pPr>
        <w:ind w:left="6874" w:hanging="360"/>
      </w:pPr>
    </w:lvl>
    <w:lvl w:ilvl="7" w:tplc="04270019" w:tentative="1">
      <w:start w:val="1"/>
      <w:numFmt w:val="lowerLetter"/>
      <w:lvlText w:val="%8."/>
      <w:lvlJc w:val="left"/>
      <w:pPr>
        <w:ind w:left="7594" w:hanging="360"/>
      </w:pPr>
    </w:lvl>
    <w:lvl w:ilvl="8" w:tplc="0427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18" w15:restartNumberingAfterBreak="0">
    <w:nsid w:val="383B6E61"/>
    <w:multiLevelType w:val="hybridMultilevel"/>
    <w:tmpl w:val="E61A2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E89"/>
    <w:multiLevelType w:val="hybridMultilevel"/>
    <w:tmpl w:val="D7EC2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37139"/>
    <w:multiLevelType w:val="hybridMultilevel"/>
    <w:tmpl w:val="B82E6F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95FF8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D6211"/>
    <w:multiLevelType w:val="hybridMultilevel"/>
    <w:tmpl w:val="05CCA278"/>
    <w:lvl w:ilvl="0" w:tplc="3AD67D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F8C763F"/>
    <w:multiLevelType w:val="multilevel"/>
    <w:tmpl w:val="86B07B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086E32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D0389"/>
    <w:multiLevelType w:val="hybridMultilevel"/>
    <w:tmpl w:val="D7EC2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3048C"/>
    <w:multiLevelType w:val="multilevel"/>
    <w:tmpl w:val="EB7A58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E89080F"/>
    <w:multiLevelType w:val="hybridMultilevel"/>
    <w:tmpl w:val="2B00F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12901"/>
    <w:multiLevelType w:val="hybridMultilevel"/>
    <w:tmpl w:val="7AC66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A7158"/>
    <w:multiLevelType w:val="hybridMultilevel"/>
    <w:tmpl w:val="7AC66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A60DC"/>
    <w:multiLevelType w:val="hybridMultilevel"/>
    <w:tmpl w:val="23A4916A"/>
    <w:lvl w:ilvl="0" w:tplc="47DE9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F56053E"/>
    <w:multiLevelType w:val="hybridMultilevel"/>
    <w:tmpl w:val="26366726"/>
    <w:lvl w:ilvl="0" w:tplc="0427000F">
      <w:start w:val="1"/>
      <w:numFmt w:val="decimal"/>
      <w:lvlText w:val="%1."/>
      <w:lvlJc w:val="left"/>
      <w:pPr>
        <w:ind w:left="2554" w:hanging="360"/>
      </w:pPr>
    </w:lvl>
    <w:lvl w:ilvl="1" w:tplc="04270019" w:tentative="1">
      <w:start w:val="1"/>
      <w:numFmt w:val="lowerLetter"/>
      <w:lvlText w:val="%2."/>
      <w:lvlJc w:val="left"/>
      <w:pPr>
        <w:ind w:left="3274" w:hanging="360"/>
      </w:pPr>
    </w:lvl>
    <w:lvl w:ilvl="2" w:tplc="0427001B" w:tentative="1">
      <w:start w:val="1"/>
      <w:numFmt w:val="lowerRoman"/>
      <w:lvlText w:val="%3."/>
      <w:lvlJc w:val="right"/>
      <w:pPr>
        <w:ind w:left="3994" w:hanging="180"/>
      </w:pPr>
    </w:lvl>
    <w:lvl w:ilvl="3" w:tplc="0427000F" w:tentative="1">
      <w:start w:val="1"/>
      <w:numFmt w:val="decimal"/>
      <w:lvlText w:val="%4."/>
      <w:lvlJc w:val="left"/>
      <w:pPr>
        <w:ind w:left="4714" w:hanging="360"/>
      </w:pPr>
    </w:lvl>
    <w:lvl w:ilvl="4" w:tplc="04270019" w:tentative="1">
      <w:start w:val="1"/>
      <w:numFmt w:val="lowerLetter"/>
      <w:lvlText w:val="%5."/>
      <w:lvlJc w:val="left"/>
      <w:pPr>
        <w:ind w:left="5434" w:hanging="360"/>
      </w:pPr>
    </w:lvl>
    <w:lvl w:ilvl="5" w:tplc="0427001B" w:tentative="1">
      <w:start w:val="1"/>
      <w:numFmt w:val="lowerRoman"/>
      <w:lvlText w:val="%6."/>
      <w:lvlJc w:val="right"/>
      <w:pPr>
        <w:ind w:left="6154" w:hanging="180"/>
      </w:pPr>
    </w:lvl>
    <w:lvl w:ilvl="6" w:tplc="0427000F" w:tentative="1">
      <w:start w:val="1"/>
      <w:numFmt w:val="decimal"/>
      <w:lvlText w:val="%7."/>
      <w:lvlJc w:val="left"/>
      <w:pPr>
        <w:ind w:left="6874" w:hanging="360"/>
      </w:pPr>
    </w:lvl>
    <w:lvl w:ilvl="7" w:tplc="04270019" w:tentative="1">
      <w:start w:val="1"/>
      <w:numFmt w:val="lowerLetter"/>
      <w:lvlText w:val="%8."/>
      <w:lvlJc w:val="left"/>
      <w:pPr>
        <w:ind w:left="7594" w:hanging="360"/>
      </w:pPr>
    </w:lvl>
    <w:lvl w:ilvl="8" w:tplc="0427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32" w15:restartNumberingAfterBreak="0">
    <w:nsid w:val="71D65F39"/>
    <w:multiLevelType w:val="hybridMultilevel"/>
    <w:tmpl w:val="55448428"/>
    <w:lvl w:ilvl="0" w:tplc="47DE9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483233C"/>
    <w:multiLevelType w:val="hybridMultilevel"/>
    <w:tmpl w:val="2B00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F11B9"/>
    <w:multiLevelType w:val="hybridMultilevel"/>
    <w:tmpl w:val="55448428"/>
    <w:lvl w:ilvl="0" w:tplc="47DE9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AF97F3C"/>
    <w:multiLevelType w:val="hybridMultilevel"/>
    <w:tmpl w:val="05CCA278"/>
    <w:lvl w:ilvl="0" w:tplc="3AD67D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7C481968"/>
    <w:multiLevelType w:val="hybridMultilevel"/>
    <w:tmpl w:val="442A860A"/>
    <w:lvl w:ilvl="0" w:tplc="0CD24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00574">
    <w:abstractNumId w:val="24"/>
  </w:num>
  <w:num w:numId="2" w16cid:durableId="1217860189">
    <w:abstractNumId w:val="10"/>
  </w:num>
  <w:num w:numId="3" w16cid:durableId="1231815618">
    <w:abstractNumId w:val="7"/>
  </w:num>
  <w:num w:numId="4" w16cid:durableId="1248807132">
    <w:abstractNumId w:val="30"/>
  </w:num>
  <w:num w:numId="5" w16cid:durableId="1257443303">
    <w:abstractNumId w:val="4"/>
  </w:num>
  <w:num w:numId="6" w16cid:durableId="1298685116">
    <w:abstractNumId w:val="2"/>
  </w:num>
  <w:num w:numId="7" w16cid:durableId="1393037238">
    <w:abstractNumId w:val="12"/>
  </w:num>
  <w:num w:numId="8" w16cid:durableId="1447118319">
    <w:abstractNumId w:val="8"/>
  </w:num>
  <w:num w:numId="9" w16cid:durableId="1486698003">
    <w:abstractNumId w:val="27"/>
  </w:num>
  <w:num w:numId="10" w16cid:durableId="1496415824">
    <w:abstractNumId w:val="35"/>
  </w:num>
  <w:num w:numId="11" w16cid:durableId="1498839828">
    <w:abstractNumId w:val="33"/>
  </w:num>
  <w:num w:numId="12" w16cid:durableId="1559635295">
    <w:abstractNumId w:val="29"/>
  </w:num>
  <w:num w:numId="13" w16cid:durableId="1613127627">
    <w:abstractNumId w:val="28"/>
  </w:num>
  <w:num w:numId="14" w16cid:durableId="1639334595">
    <w:abstractNumId w:val="22"/>
  </w:num>
  <w:num w:numId="15" w16cid:durableId="1671634308">
    <w:abstractNumId w:val="31"/>
  </w:num>
  <w:num w:numId="16" w16cid:durableId="1729261352">
    <w:abstractNumId w:val="11"/>
  </w:num>
  <w:num w:numId="17" w16cid:durableId="1766344732">
    <w:abstractNumId w:val="26"/>
  </w:num>
  <w:num w:numId="18" w16cid:durableId="1809778969">
    <w:abstractNumId w:val="15"/>
  </w:num>
  <w:num w:numId="19" w16cid:durableId="1947033835">
    <w:abstractNumId w:val="16"/>
  </w:num>
  <w:num w:numId="20" w16cid:durableId="1967733577">
    <w:abstractNumId w:val="34"/>
  </w:num>
  <w:num w:numId="21" w16cid:durableId="2106293829">
    <w:abstractNumId w:val="21"/>
  </w:num>
  <w:num w:numId="22" w16cid:durableId="2106876005">
    <w:abstractNumId w:val="1"/>
  </w:num>
  <w:num w:numId="23" w16cid:durableId="213128371">
    <w:abstractNumId w:val="18"/>
  </w:num>
  <w:num w:numId="24" w16cid:durableId="2142528998">
    <w:abstractNumId w:val="13"/>
  </w:num>
  <w:num w:numId="25" w16cid:durableId="252855795">
    <w:abstractNumId w:val="19"/>
  </w:num>
  <w:num w:numId="26" w16cid:durableId="2927519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7957539">
    <w:abstractNumId w:val="32"/>
  </w:num>
  <w:num w:numId="28" w16cid:durableId="351150949">
    <w:abstractNumId w:val="36"/>
  </w:num>
  <w:num w:numId="29" w16cid:durableId="415201899">
    <w:abstractNumId w:val="25"/>
  </w:num>
  <w:num w:numId="30" w16cid:durableId="485632922">
    <w:abstractNumId w:val="6"/>
  </w:num>
  <w:num w:numId="31" w16cid:durableId="554859142">
    <w:abstractNumId w:val="14"/>
  </w:num>
  <w:num w:numId="32" w16cid:durableId="65566867">
    <w:abstractNumId w:val="17"/>
  </w:num>
  <w:num w:numId="33" w16cid:durableId="700714560">
    <w:abstractNumId w:val="9"/>
  </w:num>
  <w:num w:numId="34" w16cid:durableId="724376789">
    <w:abstractNumId w:val="5"/>
  </w:num>
  <w:num w:numId="35" w16cid:durableId="811673054">
    <w:abstractNumId w:val="20"/>
  </w:num>
  <w:num w:numId="36" w16cid:durableId="884565941">
    <w:abstractNumId w:val="23"/>
  </w:num>
  <w:num w:numId="37" w16cid:durableId="908080364">
    <w:abstractNumId w:val="3"/>
  </w:num>
  <w:num w:numId="38" w16cid:durableId="92596753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83"/>
    <w:rsid w:val="00001456"/>
    <w:rsid w:val="00001D64"/>
    <w:rsid w:val="00002C22"/>
    <w:rsid w:val="0001052C"/>
    <w:rsid w:val="000111E1"/>
    <w:rsid w:val="00014D21"/>
    <w:rsid w:val="00015115"/>
    <w:rsid w:val="00016E61"/>
    <w:rsid w:val="000171BD"/>
    <w:rsid w:val="00020D55"/>
    <w:rsid w:val="00025985"/>
    <w:rsid w:val="00026489"/>
    <w:rsid w:val="000270CC"/>
    <w:rsid w:val="00030870"/>
    <w:rsid w:val="00031346"/>
    <w:rsid w:val="0003298A"/>
    <w:rsid w:val="00037430"/>
    <w:rsid w:val="0004054E"/>
    <w:rsid w:val="00047D2D"/>
    <w:rsid w:val="00053934"/>
    <w:rsid w:val="00061F00"/>
    <w:rsid w:val="0006288B"/>
    <w:rsid w:val="00062D3E"/>
    <w:rsid w:val="00070319"/>
    <w:rsid w:val="000743C3"/>
    <w:rsid w:val="000749C8"/>
    <w:rsid w:val="00076450"/>
    <w:rsid w:val="0008088D"/>
    <w:rsid w:val="00080C0E"/>
    <w:rsid w:val="00082497"/>
    <w:rsid w:val="000847C4"/>
    <w:rsid w:val="00086FAA"/>
    <w:rsid w:val="0009106C"/>
    <w:rsid w:val="000912BF"/>
    <w:rsid w:val="00094C51"/>
    <w:rsid w:val="00096EBF"/>
    <w:rsid w:val="000A09D8"/>
    <w:rsid w:val="000A5D74"/>
    <w:rsid w:val="000B28EE"/>
    <w:rsid w:val="000B3332"/>
    <w:rsid w:val="000B56CD"/>
    <w:rsid w:val="000C1645"/>
    <w:rsid w:val="000C242E"/>
    <w:rsid w:val="000C2B54"/>
    <w:rsid w:val="000C3562"/>
    <w:rsid w:val="000C52AA"/>
    <w:rsid w:val="000C5449"/>
    <w:rsid w:val="000C7602"/>
    <w:rsid w:val="000D165B"/>
    <w:rsid w:val="000D1BFC"/>
    <w:rsid w:val="000D22E1"/>
    <w:rsid w:val="000E1ADE"/>
    <w:rsid w:val="000E3A7B"/>
    <w:rsid w:val="000E4A99"/>
    <w:rsid w:val="000E6BFE"/>
    <w:rsid w:val="000E7C9E"/>
    <w:rsid w:val="000F0786"/>
    <w:rsid w:val="000F149D"/>
    <w:rsid w:val="000F4551"/>
    <w:rsid w:val="000F59E4"/>
    <w:rsid w:val="000F6B83"/>
    <w:rsid w:val="001000D8"/>
    <w:rsid w:val="00100538"/>
    <w:rsid w:val="00100B46"/>
    <w:rsid w:val="00101EC8"/>
    <w:rsid w:val="0010385E"/>
    <w:rsid w:val="00104F21"/>
    <w:rsid w:val="001053E1"/>
    <w:rsid w:val="001075D5"/>
    <w:rsid w:val="0011166B"/>
    <w:rsid w:val="00115E90"/>
    <w:rsid w:val="001218C4"/>
    <w:rsid w:val="001225DB"/>
    <w:rsid w:val="001235A1"/>
    <w:rsid w:val="00125297"/>
    <w:rsid w:val="00127D3B"/>
    <w:rsid w:val="00130172"/>
    <w:rsid w:val="00130F20"/>
    <w:rsid w:val="001317A2"/>
    <w:rsid w:val="00133D0A"/>
    <w:rsid w:val="00144590"/>
    <w:rsid w:val="0014540E"/>
    <w:rsid w:val="00145ABB"/>
    <w:rsid w:val="00146EAF"/>
    <w:rsid w:val="001516A9"/>
    <w:rsid w:val="00153A02"/>
    <w:rsid w:val="001550F4"/>
    <w:rsid w:val="001608E1"/>
    <w:rsid w:val="0016376D"/>
    <w:rsid w:val="00164ACF"/>
    <w:rsid w:val="0016698B"/>
    <w:rsid w:val="00170EA1"/>
    <w:rsid w:val="00172341"/>
    <w:rsid w:val="00176F92"/>
    <w:rsid w:val="00187F10"/>
    <w:rsid w:val="00193D56"/>
    <w:rsid w:val="00194168"/>
    <w:rsid w:val="00197DBD"/>
    <w:rsid w:val="001A30E8"/>
    <w:rsid w:val="001A41D2"/>
    <w:rsid w:val="001A5E88"/>
    <w:rsid w:val="001A7308"/>
    <w:rsid w:val="001B343A"/>
    <w:rsid w:val="001B6C1D"/>
    <w:rsid w:val="001C432C"/>
    <w:rsid w:val="001C5830"/>
    <w:rsid w:val="001C5D0B"/>
    <w:rsid w:val="001C7224"/>
    <w:rsid w:val="001D262A"/>
    <w:rsid w:val="001D4309"/>
    <w:rsid w:val="001D6BE2"/>
    <w:rsid w:val="001E0B63"/>
    <w:rsid w:val="001E4915"/>
    <w:rsid w:val="001E4EEB"/>
    <w:rsid w:val="001F35AC"/>
    <w:rsid w:val="001F4793"/>
    <w:rsid w:val="00203A1B"/>
    <w:rsid w:val="00205533"/>
    <w:rsid w:val="00207255"/>
    <w:rsid w:val="00207363"/>
    <w:rsid w:val="002101A7"/>
    <w:rsid w:val="002103BB"/>
    <w:rsid w:val="002132F2"/>
    <w:rsid w:val="00216720"/>
    <w:rsid w:val="00221D15"/>
    <w:rsid w:val="00222F68"/>
    <w:rsid w:val="00224682"/>
    <w:rsid w:val="002277CB"/>
    <w:rsid w:val="00231FCF"/>
    <w:rsid w:val="002327B3"/>
    <w:rsid w:val="002336D1"/>
    <w:rsid w:val="002351A6"/>
    <w:rsid w:val="002360E9"/>
    <w:rsid w:val="00237C66"/>
    <w:rsid w:val="0025517F"/>
    <w:rsid w:val="00255234"/>
    <w:rsid w:val="00257930"/>
    <w:rsid w:val="00257A4C"/>
    <w:rsid w:val="002608A4"/>
    <w:rsid w:val="00261ED7"/>
    <w:rsid w:val="00262BF7"/>
    <w:rsid w:val="002643E3"/>
    <w:rsid w:val="00265983"/>
    <w:rsid w:val="00265D2F"/>
    <w:rsid w:val="002660C0"/>
    <w:rsid w:val="002723C8"/>
    <w:rsid w:val="00272855"/>
    <w:rsid w:val="00274C26"/>
    <w:rsid w:val="00275BAF"/>
    <w:rsid w:val="002813E7"/>
    <w:rsid w:val="0028144E"/>
    <w:rsid w:val="00290499"/>
    <w:rsid w:val="0029140C"/>
    <w:rsid w:val="002A08CF"/>
    <w:rsid w:val="002A1936"/>
    <w:rsid w:val="002B0C20"/>
    <w:rsid w:val="002B5689"/>
    <w:rsid w:val="002B612C"/>
    <w:rsid w:val="002C41CF"/>
    <w:rsid w:val="002C4223"/>
    <w:rsid w:val="002C549B"/>
    <w:rsid w:val="002C60B5"/>
    <w:rsid w:val="002D2317"/>
    <w:rsid w:val="002D2485"/>
    <w:rsid w:val="002D3528"/>
    <w:rsid w:val="002E0807"/>
    <w:rsid w:val="002E249F"/>
    <w:rsid w:val="002E493C"/>
    <w:rsid w:val="002E4A4B"/>
    <w:rsid w:val="002E4B8B"/>
    <w:rsid w:val="002E561C"/>
    <w:rsid w:val="002F2514"/>
    <w:rsid w:val="002F2FDB"/>
    <w:rsid w:val="002F4699"/>
    <w:rsid w:val="002F4F1A"/>
    <w:rsid w:val="002F5281"/>
    <w:rsid w:val="002F63C5"/>
    <w:rsid w:val="003018F8"/>
    <w:rsid w:val="00302859"/>
    <w:rsid w:val="00302920"/>
    <w:rsid w:val="0030530A"/>
    <w:rsid w:val="00305A9A"/>
    <w:rsid w:val="00306872"/>
    <w:rsid w:val="00306A9A"/>
    <w:rsid w:val="0031041E"/>
    <w:rsid w:val="0031131A"/>
    <w:rsid w:val="00314EC5"/>
    <w:rsid w:val="00317042"/>
    <w:rsid w:val="00321261"/>
    <w:rsid w:val="00322029"/>
    <w:rsid w:val="003235EC"/>
    <w:rsid w:val="003264BC"/>
    <w:rsid w:val="00326AF7"/>
    <w:rsid w:val="00337FC1"/>
    <w:rsid w:val="0034212D"/>
    <w:rsid w:val="00342B15"/>
    <w:rsid w:val="0034753B"/>
    <w:rsid w:val="00351A67"/>
    <w:rsid w:val="00354BF7"/>
    <w:rsid w:val="00354FB1"/>
    <w:rsid w:val="00366C6A"/>
    <w:rsid w:val="00366D49"/>
    <w:rsid w:val="0037092A"/>
    <w:rsid w:val="00371769"/>
    <w:rsid w:val="00374403"/>
    <w:rsid w:val="00386846"/>
    <w:rsid w:val="003916C2"/>
    <w:rsid w:val="003946F6"/>
    <w:rsid w:val="00397B94"/>
    <w:rsid w:val="003A14FE"/>
    <w:rsid w:val="003A2614"/>
    <w:rsid w:val="003A34AB"/>
    <w:rsid w:val="003A4699"/>
    <w:rsid w:val="003A4910"/>
    <w:rsid w:val="003A4F4B"/>
    <w:rsid w:val="003B06CA"/>
    <w:rsid w:val="003B513E"/>
    <w:rsid w:val="003B5FF9"/>
    <w:rsid w:val="003B629C"/>
    <w:rsid w:val="003B6BC0"/>
    <w:rsid w:val="003C28AE"/>
    <w:rsid w:val="003C57BC"/>
    <w:rsid w:val="003C5D92"/>
    <w:rsid w:val="003D14CC"/>
    <w:rsid w:val="003D2630"/>
    <w:rsid w:val="003D32F8"/>
    <w:rsid w:val="003D379D"/>
    <w:rsid w:val="003D39E0"/>
    <w:rsid w:val="003E15A2"/>
    <w:rsid w:val="003E58DA"/>
    <w:rsid w:val="003E73C6"/>
    <w:rsid w:val="00401D41"/>
    <w:rsid w:val="00402687"/>
    <w:rsid w:val="00404F8D"/>
    <w:rsid w:val="00405B14"/>
    <w:rsid w:val="00406F5F"/>
    <w:rsid w:val="00407504"/>
    <w:rsid w:val="00410430"/>
    <w:rsid w:val="00410801"/>
    <w:rsid w:val="00410DFE"/>
    <w:rsid w:val="00413B22"/>
    <w:rsid w:val="00414239"/>
    <w:rsid w:val="004164F4"/>
    <w:rsid w:val="0041693D"/>
    <w:rsid w:val="00417ED3"/>
    <w:rsid w:val="00420B85"/>
    <w:rsid w:val="004212A8"/>
    <w:rsid w:val="00421CB9"/>
    <w:rsid w:val="0042508F"/>
    <w:rsid w:val="00431C07"/>
    <w:rsid w:val="00432401"/>
    <w:rsid w:val="00433CB2"/>
    <w:rsid w:val="00435DD6"/>
    <w:rsid w:val="00442851"/>
    <w:rsid w:val="00443507"/>
    <w:rsid w:val="00447360"/>
    <w:rsid w:val="00452128"/>
    <w:rsid w:val="00453631"/>
    <w:rsid w:val="004551ED"/>
    <w:rsid w:val="00455E49"/>
    <w:rsid w:val="00457376"/>
    <w:rsid w:val="0046182B"/>
    <w:rsid w:val="00462ECC"/>
    <w:rsid w:val="004632E9"/>
    <w:rsid w:val="00464682"/>
    <w:rsid w:val="00464D78"/>
    <w:rsid w:val="004678A6"/>
    <w:rsid w:val="0047074D"/>
    <w:rsid w:val="00473517"/>
    <w:rsid w:val="004747C4"/>
    <w:rsid w:val="004818E0"/>
    <w:rsid w:val="00484E16"/>
    <w:rsid w:val="00485265"/>
    <w:rsid w:val="004869C5"/>
    <w:rsid w:val="00492802"/>
    <w:rsid w:val="0049307D"/>
    <w:rsid w:val="00493CAA"/>
    <w:rsid w:val="004952EF"/>
    <w:rsid w:val="00496510"/>
    <w:rsid w:val="004A1484"/>
    <w:rsid w:val="004A3D0B"/>
    <w:rsid w:val="004A53B9"/>
    <w:rsid w:val="004A6E14"/>
    <w:rsid w:val="004B1301"/>
    <w:rsid w:val="004B594C"/>
    <w:rsid w:val="004B6AC9"/>
    <w:rsid w:val="004C147E"/>
    <w:rsid w:val="004C4F20"/>
    <w:rsid w:val="004D0189"/>
    <w:rsid w:val="004D72C2"/>
    <w:rsid w:val="004D7AC3"/>
    <w:rsid w:val="004E31DB"/>
    <w:rsid w:val="004E4405"/>
    <w:rsid w:val="004E5462"/>
    <w:rsid w:val="004E5960"/>
    <w:rsid w:val="004E677B"/>
    <w:rsid w:val="004E7887"/>
    <w:rsid w:val="004F3EFB"/>
    <w:rsid w:val="004F412A"/>
    <w:rsid w:val="004F7F8C"/>
    <w:rsid w:val="00506CD6"/>
    <w:rsid w:val="00507D95"/>
    <w:rsid w:val="005113CC"/>
    <w:rsid w:val="0051270D"/>
    <w:rsid w:val="005231DB"/>
    <w:rsid w:val="005304AB"/>
    <w:rsid w:val="00530793"/>
    <w:rsid w:val="00532933"/>
    <w:rsid w:val="0053339C"/>
    <w:rsid w:val="00534FD4"/>
    <w:rsid w:val="00536D2B"/>
    <w:rsid w:val="0054327E"/>
    <w:rsid w:val="00547729"/>
    <w:rsid w:val="00547B99"/>
    <w:rsid w:val="005505BB"/>
    <w:rsid w:val="00550A3B"/>
    <w:rsid w:val="00551CE1"/>
    <w:rsid w:val="005542F2"/>
    <w:rsid w:val="005547F9"/>
    <w:rsid w:val="00554D85"/>
    <w:rsid w:val="00561089"/>
    <w:rsid w:val="005613A9"/>
    <w:rsid w:val="00561A50"/>
    <w:rsid w:val="00567BA6"/>
    <w:rsid w:val="00571F54"/>
    <w:rsid w:val="00576E4C"/>
    <w:rsid w:val="005818A8"/>
    <w:rsid w:val="00583AFB"/>
    <w:rsid w:val="00587C98"/>
    <w:rsid w:val="00587DCF"/>
    <w:rsid w:val="00592008"/>
    <w:rsid w:val="005939EC"/>
    <w:rsid w:val="00595DDE"/>
    <w:rsid w:val="00596CB4"/>
    <w:rsid w:val="005A3EF1"/>
    <w:rsid w:val="005A54FB"/>
    <w:rsid w:val="005A6231"/>
    <w:rsid w:val="005A644D"/>
    <w:rsid w:val="005A74E5"/>
    <w:rsid w:val="005A7E85"/>
    <w:rsid w:val="005B0699"/>
    <w:rsid w:val="005B4DC2"/>
    <w:rsid w:val="005B5F1E"/>
    <w:rsid w:val="005C1BB3"/>
    <w:rsid w:val="005C21C2"/>
    <w:rsid w:val="005D03DE"/>
    <w:rsid w:val="005D5A8D"/>
    <w:rsid w:val="005D5F14"/>
    <w:rsid w:val="005E01C9"/>
    <w:rsid w:val="005E0A5C"/>
    <w:rsid w:val="005E1AFB"/>
    <w:rsid w:val="005E290C"/>
    <w:rsid w:val="005E4B7A"/>
    <w:rsid w:val="005E79F9"/>
    <w:rsid w:val="005F157A"/>
    <w:rsid w:val="005F29DE"/>
    <w:rsid w:val="005F3017"/>
    <w:rsid w:val="005F719F"/>
    <w:rsid w:val="0060053D"/>
    <w:rsid w:val="00602F04"/>
    <w:rsid w:val="00603331"/>
    <w:rsid w:val="00604C9E"/>
    <w:rsid w:val="006052F2"/>
    <w:rsid w:val="00606093"/>
    <w:rsid w:val="00606D95"/>
    <w:rsid w:val="00612D1C"/>
    <w:rsid w:val="00614012"/>
    <w:rsid w:val="00621A56"/>
    <w:rsid w:val="00624719"/>
    <w:rsid w:val="006258CD"/>
    <w:rsid w:val="00632E7D"/>
    <w:rsid w:val="00633491"/>
    <w:rsid w:val="006336B6"/>
    <w:rsid w:val="00633710"/>
    <w:rsid w:val="006348DB"/>
    <w:rsid w:val="00636C59"/>
    <w:rsid w:val="00637810"/>
    <w:rsid w:val="00637A21"/>
    <w:rsid w:val="00640911"/>
    <w:rsid w:val="00643403"/>
    <w:rsid w:val="00644A72"/>
    <w:rsid w:val="006469F5"/>
    <w:rsid w:val="0064772E"/>
    <w:rsid w:val="00652AB9"/>
    <w:rsid w:val="00656648"/>
    <w:rsid w:val="006643DC"/>
    <w:rsid w:val="00672F92"/>
    <w:rsid w:val="006801DD"/>
    <w:rsid w:val="006861BC"/>
    <w:rsid w:val="006870F2"/>
    <w:rsid w:val="0069464B"/>
    <w:rsid w:val="00694B58"/>
    <w:rsid w:val="00697B70"/>
    <w:rsid w:val="006A02E9"/>
    <w:rsid w:val="006A27B3"/>
    <w:rsid w:val="006B26F5"/>
    <w:rsid w:val="006C46B8"/>
    <w:rsid w:val="006C6BFC"/>
    <w:rsid w:val="006C7AF8"/>
    <w:rsid w:val="006D06B6"/>
    <w:rsid w:val="006E0189"/>
    <w:rsid w:val="006E24E4"/>
    <w:rsid w:val="006E4E09"/>
    <w:rsid w:val="006E530C"/>
    <w:rsid w:val="006E773B"/>
    <w:rsid w:val="006F5247"/>
    <w:rsid w:val="006F5EEF"/>
    <w:rsid w:val="006F7CAC"/>
    <w:rsid w:val="00703E9A"/>
    <w:rsid w:val="007058CC"/>
    <w:rsid w:val="007101CE"/>
    <w:rsid w:val="00711AD5"/>
    <w:rsid w:val="00712118"/>
    <w:rsid w:val="007153E2"/>
    <w:rsid w:val="00721AA2"/>
    <w:rsid w:val="00723F17"/>
    <w:rsid w:val="0072717B"/>
    <w:rsid w:val="00727DE8"/>
    <w:rsid w:val="00732533"/>
    <w:rsid w:val="007400E7"/>
    <w:rsid w:val="00740BF1"/>
    <w:rsid w:val="00740FB8"/>
    <w:rsid w:val="00745BDB"/>
    <w:rsid w:val="0074653F"/>
    <w:rsid w:val="00746EF6"/>
    <w:rsid w:val="00750221"/>
    <w:rsid w:val="00751AD5"/>
    <w:rsid w:val="00752277"/>
    <w:rsid w:val="00754D8D"/>
    <w:rsid w:val="00757CB6"/>
    <w:rsid w:val="007619E4"/>
    <w:rsid w:val="007634AC"/>
    <w:rsid w:val="00766A98"/>
    <w:rsid w:val="00772CD7"/>
    <w:rsid w:val="00785690"/>
    <w:rsid w:val="0079294D"/>
    <w:rsid w:val="007939CA"/>
    <w:rsid w:val="00795489"/>
    <w:rsid w:val="007958F1"/>
    <w:rsid w:val="007A0499"/>
    <w:rsid w:val="007A0669"/>
    <w:rsid w:val="007A704E"/>
    <w:rsid w:val="007B0142"/>
    <w:rsid w:val="007B0C10"/>
    <w:rsid w:val="007B27D6"/>
    <w:rsid w:val="007B3E9D"/>
    <w:rsid w:val="007B4539"/>
    <w:rsid w:val="007B6011"/>
    <w:rsid w:val="007B6C37"/>
    <w:rsid w:val="007B7008"/>
    <w:rsid w:val="007C1E45"/>
    <w:rsid w:val="007C2E7E"/>
    <w:rsid w:val="007D25E7"/>
    <w:rsid w:val="007D4872"/>
    <w:rsid w:val="007D7429"/>
    <w:rsid w:val="007D7AA9"/>
    <w:rsid w:val="007E2E35"/>
    <w:rsid w:val="007E3B25"/>
    <w:rsid w:val="007E6D27"/>
    <w:rsid w:val="007F1744"/>
    <w:rsid w:val="007F60F5"/>
    <w:rsid w:val="007F6B2D"/>
    <w:rsid w:val="007F780F"/>
    <w:rsid w:val="007F7986"/>
    <w:rsid w:val="00801AF4"/>
    <w:rsid w:val="0080272B"/>
    <w:rsid w:val="0080389C"/>
    <w:rsid w:val="00803F01"/>
    <w:rsid w:val="00806E33"/>
    <w:rsid w:val="00811909"/>
    <w:rsid w:val="0082242E"/>
    <w:rsid w:val="00823B92"/>
    <w:rsid w:val="00825D53"/>
    <w:rsid w:val="00825FBA"/>
    <w:rsid w:val="008267A0"/>
    <w:rsid w:val="00830F5E"/>
    <w:rsid w:val="00831397"/>
    <w:rsid w:val="00833127"/>
    <w:rsid w:val="00833EBC"/>
    <w:rsid w:val="008359A5"/>
    <w:rsid w:val="008360B6"/>
    <w:rsid w:val="00840112"/>
    <w:rsid w:val="008407CA"/>
    <w:rsid w:val="00844384"/>
    <w:rsid w:val="00846148"/>
    <w:rsid w:val="00847261"/>
    <w:rsid w:val="00857480"/>
    <w:rsid w:val="008608AA"/>
    <w:rsid w:val="008608E1"/>
    <w:rsid w:val="008640BA"/>
    <w:rsid w:val="008676C7"/>
    <w:rsid w:val="00874A5F"/>
    <w:rsid w:val="00876C6E"/>
    <w:rsid w:val="008808B2"/>
    <w:rsid w:val="0088104A"/>
    <w:rsid w:val="0088111B"/>
    <w:rsid w:val="00882D94"/>
    <w:rsid w:val="00883BB8"/>
    <w:rsid w:val="00887BB5"/>
    <w:rsid w:val="0089291B"/>
    <w:rsid w:val="008940D1"/>
    <w:rsid w:val="008A06F9"/>
    <w:rsid w:val="008A086E"/>
    <w:rsid w:val="008A248A"/>
    <w:rsid w:val="008A309E"/>
    <w:rsid w:val="008A35B1"/>
    <w:rsid w:val="008A7C22"/>
    <w:rsid w:val="008B58F2"/>
    <w:rsid w:val="008D0F87"/>
    <w:rsid w:val="008D160F"/>
    <w:rsid w:val="008D7428"/>
    <w:rsid w:val="008E18A8"/>
    <w:rsid w:val="008E63D4"/>
    <w:rsid w:val="008F112A"/>
    <w:rsid w:val="008F3BB7"/>
    <w:rsid w:val="008F52B5"/>
    <w:rsid w:val="00904DC9"/>
    <w:rsid w:val="00906EC7"/>
    <w:rsid w:val="00907E16"/>
    <w:rsid w:val="00912BED"/>
    <w:rsid w:val="009165BB"/>
    <w:rsid w:val="009225DB"/>
    <w:rsid w:val="00924470"/>
    <w:rsid w:val="00924858"/>
    <w:rsid w:val="009279E5"/>
    <w:rsid w:val="009335AD"/>
    <w:rsid w:val="00935F22"/>
    <w:rsid w:val="009369B4"/>
    <w:rsid w:val="009438F7"/>
    <w:rsid w:val="00944066"/>
    <w:rsid w:val="009444EB"/>
    <w:rsid w:val="00944536"/>
    <w:rsid w:val="00950B1F"/>
    <w:rsid w:val="00955DB1"/>
    <w:rsid w:val="00956CCD"/>
    <w:rsid w:val="00957DC3"/>
    <w:rsid w:val="00960502"/>
    <w:rsid w:val="009610AF"/>
    <w:rsid w:val="009627C3"/>
    <w:rsid w:val="009669FC"/>
    <w:rsid w:val="00966BFA"/>
    <w:rsid w:val="00971621"/>
    <w:rsid w:val="0097185F"/>
    <w:rsid w:val="0097299A"/>
    <w:rsid w:val="00975C3E"/>
    <w:rsid w:val="00975D7E"/>
    <w:rsid w:val="009769BB"/>
    <w:rsid w:val="00977B28"/>
    <w:rsid w:val="00990A29"/>
    <w:rsid w:val="00994509"/>
    <w:rsid w:val="00994B49"/>
    <w:rsid w:val="0099733A"/>
    <w:rsid w:val="009A1F02"/>
    <w:rsid w:val="009A31A1"/>
    <w:rsid w:val="009B0B90"/>
    <w:rsid w:val="009B208A"/>
    <w:rsid w:val="009B485F"/>
    <w:rsid w:val="009B49D5"/>
    <w:rsid w:val="009B4E89"/>
    <w:rsid w:val="009B4ED5"/>
    <w:rsid w:val="009B5905"/>
    <w:rsid w:val="009C485B"/>
    <w:rsid w:val="009C79C0"/>
    <w:rsid w:val="009D0761"/>
    <w:rsid w:val="009D2ADB"/>
    <w:rsid w:val="009D3084"/>
    <w:rsid w:val="009D3EF2"/>
    <w:rsid w:val="009D655C"/>
    <w:rsid w:val="009E1A62"/>
    <w:rsid w:val="009E28A3"/>
    <w:rsid w:val="009E28C7"/>
    <w:rsid w:val="009E46AB"/>
    <w:rsid w:val="009E5645"/>
    <w:rsid w:val="009E7BD0"/>
    <w:rsid w:val="009F0AA4"/>
    <w:rsid w:val="009F2A63"/>
    <w:rsid w:val="009F3CD9"/>
    <w:rsid w:val="009F3E93"/>
    <w:rsid w:val="009F436F"/>
    <w:rsid w:val="009F49E2"/>
    <w:rsid w:val="009F4AB6"/>
    <w:rsid w:val="009F653F"/>
    <w:rsid w:val="00A0051E"/>
    <w:rsid w:val="00A01A2E"/>
    <w:rsid w:val="00A03FC5"/>
    <w:rsid w:val="00A04F38"/>
    <w:rsid w:val="00A052CE"/>
    <w:rsid w:val="00A0553D"/>
    <w:rsid w:val="00A0558B"/>
    <w:rsid w:val="00A067D3"/>
    <w:rsid w:val="00A10C58"/>
    <w:rsid w:val="00A12C19"/>
    <w:rsid w:val="00A14D6A"/>
    <w:rsid w:val="00A16964"/>
    <w:rsid w:val="00A20638"/>
    <w:rsid w:val="00A22C2D"/>
    <w:rsid w:val="00A2407C"/>
    <w:rsid w:val="00A2470A"/>
    <w:rsid w:val="00A25EF4"/>
    <w:rsid w:val="00A272D7"/>
    <w:rsid w:val="00A32B81"/>
    <w:rsid w:val="00A338AD"/>
    <w:rsid w:val="00A34DC7"/>
    <w:rsid w:val="00A372D3"/>
    <w:rsid w:val="00A3747C"/>
    <w:rsid w:val="00A4003F"/>
    <w:rsid w:val="00A4435C"/>
    <w:rsid w:val="00A4567C"/>
    <w:rsid w:val="00A45EF1"/>
    <w:rsid w:val="00A46818"/>
    <w:rsid w:val="00A47C93"/>
    <w:rsid w:val="00A50E03"/>
    <w:rsid w:val="00A5195C"/>
    <w:rsid w:val="00A5331F"/>
    <w:rsid w:val="00A60E34"/>
    <w:rsid w:val="00A61145"/>
    <w:rsid w:val="00A61F91"/>
    <w:rsid w:val="00A620BB"/>
    <w:rsid w:val="00A62D2C"/>
    <w:rsid w:val="00A64BD1"/>
    <w:rsid w:val="00A72F0C"/>
    <w:rsid w:val="00A74E16"/>
    <w:rsid w:val="00A759BD"/>
    <w:rsid w:val="00A76DDB"/>
    <w:rsid w:val="00A81A30"/>
    <w:rsid w:val="00A84071"/>
    <w:rsid w:val="00A92AF9"/>
    <w:rsid w:val="00A95567"/>
    <w:rsid w:val="00A95CCB"/>
    <w:rsid w:val="00A96048"/>
    <w:rsid w:val="00A96D2D"/>
    <w:rsid w:val="00A97076"/>
    <w:rsid w:val="00AA180E"/>
    <w:rsid w:val="00AB5CEA"/>
    <w:rsid w:val="00AC18C1"/>
    <w:rsid w:val="00AC5FED"/>
    <w:rsid w:val="00AC6DBF"/>
    <w:rsid w:val="00AD2A8A"/>
    <w:rsid w:val="00AD357D"/>
    <w:rsid w:val="00AE2D0C"/>
    <w:rsid w:val="00AE2D5D"/>
    <w:rsid w:val="00AF2BD9"/>
    <w:rsid w:val="00AF419C"/>
    <w:rsid w:val="00AF5832"/>
    <w:rsid w:val="00AF5C07"/>
    <w:rsid w:val="00AF66F4"/>
    <w:rsid w:val="00AF7688"/>
    <w:rsid w:val="00AF7EBE"/>
    <w:rsid w:val="00B032D8"/>
    <w:rsid w:val="00B04D1F"/>
    <w:rsid w:val="00B05B25"/>
    <w:rsid w:val="00B07C2B"/>
    <w:rsid w:val="00B13384"/>
    <w:rsid w:val="00B23662"/>
    <w:rsid w:val="00B23ADF"/>
    <w:rsid w:val="00B26F1F"/>
    <w:rsid w:val="00B27D8C"/>
    <w:rsid w:val="00B330AC"/>
    <w:rsid w:val="00B36551"/>
    <w:rsid w:val="00B366C5"/>
    <w:rsid w:val="00B36A35"/>
    <w:rsid w:val="00B41DF2"/>
    <w:rsid w:val="00B4246D"/>
    <w:rsid w:val="00B47096"/>
    <w:rsid w:val="00B5023C"/>
    <w:rsid w:val="00B543B8"/>
    <w:rsid w:val="00B554DC"/>
    <w:rsid w:val="00B56BC5"/>
    <w:rsid w:val="00B60EAB"/>
    <w:rsid w:val="00B611CE"/>
    <w:rsid w:val="00B62128"/>
    <w:rsid w:val="00B627D0"/>
    <w:rsid w:val="00B6310C"/>
    <w:rsid w:val="00B63446"/>
    <w:rsid w:val="00B65B63"/>
    <w:rsid w:val="00B65BC6"/>
    <w:rsid w:val="00B67759"/>
    <w:rsid w:val="00B72070"/>
    <w:rsid w:val="00B724AB"/>
    <w:rsid w:val="00B76C3A"/>
    <w:rsid w:val="00B857D9"/>
    <w:rsid w:val="00B873CE"/>
    <w:rsid w:val="00B911E5"/>
    <w:rsid w:val="00B946BD"/>
    <w:rsid w:val="00B94F29"/>
    <w:rsid w:val="00B956EB"/>
    <w:rsid w:val="00B957CC"/>
    <w:rsid w:val="00BA1221"/>
    <w:rsid w:val="00BA39B5"/>
    <w:rsid w:val="00BA74B2"/>
    <w:rsid w:val="00BB0FA2"/>
    <w:rsid w:val="00BB331B"/>
    <w:rsid w:val="00BB48DA"/>
    <w:rsid w:val="00BC2B76"/>
    <w:rsid w:val="00BC46EA"/>
    <w:rsid w:val="00BD10E2"/>
    <w:rsid w:val="00BD3CF9"/>
    <w:rsid w:val="00BD5BF2"/>
    <w:rsid w:val="00BD7703"/>
    <w:rsid w:val="00BE3E8B"/>
    <w:rsid w:val="00BE5EBD"/>
    <w:rsid w:val="00BF02D8"/>
    <w:rsid w:val="00BF2312"/>
    <w:rsid w:val="00BF44DA"/>
    <w:rsid w:val="00C07FE4"/>
    <w:rsid w:val="00C10CBC"/>
    <w:rsid w:val="00C1219C"/>
    <w:rsid w:val="00C121A1"/>
    <w:rsid w:val="00C14A50"/>
    <w:rsid w:val="00C1519E"/>
    <w:rsid w:val="00C2069D"/>
    <w:rsid w:val="00C24002"/>
    <w:rsid w:val="00C246BE"/>
    <w:rsid w:val="00C25011"/>
    <w:rsid w:val="00C30BE4"/>
    <w:rsid w:val="00C324EB"/>
    <w:rsid w:val="00C46F99"/>
    <w:rsid w:val="00C51D38"/>
    <w:rsid w:val="00C53F99"/>
    <w:rsid w:val="00C57909"/>
    <w:rsid w:val="00C626A8"/>
    <w:rsid w:val="00C7114D"/>
    <w:rsid w:val="00C76481"/>
    <w:rsid w:val="00C82F8B"/>
    <w:rsid w:val="00C84969"/>
    <w:rsid w:val="00C96841"/>
    <w:rsid w:val="00C97659"/>
    <w:rsid w:val="00C976B6"/>
    <w:rsid w:val="00CA1B83"/>
    <w:rsid w:val="00CA24CC"/>
    <w:rsid w:val="00CA2602"/>
    <w:rsid w:val="00CA6598"/>
    <w:rsid w:val="00CA7DB7"/>
    <w:rsid w:val="00CB02BC"/>
    <w:rsid w:val="00CB1270"/>
    <w:rsid w:val="00CB40FC"/>
    <w:rsid w:val="00CB4787"/>
    <w:rsid w:val="00CC0ACC"/>
    <w:rsid w:val="00CC20F0"/>
    <w:rsid w:val="00CC2414"/>
    <w:rsid w:val="00CC3BE1"/>
    <w:rsid w:val="00CC4208"/>
    <w:rsid w:val="00CC4C16"/>
    <w:rsid w:val="00CC60FB"/>
    <w:rsid w:val="00CD0830"/>
    <w:rsid w:val="00CD1C62"/>
    <w:rsid w:val="00CD3A66"/>
    <w:rsid w:val="00CD5C17"/>
    <w:rsid w:val="00CE1C3D"/>
    <w:rsid w:val="00CE36DF"/>
    <w:rsid w:val="00CE5AED"/>
    <w:rsid w:val="00CE7DA1"/>
    <w:rsid w:val="00D013A8"/>
    <w:rsid w:val="00D01D6C"/>
    <w:rsid w:val="00D02960"/>
    <w:rsid w:val="00D06DE2"/>
    <w:rsid w:val="00D11E98"/>
    <w:rsid w:val="00D13F57"/>
    <w:rsid w:val="00D1704F"/>
    <w:rsid w:val="00D20479"/>
    <w:rsid w:val="00D22CC6"/>
    <w:rsid w:val="00D22F99"/>
    <w:rsid w:val="00D23797"/>
    <w:rsid w:val="00D24DB4"/>
    <w:rsid w:val="00D32708"/>
    <w:rsid w:val="00D327B9"/>
    <w:rsid w:val="00D32DE0"/>
    <w:rsid w:val="00D41D72"/>
    <w:rsid w:val="00D41DBB"/>
    <w:rsid w:val="00D435A5"/>
    <w:rsid w:val="00D50459"/>
    <w:rsid w:val="00D517FF"/>
    <w:rsid w:val="00D54B39"/>
    <w:rsid w:val="00D62973"/>
    <w:rsid w:val="00D63DE4"/>
    <w:rsid w:val="00D65871"/>
    <w:rsid w:val="00D65E6F"/>
    <w:rsid w:val="00D6619E"/>
    <w:rsid w:val="00D712FA"/>
    <w:rsid w:val="00D74910"/>
    <w:rsid w:val="00D766A6"/>
    <w:rsid w:val="00D8157C"/>
    <w:rsid w:val="00D83FB4"/>
    <w:rsid w:val="00D84759"/>
    <w:rsid w:val="00D865A8"/>
    <w:rsid w:val="00D86638"/>
    <w:rsid w:val="00D90576"/>
    <w:rsid w:val="00D90849"/>
    <w:rsid w:val="00D90939"/>
    <w:rsid w:val="00D90F5E"/>
    <w:rsid w:val="00D94D12"/>
    <w:rsid w:val="00D9596C"/>
    <w:rsid w:val="00D96423"/>
    <w:rsid w:val="00D96EDA"/>
    <w:rsid w:val="00DA216B"/>
    <w:rsid w:val="00DA2F59"/>
    <w:rsid w:val="00DA3E5F"/>
    <w:rsid w:val="00DA49B6"/>
    <w:rsid w:val="00DA54E6"/>
    <w:rsid w:val="00DB20A0"/>
    <w:rsid w:val="00DB6A02"/>
    <w:rsid w:val="00DB7063"/>
    <w:rsid w:val="00DC0DA6"/>
    <w:rsid w:val="00DC503C"/>
    <w:rsid w:val="00DD0FFF"/>
    <w:rsid w:val="00DD3084"/>
    <w:rsid w:val="00DD4552"/>
    <w:rsid w:val="00DD5A50"/>
    <w:rsid w:val="00DE1215"/>
    <w:rsid w:val="00DE41E7"/>
    <w:rsid w:val="00DE4EDE"/>
    <w:rsid w:val="00DF069D"/>
    <w:rsid w:val="00DF0E46"/>
    <w:rsid w:val="00DF1AE6"/>
    <w:rsid w:val="00DF2474"/>
    <w:rsid w:val="00DF5F8A"/>
    <w:rsid w:val="00DF6D82"/>
    <w:rsid w:val="00DF703A"/>
    <w:rsid w:val="00E01ADD"/>
    <w:rsid w:val="00E04572"/>
    <w:rsid w:val="00E07123"/>
    <w:rsid w:val="00E1119A"/>
    <w:rsid w:val="00E11ADC"/>
    <w:rsid w:val="00E11DC3"/>
    <w:rsid w:val="00E1312A"/>
    <w:rsid w:val="00E13884"/>
    <w:rsid w:val="00E16127"/>
    <w:rsid w:val="00E2181F"/>
    <w:rsid w:val="00E21F10"/>
    <w:rsid w:val="00E23069"/>
    <w:rsid w:val="00E248E8"/>
    <w:rsid w:val="00E312AB"/>
    <w:rsid w:val="00E319BD"/>
    <w:rsid w:val="00E351E8"/>
    <w:rsid w:val="00E37BFD"/>
    <w:rsid w:val="00E42859"/>
    <w:rsid w:val="00E43153"/>
    <w:rsid w:val="00E505E3"/>
    <w:rsid w:val="00E5677A"/>
    <w:rsid w:val="00E56CAC"/>
    <w:rsid w:val="00E601CD"/>
    <w:rsid w:val="00E60AD7"/>
    <w:rsid w:val="00E61A5D"/>
    <w:rsid w:val="00E73062"/>
    <w:rsid w:val="00E740A2"/>
    <w:rsid w:val="00E8009B"/>
    <w:rsid w:val="00E82880"/>
    <w:rsid w:val="00E87B6A"/>
    <w:rsid w:val="00E9184F"/>
    <w:rsid w:val="00E92DA8"/>
    <w:rsid w:val="00E976F8"/>
    <w:rsid w:val="00EA0947"/>
    <w:rsid w:val="00EA0CBA"/>
    <w:rsid w:val="00EA1874"/>
    <w:rsid w:val="00EB004A"/>
    <w:rsid w:val="00EB1F07"/>
    <w:rsid w:val="00EB5972"/>
    <w:rsid w:val="00EC004A"/>
    <w:rsid w:val="00EC0626"/>
    <w:rsid w:val="00EC13EC"/>
    <w:rsid w:val="00EC49D7"/>
    <w:rsid w:val="00EC565B"/>
    <w:rsid w:val="00EC5759"/>
    <w:rsid w:val="00ED02EC"/>
    <w:rsid w:val="00ED3231"/>
    <w:rsid w:val="00ED3F97"/>
    <w:rsid w:val="00ED6B3B"/>
    <w:rsid w:val="00EE49D1"/>
    <w:rsid w:val="00EE7CE0"/>
    <w:rsid w:val="00EF18E8"/>
    <w:rsid w:val="00EF32AA"/>
    <w:rsid w:val="00EF6C35"/>
    <w:rsid w:val="00EF7682"/>
    <w:rsid w:val="00F001B6"/>
    <w:rsid w:val="00F00CE6"/>
    <w:rsid w:val="00F02764"/>
    <w:rsid w:val="00F03B99"/>
    <w:rsid w:val="00F05124"/>
    <w:rsid w:val="00F10806"/>
    <w:rsid w:val="00F13D62"/>
    <w:rsid w:val="00F1499F"/>
    <w:rsid w:val="00F15117"/>
    <w:rsid w:val="00F17330"/>
    <w:rsid w:val="00F22B00"/>
    <w:rsid w:val="00F31236"/>
    <w:rsid w:val="00F337C4"/>
    <w:rsid w:val="00F367DC"/>
    <w:rsid w:val="00F369AC"/>
    <w:rsid w:val="00F36F40"/>
    <w:rsid w:val="00F377A7"/>
    <w:rsid w:val="00F412C5"/>
    <w:rsid w:val="00F44114"/>
    <w:rsid w:val="00F45696"/>
    <w:rsid w:val="00F519BC"/>
    <w:rsid w:val="00F531C5"/>
    <w:rsid w:val="00F54204"/>
    <w:rsid w:val="00F62B9E"/>
    <w:rsid w:val="00F6519E"/>
    <w:rsid w:val="00F67A72"/>
    <w:rsid w:val="00F70BC9"/>
    <w:rsid w:val="00F75100"/>
    <w:rsid w:val="00F903A3"/>
    <w:rsid w:val="00F91CBD"/>
    <w:rsid w:val="00F922ED"/>
    <w:rsid w:val="00F93199"/>
    <w:rsid w:val="00F93A1D"/>
    <w:rsid w:val="00F948EF"/>
    <w:rsid w:val="00F96097"/>
    <w:rsid w:val="00F964D5"/>
    <w:rsid w:val="00FA0C68"/>
    <w:rsid w:val="00FA21EB"/>
    <w:rsid w:val="00FA520F"/>
    <w:rsid w:val="00FC0A8B"/>
    <w:rsid w:val="00FC0CD6"/>
    <w:rsid w:val="00FC10B6"/>
    <w:rsid w:val="00FC6950"/>
    <w:rsid w:val="00FC6D8A"/>
    <w:rsid w:val="00FD014B"/>
    <w:rsid w:val="00FD3F52"/>
    <w:rsid w:val="00FD5B13"/>
    <w:rsid w:val="00FD7244"/>
    <w:rsid w:val="00FD78FF"/>
    <w:rsid w:val="00FE0A70"/>
    <w:rsid w:val="00FE7D68"/>
    <w:rsid w:val="00FF229F"/>
    <w:rsid w:val="00FF4FD6"/>
    <w:rsid w:val="00FF6FF6"/>
    <w:rsid w:val="00FF7061"/>
    <w:rsid w:val="00FF7DAE"/>
    <w:rsid w:val="02E999C8"/>
    <w:rsid w:val="05C71DD0"/>
    <w:rsid w:val="06FB6E23"/>
    <w:rsid w:val="0937C9C5"/>
    <w:rsid w:val="09D634B4"/>
    <w:rsid w:val="0A00FFB8"/>
    <w:rsid w:val="0C9A5B94"/>
    <w:rsid w:val="0E55B14A"/>
    <w:rsid w:val="10579DDA"/>
    <w:rsid w:val="1064B030"/>
    <w:rsid w:val="1262C847"/>
    <w:rsid w:val="1319F329"/>
    <w:rsid w:val="13BD7189"/>
    <w:rsid w:val="13DEE9F3"/>
    <w:rsid w:val="14898D54"/>
    <w:rsid w:val="15AE6606"/>
    <w:rsid w:val="176A7671"/>
    <w:rsid w:val="1B34BD1E"/>
    <w:rsid w:val="1C0F6B35"/>
    <w:rsid w:val="1CDF1239"/>
    <w:rsid w:val="200F2F84"/>
    <w:rsid w:val="217EFB70"/>
    <w:rsid w:val="224B6E25"/>
    <w:rsid w:val="25AA4AEE"/>
    <w:rsid w:val="26873F12"/>
    <w:rsid w:val="294D0CD8"/>
    <w:rsid w:val="2C1B0614"/>
    <w:rsid w:val="2E8EC4D8"/>
    <w:rsid w:val="3322BC94"/>
    <w:rsid w:val="351F8457"/>
    <w:rsid w:val="356D2ACB"/>
    <w:rsid w:val="3591C2AF"/>
    <w:rsid w:val="3603D4EB"/>
    <w:rsid w:val="36AD34DA"/>
    <w:rsid w:val="38FFEED3"/>
    <w:rsid w:val="3A95591D"/>
    <w:rsid w:val="4075483E"/>
    <w:rsid w:val="407F94D0"/>
    <w:rsid w:val="410ADAC7"/>
    <w:rsid w:val="42163C28"/>
    <w:rsid w:val="47D6A26D"/>
    <w:rsid w:val="4EFD2CDE"/>
    <w:rsid w:val="52E71121"/>
    <w:rsid w:val="56626983"/>
    <w:rsid w:val="57DFCDD8"/>
    <w:rsid w:val="5ACF8A98"/>
    <w:rsid w:val="5F3DD284"/>
    <w:rsid w:val="605C5B1E"/>
    <w:rsid w:val="629D99FC"/>
    <w:rsid w:val="62E4F7B9"/>
    <w:rsid w:val="634D5683"/>
    <w:rsid w:val="639F7B75"/>
    <w:rsid w:val="6406F530"/>
    <w:rsid w:val="6506E4B5"/>
    <w:rsid w:val="66738E2D"/>
    <w:rsid w:val="68BA78C0"/>
    <w:rsid w:val="6AFF7FB7"/>
    <w:rsid w:val="6B4B1F97"/>
    <w:rsid w:val="6C8D679D"/>
    <w:rsid w:val="6DD439CE"/>
    <w:rsid w:val="6E2A2A87"/>
    <w:rsid w:val="6E6975B7"/>
    <w:rsid w:val="6F5BF708"/>
    <w:rsid w:val="720E1348"/>
    <w:rsid w:val="73E91F19"/>
    <w:rsid w:val="746BC5D5"/>
    <w:rsid w:val="7901DED6"/>
    <w:rsid w:val="7B31FC76"/>
    <w:rsid w:val="7EB4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659"/>
  <w15:docId w15:val="{270FA77C-CB20-47F0-941E-D7D4F76E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83"/>
    <w:pPr>
      <w:spacing w:after="200" w:line="276" w:lineRule="auto"/>
    </w:pPr>
    <w:rPr>
      <w:rFonts w:ascii="Cambria" w:eastAsia="Times New Roman" w:hAnsi="Cambria" w:cs="DokChamp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83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83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83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83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83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83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83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83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83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83"/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83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83"/>
    <w:rPr>
      <w:rFonts w:asciiTheme="majorHAnsi" w:eastAsiaTheme="majorEastAsia" w:hAnsiTheme="majorHAnsi" w:cstheme="majorBidi"/>
      <w:i/>
      <w:iCs/>
      <w:color w:val="1F3763" w:themeColor="accent1" w:themeShade="7F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aliases w:val="ERP-List Paragraph,List Paragraph1,List Paragraph11,Numbering,List Paragraph Red,Bullet EY,List Paragraph2,Bullet,TIIS - Bullet Style (Level 1),VKTI - text numbering,Normal bullet 2,Paragraph,List L1,List not in Table,List Paragraph21,lp1"/>
    <w:basedOn w:val="Normal"/>
    <w:link w:val="ListParagraphChar"/>
    <w:uiPriority w:val="34"/>
    <w:qFormat/>
    <w:rsid w:val="000F6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83"/>
    <w:rPr>
      <w:rFonts w:ascii="Cambria" w:eastAsia="Times New Roman" w:hAnsi="Cambria" w:cs="DokChampa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F6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 w:bidi="ar-SA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FE"/>
    <w:rPr>
      <w:rFonts w:ascii="Cambria" w:eastAsia="Times New Roman" w:hAnsi="Cambria" w:cs="DokChampa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08088D"/>
    <w:pPr>
      <w:spacing w:after="0" w:line="240" w:lineRule="auto"/>
    </w:pPr>
    <w:rPr>
      <w:rFonts w:ascii="Cambria" w:eastAsia="Times New Roman" w:hAnsi="Cambria" w:cs="DokChampa"/>
      <w:lang w:val="en-US" w:bidi="en-US"/>
    </w:rPr>
  </w:style>
  <w:style w:type="character" w:styleId="Hyperlink">
    <w:name w:val="Hyperlink"/>
    <w:aliases w:val="Alna"/>
    <w:rsid w:val="004747C4"/>
    <w:rPr>
      <w:color w:val="0000FF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let Char,TIIS - Bullet Style (Level 1) Char,VKTI - text numbering Char,Paragraph Char"/>
    <w:link w:val="ListParagraph"/>
    <w:uiPriority w:val="34"/>
    <w:qFormat/>
    <w:locked/>
    <w:rsid w:val="004747C4"/>
    <w:rPr>
      <w:rFonts w:ascii="Cambria" w:eastAsia="Times New Roman" w:hAnsi="Cambria" w:cs="DokChampa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C4"/>
    <w:pPr>
      <w:spacing w:after="0" w:line="240" w:lineRule="auto"/>
    </w:pPr>
    <w:rPr>
      <w:rFonts w:ascii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747C4"/>
    <w:rPr>
      <w:vertAlign w:val="superscript"/>
    </w:rPr>
  </w:style>
  <w:style w:type="table" w:styleId="TableGrid">
    <w:name w:val="Table Grid"/>
    <w:basedOn w:val="TableNormal"/>
    <w:uiPriority w:val="39"/>
    <w:rsid w:val="0053079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E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E01C9"/>
    <w:rPr>
      <w:rFonts w:asciiTheme="majorHAnsi" w:eastAsiaTheme="majorEastAsia" w:hAnsiTheme="majorHAnsi" w:cstheme="majorBidi"/>
      <w:spacing w:val="-10"/>
      <w:kern w:val="28"/>
      <w:sz w:val="28"/>
      <w:szCs w:val="56"/>
      <w:lang w:val="en-US"/>
    </w:rPr>
  </w:style>
  <w:style w:type="character" w:customStyle="1" w:styleId="normaltextrun">
    <w:name w:val="normaltextrun"/>
    <w:basedOn w:val="DefaultParagraphFont"/>
    <w:rsid w:val="009F3E93"/>
  </w:style>
  <w:style w:type="character" w:customStyle="1" w:styleId="eop">
    <w:name w:val="eop"/>
    <w:basedOn w:val="DefaultParagraphFont"/>
    <w:rsid w:val="009F3E93"/>
  </w:style>
  <w:style w:type="character" w:styleId="FollowedHyperlink">
    <w:name w:val="FollowedHyperlink"/>
    <w:basedOn w:val="DefaultParagraphFont"/>
    <w:uiPriority w:val="99"/>
    <w:semiHidden/>
    <w:unhideWhenUsed/>
    <w:rsid w:val="009F3E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6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9733A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0B85"/>
    <w:pPr>
      <w:spacing w:after="120" w:line="480" w:lineRule="auto"/>
      <w:ind w:left="360"/>
    </w:pPr>
    <w:rPr>
      <w:rFonts w:asciiTheme="minorHAnsi" w:eastAsiaTheme="minorEastAsia" w:hAnsiTheme="minorHAnsi" w:cstheme="minorBidi"/>
      <w:lang w:val="lt-LT" w:eastAsia="lt-LT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0B85"/>
    <w:rPr>
      <w:rFonts w:eastAsiaTheme="minorEastAsia"/>
      <w:lang w:eastAsia="lt-LT"/>
    </w:rPr>
  </w:style>
  <w:style w:type="table" w:customStyle="1" w:styleId="TableGrid3">
    <w:name w:val="Table Grid3"/>
    <w:basedOn w:val="TableNormal"/>
    <w:next w:val="TableGrid"/>
    <w:uiPriority w:val="39"/>
    <w:rsid w:val="00420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20B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NoSpacing">
    <w:name w:val="No Spacing"/>
    <w:uiPriority w:val="1"/>
    <w:qFormat/>
    <w:rsid w:val="00420B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0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0B8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acle.com/database/data-gu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acle.com/database/enterprise-edition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acle.com/database/standard-edition-two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acle.com/contracts/docs/057419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acle.com/technetwork/oem/db-mgmt/ds-tuning-pack-db12-2-3350800.pdf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acle.com/technetwork/database/manageability/ds-diagnostics-pack-db12c-1964641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0C8C15B-EA72-4B5C-BED9-B15ED5286400}">
    <t:Anchor>
      <t:Comment id="926272716"/>
    </t:Anchor>
    <t:History>
      <t:Event id="{6D4C714E-4820-47CF-95F9-21B33E8DB492}" time="2026-05-29T09:51:43.579Z">
        <t:Attribution userId="S::rima.kabelinskiene@vssa.lt::47211b21-ab4a-40c0-b1cc-4070559890ad" userProvider="AD" userName="Rima Kabelinskienė"/>
        <t:Anchor>
          <t:Comment id="926272716"/>
        </t:Anchor>
        <t:Create/>
      </t:Event>
      <t:Event id="{216D0D7E-AB3C-46FB-B062-3AFDFAEFDB54}" time="2026-05-29T09:51:43.579Z">
        <t:Attribution userId="S::rima.kabelinskiene@vssa.lt::47211b21-ab4a-40c0-b1cc-4070559890ad" userProvider="AD" userName="Rima Kabelinskienė"/>
        <t:Anchor>
          <t:Comment id="926272716"/>
        </t:Anchor>
        <t:Assign userId="S::dimitrian.kondrasov@vssa.lt::40cd2da3-423c-4e0f-a865-836629de610c" userProvider="AD" userName="Dimitrian Kondrašov"/>
      </t:Event>
      <t:Event id="{78A92616-5A18-4BC0-9910-989CE1B18872}" time="2026-05-29T09:51:43.579Z">
        <t:Attribution userId="S::rima.kabelinskiene@vssa.lt::47211b21-ab4a-40c0-b1cc-4070559890ad" userProvider="AD" userName="Rima Kabelinskienė"/>
        <t:Anchor>
          <t:Comment id="926272716"/>
        </t:Anchor>
        <t:SetTitle title="@Dimitrian Kondrašov man abu šie punktai lyg kalba apie tą patį, t.y mintis jų abiejų atrodo vienoda, nebent galimas naudotis naujausiomis versijomis be atsiuntimo kažkaip"/>
      </t:Event>
      <t:Event id="{74D07086-2801-46D1-9B94-BF671AA27033}" time="2026-05-29T13:27:53.097Z">
        <t:Attribution userId="S::rima.kabelinskiene@vssa.lt::47211b21-ab4a-40c0-b1cc-4070559890ad" userProvider="AD" userName="Rima Kabelinskienė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4ED16-2B88-4944-BC6E-D3818DDC3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9F62D-3DE5-442F-9E4C-C16F9A54C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193AD-B7B5-4B71-B97E-8E3F25938486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35B245EE-E5D4-4359-916D-392C43AC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924989-90d8-4afb-9691-e275f2526034}" enabled="1" method="Standard" siteId="{6ecd76c4-b9cd-4722-996c-a05b58cf4172}" removed="0"/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Links>
    <vt:vector size="36" baseType="variant">
      <vt:variant>
        <vt:i4>6488122</vt:i4>
      </vt:variant>
      <vt:variant>
        <vt:i4>15</vt:i4>
      </vt:variant>
      <vt:variant>
        <vt:i4>0</vt:i4>
      </vt:variant>
      <vt:variant>
        <vt:i4>5</vt:i4>
      </vt:variant>
      <vt:variant>
        <vt:lpwstr>https://www.oracle.com/database/standard-edition-two/index.html</vt:lpwstr>
      </vt:variant>
      <vt:variant>
        <vt:lpwstr/>
      </vt:variant>
      <vt:variant>
        <vt:i4>1376261</vt:i4>
      </vt:variant>
      <vt:variant>
        <vt:i4>12</vt:i4>
      </vt:variant>
      <vt:variant>
        <vt:i4>0</vt:i4>
      </vt:variant>
      <vt:variant>
        <vt:i4>5</vt:i4>
      </vt:variant>
      <vt:variant>
        <vt:lpwstr>https://www.oracle.com/technetwork/oem/db-mgmt/ds-tuning-pack-db12-2-3350800.pdf</vt:lpwstr>
      </vt:variant>
      <vt:variant>
        <vt:lpwstr/>
      </vt:variant>
      <vt:variant>
        <vt:i4>6553640</vt:i4>
      </vt:variant>
      <vt:variant>
        <vt:i4>9</vt:i4>
      </vt:variant>
      <vt:variant>
        <vt:i4>0</vt:i4>
      </vt:variant>
      <vt:variant>
        <vt:i4>5</vt:i4>
      </vt:variant>
      <vt:variant>
        <vt:lpwstr>https://www.oracle.com/technetwork/database/manageability/ds-diagnostics-pack-db12c-1964641.pdf</vt:lpwstr>
      </vt:variant>
      <vt:variant>
        <vt:lpwstr/>
      </vt:variant>
      <vt:variant>
        <vt:i4>8257650</vt:i4>
      </vt:variant>
      <vt:variant>
        <vt:i4>6</vt:i4>
      </vt:variant>
      <vt:variant>
        <vt:i4>0</vt:i4>
      </vt:variant>
      <vt:variant>
        <vt:i4>5</vt:i4>
      </vt:variant>
      <vt:variant>
        <vt:lpwstr>https://www.oracle.com/database/data-guard/</vt:lpwstr>
      </vt:variant>
      <vt:variant>
        <vt:lpwstr/>
      </vt:variant>
      <vt:variant>
        <vt:i4>1048582</vt:i4>
      </vt:variant>
      <vt:variant>
        <vt:i4>3</vt:i4>
      </vt:variant>
      <vt:variant>
        <vt:i4>0</vt:i4>
      </vt:variant>
      <vt:variant>
        <vt:i4>5</vt:i4>
      </vt:variant>
      <vt:variant>
        <vt:lpwstr>https://www.oracle.com/database/enterprise-edition/index.html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https://www.oracle.com/contracts/docs/057419.pdf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Kabelinskienė</dc:creator>
  <cp:keywords/>
  <dc:description/>
  <cp:lastModifiedBy>Rima Kabelinskienė</cp:lastModifiedBy>
  <cp:revision>2</cp:revision>
  <dcterms:created xsi:type="dcterms:W3CDTF">2026-06-02T04:48:00Z</dcterms:created>
  <dcterms:modified xsi:type="dcterms:W3CDTF">2026-06-02T04:48:00Z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0x010100DA648B1A776C2F4E8137608B251F3E7E</vt:lpwstr>
  </property>
  <property fmtid="{D5CDD505-2E9C-101B-9397-08002B2CF9AE}" pid="4" name="docLang">
    <vt:lpwstr>lt</vt:lpwstr>
  </property>
</Properties>
</file>