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eastAsia="Calibri" w:cs="Arial" w:ascii="Arial" w:hAnsi="Arial" w:eastAsiaTheme="minorHAnsi"/>
          <w:b/>
          <w:bCs/>
          <w:color w:val="auto"/>
          <w:kern w:val="0"/>
          <w:sz w:val="22"/>
          <w:szCs w:val="22"/>
          <w:lang w:val="lt-LT" w:eastAsia="en-US" w:bidi="ar-SA"/>
        </w:rPr>
        <w:t>GNSS MATAVIMO PRIETAISŲ</w:t>
      </w:r>
      <w:r>
        <w:rPr>
          <w:rFonts w:cs="Arial" w:ascii="Arial" w:hAnsi="Arial"/>
          <w:b/>
          <w:bCs/>
        </w:rPr>
        <w:t xml:space="preserve"> PIRKIMO TECHNINĖ SPECIFIKACIJA</w:t>
      </w:r>
    </w:p>
    <w:p>
      <w:pPr>
        <w:pStyle w:val="Normal"/>
        <w:jc w:val="center"/>
        <w:rPr>
          <w:rFonts w:ascii="Arial" w:hAnsi="Arial" w:cs="Arial"/>
          <w:b/>
          <w:bCs/>
        </w:rPr>
      </w:pPr>
      <w:r>
        <w:rPr>
          <w:rFonts w:cs="Arial" w:ascii="Arial" w:hAnsi="Arial"/>
          <w:b/>
          <w:bCs/>
        </w:rPr>
      </w:r>
    </w:p>
    <w:p>
      <w:pPr>
        <w:pStyle w:val="ListParagraph"/>
        <w:numPr>
          <w:ilvl w:val="0"/>
          <w:numId w:val="1"/>
        </w:numPr>
        <w:tabs>
          <w:tab w:val="clear" w:pos="1296"/>
          <w:tab w:val="left" w:pos="851" w:leader="none"/>
        </w:tabs>
        <w:ind w:firstLine="567" w:left="0"/>
        <w:jc w:val="both"/>
        <w:rPr>
          <w:rFonts w:ascii="Arial" w:hAnsi="Arial" w:cs="Arial"/>
          <w:b/>
          <w:bCs/>
        </w:rPr>
      </w:pPr>
      <w:r>
        <w:rPr>
          <w:rFonts w:cs="Arial" w:ascii="Arial" w:hAnsi="Arial"/>
          <w:b/>
          <w:bCs/>
        </w:rPr>
        <w:t>PIRKIMO OBJEKTAS</w:t>
      </w:r>
    </w:p>
    <w:p>
      <w:pPr>
        <w:pStyle w:val="ListParagraph"/>
        <w:numPr>
          <w:ilvl w:val="1"/>
          <w:numId w:val="1"/>
        </w:numPr>
        <w:tabs>
          <w:tab w:val="clear" w:pos="1296"/>
          <w:tab w:val="left" w:pos="851" w:leader="none"/>
          <w:tab w:val="left" w:pos="993" w:leader="none"/>
        </w:tabs>
        <w:ind w:firstLine="567" w:left="0"/>
        <w:jc w:val="both"/>
        <w:rPr>
          <w:rFonts w:ascii="Arial" w:hAnsi="Arial" w:cs="Arial"/>
        </w:rPr>
      </w:pPr>
      <w:r>
        <w:rPr>
          <w:rFonts w:cs="Arial" w:ascii="Arial" w:hAnsi="Arial"/>
        </w:rPr>
        <w:t>Pirkimo objektas – visuotinės navigacijos ir padėties nustatymo įrenginiai (toliau – GPS/Prekės).</w:t>
      </w:r>
    </w:p>
    <w:p>
      <w:pPr>
        <w:pStyle w:val="ListParagraph"/>
        <w:numPr>
          <w:ilvl w:val="1"/>
          <w:numId w:val="1"/>
        </w:numPr>
        <w:tabs>
          <w:tab w:val="clear" w:pos="1296"/>
          <w:tab w:val="left" w:pos="851" w:leader="none"/>
          <w:tab w:val="left" w:pos="993" w:leader="none"/>
        </w:tabs>
        <w:ind w:firstLine="567" w:left="0"/>
        <w:jc w:val="both"/>
        <w:rPr>
          <w:rFonts w:ascii="Arial" w:hAnsi="Arial" w:cs="Arial"/>
        </w:rPr>
      </w:pPr>
      <w:r>
        <w:rPr>
          <w:rFonts w:cs="Arial" w:ascii="Arial" w:hAnsi="Arial"/>
        </w:rPr>
        <w:t>BVPŽ kodas – 38112100-4 (Visuotinės navigacinės ir padėties nustatymo sistemos (GPS arba lygiavertės).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41"/>
        <w:gridCol w:w="6449"/>
        <w:gridCol w:w="1419"/>
        <w:gridCol w:w="1228"/>
      </w:tblGrid>
      <w:tr>
        <w:trPr/>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cs="Arial"/>
                <w:b/>
                <w:color w:val="FF0000"/>
              </w:rPr>
            </w:pPr>
            <w:r>
              <w:rPr>
                <w:rFonts w:cs="Arial" w:ascii="Arial" w:hAnsi="Arial"/>
                <w:b/>
              </w:rPr>
              <w:t>Eil. Nr.</w:t>
            </w:r>
          </w:p>
        </w:tc>
        <w:tc>
          <w:tcPr>
            <w:tcW w:w="644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cs="Arial"/>
                <w:b/>
              </w:rPr>
            </w:pPr>
            <w:r>
              <w:rPr>
                <w:rFonts w:cs="Arial" w:ascii="Arial" w:hAnsi="Arial"/>
                <w:b/>
              </w:rPr>
              <w:t>Pavadinimas</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eastAsia="Times New Roman" w:cs="Arial"/>
                <w:b/>
              </w:rPr>
            </w:pPr>
            <w:r>
              <w:rPr>
                <w:rFonts w:cs="Arial" w:ascii="Arial" w:hAnsi="Arial"/>
                <w:b/>
              </w:rPr>
              <w:t>Kiekis</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eastAsia="Times New Roman" w:cs="Arial"/>
                <w:b/>
              </w:rPr>
            </w:pPr>
            <w:r>
              <w:rPr>
                <w:rFonts w:eastAsia="Times New Roman" w:cs="Arial" w:ascii="Arial" w:hAnsi="Arial"/>
                <w:b/>
              </w:rPr>
              <w:t>Matavimo vnt.</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cs="Arial"/>
              </w:rPr>
            </w:pPr>
            <w:r>
              <w:rPr>
                <w:rFonts w:cs="Arial" w:ascii="Arial" w:hAnsi="Arial"/>
              </w:rPr>
              <w:t>1.</w:t>
            </w:r>
          </w:p>
        </w:tc>
        <w:tc>
          <w:tcPr>
            <w:tcW w:w="6449" w:type="dxa"/>
            <w:tcBorders>
              <w:top w:val="single" w:sz="4" w:space="0" w:color="000000"/>
              <w:left w:val="single" w:sz="4" w:space="0" w:color="000000"/>
              <w:bottom w:val="single" w:sz="4" w:space="0" w:color="000000"/>
              <w:right w:val="single" w:sz="4" w:space="0" w:color="000000"/>
            </w:tcBorders>
            <w:vAlign w:val="bottom"/>
          </w:tcPr>
          <w:p>
            <w:pPr>
              <w:pStyle w:val="Normal"/>
              <w:spacing w:before="60" w:after="60"/>
              <w:rPr>
                <w:rFonts w:ascii="Arial" w:hAnsi="Arial" w:cs="Arial"/>
              </w:rPr>
            </w:pPr>
            <w:r>
              <w:rPr>
                <w:rFonts w:cs="Arial" w:ascii="Arial" w:hAnsi="Arial"/>
              </w:rPr>
              <w:t>GNSS prietaisas (GPS)</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eastAsia="Times New Roman" w:cs="Arial"/>
              </w:rPr>
            </w:pPr>
            <w:r>
              <w:rPr>
                <w:rFonts w:eastAsia="Times New Roman" w:cs="Arial" w:ascii="Arial" w:hAnsi="Arial"/>
              </w:rPr>
              <w:t>26</w:t>
            </w:r>
          </w:p>
        </w:tc>
        <w:tc>
          <w:tcPr>
            <w:tcW w:w="122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eastAsia="Times New Roman" w:cs="Arial"/>
              </w:rPr>
            </w:pPr>
            <w:r>
              <w:rPr>
                <w:rFonts w:eastAsia="Times New Roman" w:cs="Arial" w:ascii="Arial" w:hAnsi="Arial"/>
              </w:rPr>
              <w:t>vnt.</w:t>
            </w:r>
          </w:p>
        </w:tc>
      </w:tr>
    </w:tbl>
    <w:p>
      <w:pPr>
        <w:pStyle w:val="Normal"/>
        <w:tabs>
          <w:tab w:val="clear" w:pos="1296"/>
          <w:tab w:val="left" w:pos="851" w:leader="none"/>
          <w:tab w:val="left" w:pos="993" w:leader="none"/>
        </w:tabs>
        <w:jc w:val="both"/>
        <w:rPr>
          <w:rFonts w:ascii="Arial" w:hAnsi="Arial" w:cs="Arial"/>
        </w:rPr>
      </w:pPr>
      <w:r>
        <w:rPr>
          <w:rFonts w:cs="Arial" w:ascii="Arial" w:hAnsi="Arial"/>
        </w:rPr>
      </w:r>
    </w:p>
    <w:p>
      <w:pPr>
        <w:pStyle w:val="ListParagraph"/>
        <w:tabs>
          <w:tab w:val="clear" w:pos="1296"/>
          <w:tab w:val="left" w:pos="851" w:leader="none"/>
        </w:tabs>
        <w:ind w:firstLine="567" w:left="0"/>
        <w:jc w:val="both"/>
        <w:rPr>
          <w:rFonts w:ascii="Arial" w:hAnsi="Arial" w:cs="Arial"/>
        </w:rPr>
      </w:pPr>
      <w:r>
        <w:rPr>
          <w:rFonts w:cs="Arial" w:ascii="Arial" w:hAnsi="Arial"/>
        </w:rPr>
      </w:r>
    </w:p>
    <w:p>
      <w:pPr>
        <w:pStyle w:val="ListParagraph"/>
        <w:numPr>
          <w:ilvl w:val="0"/>
          <w:numId w:val="1"/>
        </w:numPr>
        <w:tabs>
          <w:tab w:val="clear" w:pos="1296"/>
          <w:tab w:val="left" w:pos="851" w:leader="none"/>
        </w:tabs>
        <w:ind w:firstLine="567" w:left="0"/>
        <w:jc w:val="both"/>
        <w:rPr>
          <w:rFonts w:ascii="Arial" w:hAnsi="Arial" w:cs="Arial"/>
          <w:b/>
          <w:bCs/>
        </w:rPr>
      </w:pPr>
      <w:r>
        <w:rPr>
          <w:rFonts w:cs="Arial" w:ascii="Arial" w:hAnsi="Arial"/>
          <w:b/>
          <w:bCs/>
        </w:rPr>
        <w:t>PIRKIMO OBJEKTO PRITAIKYMO SRITIS</w:t>
      </w:r>
    </w:p>
    <w:p>
      <w:pPr>
        <w:pStyle w:val="ListParagraph"/>
        <w:tabs>
          <w:tab w:val="clear" w:pos="1296"/>
          <w:tab w:val="left" w:pos="851" w:leader="none"/>
        </w:tabs>
        <w:ind w:firstLine="567" w:left="0"/>
        <w:jc w:val="both"/>
        <w:rPr>
          <w:rFonts w:ascii="Arial" w:hAnsi="Arial" w:cs="Arial"/>
        </w:rPr>
      </w:pPr>
      <w:r>
        <w:rPr>
          <w:rFonts w:cs="Arial" w:ascii="Arial" w:hAnsi="Arial"/>
        </w:rPr>
        <w:t>GPS įrenginiai su programine įranga skirti miškų įveisimo plotų/ribinių linijų nustatymui bei GIS medžiagos paruošimui. Įranga reikalinga VĮ Valstybinių miškų urėdijos (toliau – VMU / Perkančioji organizacija) regioninių padalinių specialistams.</w:t>
      </w:r>
    </w:p>
    <w:p>
      <w:pPr>
        <w:pStyle w:val="ListParagraph"/>
        <w:tabs>
          <w:tab w:val="clear" w:pos="1296"/>
          <w:tab w:val="left" w:pos="851" w:leader="none"/>
        </w:tabs>
        <w:ind w:firstLine="567" w:left="0"/>
        <w:jc w:val="both"/>
        <w:rPr>
          <w:rFonts w:ascii="Arial" w:hAnsi="Arial" w:cs="Arial"/>
        </w:rPr>
      </w:pPr>
      <w:r>
        <w:rPr>
          <w:rFonts w:cs="Arial" w:ascii="Arial" w:hAnsi="Arial"/>
        </w:rPr>
      </w:r>
    </w:p>
    <w:p>
      <w:pPr>
        <w:pStyle w:val="ListParagraph"/>
        <w:numPr>
          <w:ilvl w:val="0"/>
          <w:numId w:val="1"/>
        </w:numPr>
        <w:tabs>
          <w:tab w:val="clear" w:pos="1296"/>
          <w:tab w:val="left" w:pos="851" w:leader="none"/>
        </w:tabs>
        <w:ind w:firstLine="567" w:left="0"/>
        <w:jc w:val="both"/>
        <w:rPr>
          <w:rFonts w:ascii="Arial" w:hAnsi="Arial" w:cs="Arial"/>
          <w:b/>
          <w:bCs/>
        </w:rPr>
      </w:pPr>
      <w:r>
        <w:rPr>
          <w:rFonts w:cs="Arial" w:ascii="Arial" w:hAnsi="Arial"/>
          <w:b/>
          <w:bCs/>
        </w:rPr>
        <w:t>TECHNINIAI REIKALAVIMAI, KURIUOS TURI ATITIKTI PERKAMOS PREKĖS</w:t>
      </w:r>
    </w:p>
    <w:p>
      <w:pPr>
        <w:pStyle w:val="ListParagraph"/>
        <w:tabs>
          <w:tab w:val="clear" w:pos="1296"/>
          <w:tab w:val="left" w:pos="851" w:leader="none"/>
        </w:tabs>
        <w:ind w:firstLine="567" w:left="0"/>
        <w:jc w:val="both"/>
        <w:rPr>
          <w:rFonts w:ascii="Arial" w:hAnsi="Arial" w:cs="Arial"/>
        </w:rPr>
      </w:pPr>
      <w:r>
        <w:rPr>
          <w:rFonts w:cs="Arial" w:ascii="Arial" w:hAnsi="Arial"/>
        </w:rPr>
        <w:t xml:space="preserve"> </w:t>
      </w:r>
    </w:p>
    <w:p>
      <w:pPr>
        <w:pStyle w:val="ListParagraph"/>
        <w:tabs>
          <w:tab w:val="clear" w:pos="1296"/>
          <w:tab w:val="left" w:pos="851" w:leader="none"/>
        </w:tabs>
        <w:ind w:firstLine="567" w:left="0"/>
        <w:jc w:val="both"/>
        <w:rPr>
          <w:rFonts w:ascii="Arial" w:hAnsi="Arial" w:cs="Arial"/>
        </w:rPr>
      </w:pPr>
      <w:r>
        <w:rPr>
          <w:rFonts w:cs="Arial" w:ascii="Arial" w:hAnsi="Arial"/>
        </w:rPr>
        <w:t xml:space="preserve">3.1. </w:t>
      </w:r>
      <w:r>
        <w:rPr>
          <w:rFonts w:cs="Arial" w:ascii="Arial" w:hAnsi="Arial"/>
          <w:u w:val="single"/>
        </w:rPr>
        <w:t>Perkančioji organizacija numato atlikti galimo laimėtojo siūlomų GPS įrenginių komplektų matavimo tikslumo miške bandomąjį testavimą</w:t>
      </w:r>
      <w:r>
        <w:rPr>
          <w:rFonts w:cs="Arial" w:ascii="Arial" w:hAnsi="Arial"/>
        </w:rPr>
        <w:t>.</w:t>
      </w:r>
      <w:r>
        <w:rPr/>
        <w:t xml:space="preserve"> </w:t>
      </w:r>
      <w:r>
        <w:rPr>
          <w:rFonts w:cs="Arial" w:ascii="Arial" w:hAnsi="Arial"/>
        </w:rPr>
        <w:t>Bandomojo testavimo metu galima naudoti tik LitPos korekcijų paslaugas, kurios bus naudojamos kartu su įranga. Bandomojo testavimo rezultatai turi tenkinti žemiau nurodytus visus lentelėje „Reikalavimai įrenginio bandomojo testavimo rezultatams“ nurodytus reikalavimus. Bandomojo testavimo metu Perkančiosios organizacijos atstovas, dalyvaujant Tiekėjo atstovui (apie įrenginių bandomojo testavimo laiką Perkančioji organizacija Tiekėjui praneš atskiru pranešimu), turės atlikti iš anksto pažymėtų geodezinių taškų (preliminarus matavimo taškų skaičius apie 10 vnt.) GPS koordinačių matavimus. Matavimo/testavimo rezultatai turi būti pateikti .shp bylos formatu. Vieno taško matavimui bus skiriama ne daugiau 2 minučių. Bandomasis testavimas turi būti pradėtas ne vėliau kaip per 30 kalendorinių dienų nuo galimo laimėtojo nustatymo. Bandomojo testavimo rezultatai fiksuojami bandomojo testavimo metu, rezultatus raštu patvirtinant VMU ir galimo laimėtojo atstovams.</w:t>
      </w:r>
    </w:p>
    <w:tbl>
      <w:tblPr>
        <w:tblW w:w="5000" w:type="pct"/>
        <w:jc w:val="left"/>
        <w:tblInd w:w="-5" w:type="dxa"/>
        <w:tblLayout w:type="fixed"/>
        <w:tblCellMar>
          <w:top w:w="0" w:type="dxa"/>
          <w:left w:w="108" w:type="dxa"/>
          <w:bottom w:w="0" w:type="dxa"/>
          <w:right w:w="108" w:type="dxa"/>
        </w:tblCellMar>
        <w:tblLook w:firstRow="1" w:noVBand="0" w:lastRow="1" w:firstColumn="0" w:lastColumn="1" w:noHBand="0" w:val="0160"/>
      </w:tblPr>
      <w:tblGrid>
        <w:gridCol w:w="2495"/>
        <w:gridCol w:w="7142"/>
      </w:tblGrid>
      <w:tr>
        <w:trPr>
          <w:trHeight w:val="738" w:hRule="atLeast"/>
          <w:cantSplit w:val="true"/>
        </w:trPr>
        <w:tc>
          <w:tcPr>
            <w:tcW w:w="2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Arial" w:hAnsi="Arial" w:cs="Arial"/>
              </w:rPr>
            </w:pPr>
            <w:r>
              <w:rPr>
                <w:rFonts w:cs="Arial" w:ascii="Arial" w:hAnsi="Arial"/>
              </w:rPr>
              <w:t>Reikalavimai įrenginio testavimo rezultatams</w:t>
            </w:r>
          </w:p>
        </w:tc>
        <w:tc>
          <w:tcPr>
            <w:tcW w:w="7142" w:type="dxa"/>
            <w:tcBorders>
              <w:top w:val="single" w:sz="4" w:space="0" w:color="000000"/>
              <w:left w:val="single" w:sz="4" w:space="0" w:color="000000"/>
              <w:bottom w:val="single" w:sz="4" w:space="0" w:color="000000"/>
              <w:right w:val="single" w:sz="4" w:space="0" w:color="000000"/>
            </w:tcBorders>
          </w:tcPr>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eastAsia="Calibri" w:cs="Arial"/>
                <w:iCs/>
              </w:rPr>
            </w:pPr>
            <w:r>
              <w:rPr>
                <w:rFonts w:eastAsia="Calibri" w:cs="Arial" w:ascii="Arial" w:hAnsi="Arial"/>
                <w:iCs/>
              </w:rPr>
              <w:t>Bandomojo testavimo metu atliktų matavimo taškų rezultatų paklaida mažesnė arba lygi 1.5 metro turi būti ne mažiau kaip 90 proc. (procentas nuo visų matavimo taškų);</w:t>
            </w:r>
          </w:p>
        </w:tc>
      </w:tr>
      <w:tr>
        <w:trPr>
          <w:trHeight w:val="821" w:hRule="atLeast"/>
          <w:cantSplit w:val="true"/>
        </w:trPr>
        <w:tc>
          <w:tcPr>
            <w:tcW w:w="249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714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eastAsia="Calibri" w:cs="Arial" w:ascii="Arial" w:hAnsi="Arial"/>
                <w:iCs/>
              </w:rPr>
              <w:t>Bandomojo testavimo metu  atliktų matavimo taškų rezultatų paklaida mažesnė arba lygi 0.6 metro turi būti ne mažiau kaip 80 proc. (procentas nuo visų matavimo taškų);</w:t>
            </w:r>
          </w:p>
        </w:tc>
      </w:tr>
      <w:tr>
        <w:trPr>
          <w:trHeight w:val="427" w:hRule="atLeast"/>
          <w:cantSplit w:val="true"/>
        </w:trPr>
        <w:tc>
          <w:tcPr>
            <w:tcW w:w="249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7142" w:type="dxa"/>
            <w:tcBorders>
              <w:top w:val="single" w:sz="4" w:space="0" w:color="000000"/>
              <w:left w:val="single" w:sz="4" w:space="0" w:color="000000"/>
              <w:bottom w:val="single" w:sz="4" w:space="0" w:color="000000"/>
              <w:right w:val="single" w:sz="4" w:space="0" w:color="000000"/>
            </w:tcBorders>
          </w:tcPr>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eastAsia="Calibri" w:cs="Arial"/>
                <w:iCs/>
              </w:rPr>
            </w:pPr>
            <w:r>
              <w:rPr>
                <w:rFonts w:eastAsia="Calibri" w:cs="Arial" w:ascii="Arial" w:hAnsi="Arial"/>
                <w:iCs/>
              </w:rPr>
              <w:t>Bandomojo testavimo metu atliktų matavimo taškų rezultatų paklaida negali būti didesnė kaip 2 metrai.</w:t>
            </w:r>
          </w:p>
        </w:tc>
      </w:tr>
    </w:tbl>
    <w:p>
      <w:pPr>
        <w:pStyle w:val="ListParagraph"/>
        <w:numPr>
          <w:ilvl w:val="2"/>
          <w:numId w:val="1"/>
        </w:numPr>
        <w:rPr>
          <w:rFonts w:ascii="Arial" w:hAnsi="Arial" w:cs="Arial"/>
        </w:rPr>
      </w:pPr>
      <w:r>
        <w:rPr>
          <w:rFonts w:cs="Arial" w:ascii="Arial" w:hAnsi="Arial"/>
        </w:rPr>
        <w:t>Pasiūlymas laikomas tinkamu, jei bandomojo testo metu įrodoma, kad pirkimo objektas atitinka visus techninės specifikacijos reikalavimus.</w:t>
      </w:r>
      <w:r>
        <w:rPr/>
        <w:t xml:space="preserve"> </w:t>
      </w:r>
      <w:r>
        <w:rPr>
          <w:rFonts w:cs="Arial" w:ascii="Arial" w:hAnsi="Arial"/>
        </w:rPr>
        <w:t>Jeigu nustatoma, kad Tiekėjo siūlomas prikimo objektas neatitinka ar iš dalies  neatitinka Techninės specifikacijos reikalavimus, toks Tiekėjo pasiūlymas bus atmetamas.</w:t>
      </w:r>
    </w:p>
    <w:p>
      <w:pPr>
        <w:pStyle w:val="ListParagraph"/>
        <w:numPr>
          <w:ilvl w:val="2"/>
          <w:numId w:val="1"/>
        </w:numPr>
        <w:rPr>
          <w:rFonts w:ascii="Arial" w:hAnsi="Arial" w:cs="Arial"/>
        </w:rPr>
      </w:pPr>
      <w:r>
        <w:rPr>
          <w:rFonts w:cs="Arial" w:ascii="Arial" w:hAnsi="Arial"/>
        </w:rPr>
        <w:t>Bandomojo testavimo metu nustatyti neatitikimai techniniams reikalavimams ir Pirkėjo  paklausimai bus abiejų šalių protokoluojami.</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r>
        <w:rPr>
          <w:rFonts w:cs="Arial" w:ascii="Arial" w:hAnsi="Arial"/>
        </w:rPr>
        <w:t>3.2. Prekės turi būti naujos, pagaminimo data ne senesnė nei 2 m. nuo sutarties pasirašymo datos, sukomplektuotos, neturėti išorinių mechaninių ir kitų pažeidimų, paruoštos naudojimui.</w:t>
      </w:r>
    </w:p>
    <w:p>
      <w:pPr>
        <w:pStyle w:val="ListParagraph"/>
        <w:spacing w:before="0" w:after="0"/>
        <w:ind w:firstLine="567" w:left="0"/>
        <w:contextualSpacing/>
        <w:jc w:val="both"/>
        <w:rPr>
          <w:rFonts w:ascii="Arial" w:hAnsi="Arial" w:cs="Arial"/>
        </w:rPr>
      </w:pPr>
      <w:r>
        <w:rPr>
          <w:rFonts w:cs="Arial" w:ascii="Arial" w:hAnsi="Arial"/>
        </w:rPr>
        <w:t>3.3. Prekės turi atitikti techninius parametrus:</w:t>
      </w:r>
    </w:p>
    <w:tbl>
      <w:tblPr>
        <w:tblW w:w="5000" w:type="pct"/>
        <w:jc w:val="left"/>
        <w:tblInd w:w="-5" w:type="dxa"/>
        <w:tblLayout w:type="fixed"/>
        <w:tblCellMar>
          <w:top w:w="0" w:type="dxa"/>
          <w:left w:w="108" w:type="dxa"/>
          <w:bottom w:w="0" w:type="dxa"/>
          <w:right w:w="108" w:type="dxa"/>
        </w:tblCellMar>
        <w:tblLook w:firstRow="1" w:noVBand="0" w:lastRow="1" w:firstColumn="0" w:lastColumn="1" w:noHBand="0" w:val="0160"/>
      </w:tblPr>
      <w:tblGrid>
        <w:gridCol w:w="718"/>
        <w:gridCol w:w="2180"/>
        <w:gridCol w:w="639"/>
        <w:gridCol w:w="6100"/>
      </w:tblGrid>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b/>
                <w:bCs/>
              </w:rPr>
            </w:pPr>
            <w:r>
              <w:rPr>
                <w:rFonts w:cs="Arial" w:ascii="Arial" w:hAnsi="Arial"/>
                <w:b/>
                <w:bCs/>
              </w:rPr>
              <w:t>Eil. Nr.</w:t>
            </w:r>
          </w:p>
        </w:tc>
        <w:tc>
          <w:tcPr>
            <w:tcW w:w="218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b/>
                <w:bCs/>
              </w:rPr>
            </w:pPr>
            <w:r>
              <w:rPr>
                <w:rFonts w:cs="Arial" w:ascii="Arial" w:hAnsi="Arial"/>
                <w:b/>
                <w:bCs/>
              </w:rPr>
              <w:t>GPS komplekto dalis</w:t>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b/>
                <w:bCs/>
              </w:rPr>
            </w:pPr>
            <w:r>
              <w:rPr>
                <w:rFonts w:cs="Arial" w:ascii="Arial" w:hAnsi="Arial"/>
                <w:b/>
                <w:bCs/>
              </w:rPr>
            </w:r>
          </w:p>
        </w:tc>
        <w:tc>
          <w:tcPr>
            <w:tcW w:w="610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7006" w:leader="none"/>
              </w:tabs>
              <w:spacing w:before="0" w:after="0"/>
              <w:jc w:val="both"/>
              <w:rPr>
                <w:rFonts w:ascii="Arial" w:hAnsi="Arial" w:cs="Arial"/>
                <w:b/>
                <w:bCs/>
              </w:rPr>
            </w:pPr>
            <w:r>
              <w:rPr>
                <w:rFonts w:cs="Arial" w:ascii="Arial" w:hAnsi="Arial"/>
                <w:b/>
                <w:bCs/>
              </w:rPr>
              <w:t>Reikalaujami techniniai parametrai</w:t>
            </w:r>
          </w:p>
        </w:tc>
      </w:tr>
      <w:tr>
        <w:trPr/>
        <w:tc>
          <w:tcPr>
            <w:tcW w:w="71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bCs/>
              </w:rPr>
            </w:pPr>
            <w:r>
              <w:rPr>
                <w:rFonts w:cs="Arial" w:ascii="Arial" w:hAnsi="Arial"/>
                <w:bCs/>
              </w:rPr>
              <w:t>1.</w:t>
            </w:r>
          </w:p>
        </w:tc>
        <w:tc>
          <w:tcPr>
            <w:tcW w:w="218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bCs/>
              </w:rPr>
            </w:pPr>
            <w:r>
              <w:rPr>
                <w:rFonts w:cs="Arial" w:ascii="Arial" w:hAnsi="Arial"/>
                <w:bCs/>
              </w:rPr>
              <w:t>GPS imtuvas</w:t>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bCs/>
                <w:lang w:val="en-US"/>
              </w:rPr>
            </w:pPr>
            <w:r>
              <w:rPr>
                <w:rFonts w:cs="Arial" w:ascii="Arial" w:hAnsi="Arial"/>
                <w:bCs/>
                <w:lang w:val="en-US"/>
              </w:rPr>
              <w:t>1</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bCs/>
              </w:rPr>
            </w:pPr>
            <w:r>
              <w:rPr>
                <w:rFonts w:cs="Arial" w:ascii="Arial" w:hAnsi="Arial"/>
                <w:bCs/>
              </w:rPr>
              <w:t xml:space="preserve">• </w:t>
            </w:r>
            <w:r>
              <w:rPr>
                <w:rFonts w:cs="Arial" w:ascii="Arial" w:hAnsi="Arial"/>
                <w:bCs/>
              </w:rPr>
              <w:t>Nešiojamas „viskas viename“ (angl. All-in-one) tipo GNSS RTK imtuvas, skirtas didelio tikslumo matavimams realiu laiku.</w:t>
              <w:br/>
              <w:t xml:space="preserve">• </w:t>
            </w:r>
            <w:r>
              <w:rPr>
                <w:rFonts w:cs="Arial" w:ascii="Arial" w:hAnsi="Arial"/>
                <w:b/>
              </w:rPr>
              <w:t>SVARBU</w:t>
            </w:r>
            <w:r>
              <w:rPr>
                <w:rFonts w:cs="Arial" w:ascii="Arial" w:hAnsi="Arial"/>
                <w:bCs/>
              </w:rPr>
              <w:t xml:space="preserve">: Duomenų kaupiklis (valdiklis / planšetė) neperkamas. Imtuvas privalo pilnavertiškai veikti susiejus su naudotojo turimu išmaniuoju įrenginiu. Gamintojas privalo suteikti </w:t>
            </w:r>
            <w:r>
              <w:rPr>
                <w:rFonts w:cs="Arial" w:ascii="Arial" w:hAnsi="Arial"/>
                <w:b/>
              </w:rPr>
              <w:t>Neterminuotą licenciją</w:t>
            </w:r>
            <w:r>
              <w:rPr>
                <w:rFonts w:cs="Arial" w:ascii="Arial" w:hAnsi="Arial"/>
                <w:bCs/>
              </w:rPr>
              <w:t>: pačiam įrenginiui, jo tikslumui ir jo vidiniam RTK skaičiavimo varikliui privalo būti suteikiama neterminuota (nuolatinė) veikimo licencija be jokių papildomų prenumeratos ar aktyvacijos mokesčių.</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2</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bCs/>
              </w:rPr>
              <w:t xml:space="preserve">GPS imtuvas turi būti išorinis, statomas ≥ 2 m aukštyje ant kartelės su papildomu laikikliu SM-T575 planšetei </w:t>
            </w:r>
            <w:r>
              <w:rPr>
                <w:rFonts w:cs="Arial" w:ascii="Arial" w:hAnsi="Arial"/>
                <w:bCs/>
                <w:color w:val="FB0A2F"/>
              </w:rPr>
              <w:t>IR</w:t>
            </w:r>
            <w:r>
              <w:rPr>
                <w:rFonts w:cs="Arial" w:ascii="Arial" w:hAnsi="Arial"/>
                <w:bCs/>
              </w:rPr>
              <w:t xml:space="preserve"> matavimams pritaikyta kuprinė su atitinkamais laikikliais GNSS įrenginiui.</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3</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 xml:space="preserve">• </w:t>
            </w:r>
            <w:r>
              <w:rPr>
                <w:rFonts w:cs="Arial" w:ascii="Arial" w:hAnsi="Arial"/>
              </w:rPr>
              <w:t>Kelių dažnių ir kelių palydovinių sistemų (angl. Multi-frequency, multi-constellation) imtuvas..</w:t>
              <w:br/>
              <w:t>• Imtuvas privalo vienu metu palaikyti šias palydovines sistemas ir dažnius: GPS: L1, L2, L5, GALILEO: E1, E5, E6, BeiDou: B1, B2, B3, SBAS: L1, L5.</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4</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Padėties atnaujinimo dažnis (angl. Update rate): ne mažiau kaip 5 Hz.</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5</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Imtuvas privalo turėti galimybę priimti diferencialines pataisas visoms 3 reikalavime paminėtoms palydovinėms sistemoms.•</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6</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GPS imtuvo naudojamas kanalų skaičius – ne mažesnis nei 400.</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7</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Privalomas visiškas suderinamumas su „LitPOS“ tinklu naudojant NTRIP protokolus.</w:t>
            </w:r>
          </w:p>
          <w:p>
            <w:pPr>
              <w:pStyle w:val="Normal"/>
              <w:spacing w:before="0" w:after="0"/>
              <w:jc w:val="both"/>
              <w:rPr>
                <w:rFonts w:ascii="Arial" w:hAnsi="Arial" w:cs="Arial"/>
              </w:rPr>
            </w:pPr>
            <w:r>
              <w:rPr>
                <w:rFonts w:cs="Arial" w:ascii="Arial" w:hAnsi="Arial"/>
              </w:rPr>
              <w:t>Privalomas duomenų formatų palaikymas, įskaitant RTCM 3.4.</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8</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Galimybė priimti ir naudoti diferencines pataisas GPS, BEIDOU, GALILEO palydovams.</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9</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RTK (matavimo realiu laiku, gaunant pataisas iš tinklo) tikslumas turi būti ne prastesnis kaip: Horizontali padėtis: ne daugiau kaip 10 mm + 1 ppm RMS Vertikali padėtis: ne daugiau kaip 20 mm + 1 ppm RMS</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10</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Integruotas Bluetooth technologijos modulis ne žemesnės kaip 4.0 versijos</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11</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Imtuvas ir jo perduodamas NMEA duomenų srautas (per Bluetooth) privalo būti pilnai suderinamas ir sklandžiai veikti su atviro kodo „QField“ GIS matavimų programine įranga.</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12</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NTRIP pataisų gavimui ir tikslių koordinačių perdavimui į išmanųjį įrenginį privalo būti užtikrintas bent vienas iš šių būdų:</w:t>
              <w:br/>
              <w:t xml:space="preserve">1. Suderinamumas su trečiųjų šalių aplikacija „Lefebure NTRIP Client“;    </w:t>
            </w:r>
            <w:r>
              <w:rPr>
                <w:rFonts w:cs="Arial" w:ascii="Arial" w:hAnsi="Arial"/>
                <w:b/>
                <w:bCs/>
              </w:rPr>
              <w:t>ARBA</w:t>
            </w:r>
            <w:r>
              <w:rPr>
                <w:rFonts w:cs="Arial" w:ascii="Arial" w:hAnsi="Arial"/>
              </w:rPr>
              <w:t xml:space="preserve"> 2. Gamintojas privalo suteikti savo išmaniąją valdymo aplikaciją („Android“), kuri palaiko NTRIP konfigūravimą ir turi „Mock Location“ (fiktyvios vietovės) funkciją operacinės sistemos lygiu. Ši valdymo programinė įranga turi būti nemokama arba jos licencijos kaina privalo būti įskaičiuota į bendrą pasiūlymo kainą.</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13</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Darbinės aplinkos temperatūros intervalas ne blogiau kaip nuo -20˚C iki + 55˚C</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14</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Atsparumas vandeniui, dulkėms ne blogiau kaip IP67 pagal IEC 60529:1989 arba lygiavertį standartą.</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15</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Turi atlaikyti kritimą ant kieto paviršiaus iš ne mažiau kaip 1,2 m aukščio</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16</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Maksimalus GNSS imtuvo svoris ne daugiau 1,2 kg.</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17</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USB-C krovimo jungtis ar atskiros, greitai keičiamos montuojamos baterijos komplektuojamos su įkrovimo blokeliu, laidu</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18</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Integruotas arba keičiamas akumuliatorius, užtikrinantis ne mažiau kaip 8 valandų nepertraukiamą matavimą.</w:t>
            </w:r>
          </w:p>
        </w:tc>
      </w:tr>
      <w:tr>
        <w:trPr/>
        <w:tc>
          <w:tcPr>
            <w:tcW w:w="71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t>2.</w:t>
            </w:r>
          </w:p>
        </w:tc>
        <w:tc>
          <w:tcPr>
            <w:tcW w:w="218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Komplektuojami priedai</w:t>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w:t>
            </w:r>
          </w:p>
        </w:tc>
        <w:tc>
          <w:tcPr>
            <w:tcW w:w="6100"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before="0" w:after="0"/>
              <w:contextualSpacing/>
              <w:jc w:val="both"/>
              <w:rPr>
                <w:rFonts w:ascii="Arial" w:hAnsi="Arial" w:cs="Arial"/>
              </w:rPr>
            </w:pPr>
            <w:r>
              <w:rPr>
                <w:rFonts w:cs="Arial" w:ascii="Arial" w:hAnsi="Arial"/>
              </w:rPr>
              <w:t xml:space="preserve">Teleskopinė kompozitinio pluošto kartelė su ištraukiama aliuminio ar kompozitinio pluošto dalimi </w:t>
            </w:r>
            <w:r>
              <w:rPr>
                <w:rFonts w:cs="Arial" w:ascii="Arial" w:hAnsi="Arial"/>
                <w:bCs/>
              </w:rPr>
              <w:t xml:space="preserve">≥ 2 m. aukščio su pritaikytu 8.0″ planšetės laikikliu </w:t>
            </w:r>
            <w:r>
              <w:rPr>
                <w:rFonts w:cs="Arial" w:ascii="Arial" w:hAnsi="Arial"/>
                <w:b/>
              </w:rPr>
              <w:t>IR</w:t>
            </w:r>
          </w:p>
          <w:p>
            <w:pPr>
              <w:pStyle w:val="ListParagraph"/>
              <w:numPr>
                <w:ilvl w:val="0"/>
                <w:numId w:val="2"/>
              </w:numPr>
              <w:spacing w:before="0" w:after="0"/>
              <w:contextualSpacing/>
              <w:jc w:val="both"/>
              <w:rPr>
                <w:rFonts w:ascii="Arial" w:hAnsi="Arial" w:cs="Arial"/>
              </w:rPr>
            </w:pPr>
            <w:r>
              <w:rPr>
                <w:rFonts w:cs="Arial" w:ascii="Arial" w:hAnsi="Arial"/>
                <w:bCs/>
              </w:rPr>
              <w:t xml:space="preserve">Kuprinė su pritaikytais GNSS laikikliais naudojimui, užtikrinant pakankamą įrenginio aukštį (naudotojo kūnas/galva neužstoja dangaus skliauto). </w:t>
              <w:br/>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2</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GPS imtuvo  baterijų įkrovikliai/laidai užtikrinantys tinkamą įrenginių pakrovimą.</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3</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Pritaikyta įrangos transportavimui dėžė su GPS imtuvo tvirtinimo laikikliais.</w:t>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t>3.</w:t>
            </w:r>
          </w:p>
        </w:tc>
        <w:tc>
          <w:tcPr>
            <w:tcW w:w="2180"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t>Garantija</w:t>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GPS imtuvui turi būti teikiama ne mažiau kaip 2 (dviejų) metų garantija</w:t>
            </w:r>
          </w:p>
        </w:tc>
      </w:tr>
      <w:tr>
        <w:trPr/>
        <w:tc>
          <w:tcPr>
            <w:tcW w:w="71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t>4.</w:t>
            </w:r>
          </w:p>
        </w:tc>
        <w:tc>
          <w:tcPr>
            <w:tcW w:w="218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t>Mokymai ir techninė dokumentacija</w:t>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1</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Turi būti organizuoti mokymai su Perkančiąja organizacija  suderintu laiku ir būdu, pagal su Perkančiąja organizacija suderintą mokymo programą, mokymo medžiagos turinį ir jos apimtis. Mokymų medžiaga turi būti parengta lietuvių kalba, pateikta elektroninėje formoje spausdinimui pritaikytu formatu arba mokomųjų vaizdo filmų formatu.</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2</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Style w:val="fontstyle01"/>
              </w:rPr>
              <w:t>Mokymų metu įrangos teikėjas turi apmokyti naudotojus savarankiškai dirbti su įranga.</w:t>
            </w:r>
          </w:p>
        </w:tc>
      </w:tr>
      <w:tr>
        <w:trPr/>
        <w:tc>
          <w:tcPr>
            <w:tcW w:w="71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21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Arial" w:hAnsi="Arial" w:cs="Arial"/>
              </w:rPr>
            </w:pPr>
            <w:r>
              <w:rPr>
                <w:rFonts w:cs="Arial" w:ascii="Arial" w:hAnsi="Arial"/>
              </w:rPr>
            </w:r>
          </w:p>
        </w:tc>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Arial" w:hAnsi="Arial" w:cs="Arial"/>
              </w:rPr>
            </w:pPr>
            <w:r>
              <w:rPr>
                <w:rFonts w:cs="Arial" w:ascii="Arial" w:hAnsi="Arial"/>
              </w:rPr>
              <w:t>3</w:t>
            </w:r>
          </w:p>
        </w:tc>
        <w:tc>
          <w:tcPr>
            <w:tcW w:w="61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Style w:val="fontstyle01"/>
              </w:rPr>
            </w:pPr>
            <w:r>
              <w:rPr>
                <w:rStyle w:val="fontstyle01"/>
              </w:rPr>
              <w:t>Įrenginių pradinių nustatymų ir parengimo darbui instrukcijos turi būti parengtos lietuvių kalba, pateiktos elektroninėje formoje spausdinimui pritaikytu formatu.</w:t>
            </w:r>
          </w:p>
        </w:tc>
      </w:tr>
    </w:tbl>
    <w:p>
      <w:pPr>
        <w:pStyle w:val="ListParagraph"/>
        <w:ind w:firstLine="567" w:left="0"/>
        <w:rPr>
          <w:rFonts w:ascii="Arial" w:hAnsi="Arial" w:cs="Arial"/>
          <w:b/>
          <w:bCs/>
        </w:rPr>
      </w:pPr>
      <w:r>
        <w:rPr>
          <w:rFonts w:cs="Arial" w:ascii="Arial" w:hAnsi="Arial"/>
          <w:b/>
          <w:bCs/>
        </w:rPr>
      </w:r>
    </w:p>
    <w:p>
      <w:pPr>
        <w:pStyle w:val="ListParagraph"/>
        <w:spacing w:before="0" w:after="0"/>
        <w:ind w:firstLine="567" w:left="0"/>
        <w:contextualSpacing/>
        <w:jc w:val="both"/>
        <w:rPr>
          <w:rFonts w:ascii="Arial" w:hAnsi="Arial" w:cs="Arial"/>
          <w:lang w:val="en-US"/>
        </w:rPr>
      </w:pPr>
      <w:r>
        <w:rPr>
          <w:rFonts w:cs="Arial" w:ascii="Arial" w:hAnsi="Arial"/>
          <w:bCs/>
        </w:rPr>
        <w:t xml:space="preserve">3.4. </w:t>
      </w:r>
      <w:r>
        <w:rPr>
          <w:rFonts w:cs="Arial" w:ascii="Arial" w:hAnsi="Arial"/>
        </w:rPr>
        <w:t xml:space="preserve">Garantiniu laikotarpiu turi būti vykdomas techninis įrangos palaikymas susijęs su GPS imtuvo bei duomenų kaupiklio veikimu darbo dienomis, darbo valandomis (nuo 8.00 val. iki 17.00 val.). </w:t>
      </w:r>
    </w:p>
    <w:p>
      <w:pPr>
        <w:pStyle w:val="ListParagraph"/>
        <w:spacing w:before="0" w:after="0"/>
        <w:ind w:firstLine="567" w:left="0"/>
        <w:contextualSpacing/>
        <w:jc w:val="both"/>
        <w:rPr>
          <w:rFonts w:ascii="Arial" w:hAnsi="Arial" w:cs="Arial"/>
        </w:rPr>
      </w:pPr>
      <w:r>
        <w:rPr>
          <w:rFonts w:cs="Arial" w:ascii="Arial" w:hAnsi="Arial"/>
        </w:rPr>
        <w:t>3.5. VMU darbuotojų konsultavimas darbo dienomis, darbo valandomis (nuo 8.00 val. iki 17.00 val.) telefonu ir elektroniniu paštu 2 metų laikotarpiu nuo Prekių įsigijimo.</w:t>
      </w:r>
    </w:p>
    <w:p>
      <w:pPr>
        <w:pStyle w:val="ListParagraph"/>
        <w:spacing w:before="0" w:after="0"/>
        <w:ind w:firstLine="567" w:left="0"/>
        <w:contextualSpacing/>
        <w:jc w:val="both"/>
        <w:rPr>
          <w:rFonts w:ascii="Arial" w:hAnsi="Arial" w:cs="Arial"/>
        </w:rPr>
      </w:pPr>
      <w:r>
        <w:rPr>
          <w:rFonts w:cs="Arial" w:ascii="Arial" w:hAnsi="Arial"/>
        </w:rPr>
        <w:t>3.6 Prekių teikėjas, teikiant Prekes, įsipareigoja laikytis šių aplinkosaugos reikalavimų:</w:t>
      </w:r>
    </w:p>
    <w:p>
      <w:pPr>
        <w:pStyle w:val="ListParagraph"/>
        <w:spacing w:before="0" w:after="0"/>
        <w:ind w:firstLine="567" w:left="0"/>
        <w:contextualSpacing/>
        <w:jc w:val="both"/>
        <w:rPr>
          <w:rFonts w:ascii="Arial" w:hAnsi="Arial" w:cs="Arial"/>
        </w:rPr>
      </w:pPr>
      <w:r>
        <w:rPr>
          <w:rFonts w:cs="Arial" w:ascii="Arial" w:hAnsi="Arial"/>
        </w:rPr>
        <w:t>3.6.1.prekės pakuotės turi atitikti Lietuvos Respublikos pakuočių ir pakuočių atliekų tvarkymo įstatymo ir Lietuvos Respublikos aplinkos ministro 2022 m. birželio 27 d. įsakymu Nr. 348 „Dėl Pakuočių ir pakuočių atliekų tvarkymo taisyklių patvirtinimo“ patvirtintų Pakuočių ir pakuočių atliekų tvarkymo taisyklių reikalavimus.</w:t>
      </w:r>
    </w:p>
    <w:p>
      <w:pPr>
        <w:pStyle w:val="ListParagraph"/>
        <w:spacing w:before="0" w:after="0"/>
        <w:ind w:firstLine="567" w:left="0"/>
        <w:contextualSpacing/>
        <w:jc w:val="both"/>
        <w:rPr>
          <w:rFonts w:ascii="Arial" w:hAnsi="Arial" w:cs="Arial"/>
        </w:rPr>
      </w:pPr>
      <w:r>
        <w:rPr>
          <w:rFonts w:cs="Arial" w:ascii="Arial" w:hAnsi="Arial"/>
        </w:rPr>
        <w:t>3.6.2. 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Aprašo 2 priede 1 skyriuje „Popierius ir jo gaminiai“.</w:t>
      </w:r>
    </w:p>
    <w:p>
      <w:pPr>
        <w:pStyle w:val="ListParagraph"/>
        <w:spacing w:before="0" w:after="0"/>
        <w:ind w:firstLine="567" w:left="0"/>
        <w:contextualSpacing/>
        <w:jc w:val="both"/>
        <w:rPr>
          <w:color w:val="000000"/>
        </w:rPr>
      </w:pPr>
      <w:r>
        <w:rPr>
          <w:rFonts w:cs="Arial" w:ascii="Arial" w:hAnsi="Arial"/>
          <w:color w:val="000000"/>
        </w:rPr>
        <w:t>3.6.3. Prekė yra tvirta, ilgaamžė, funkcionali, ji ar jos sudedamosios dalys tinka naudoti daug kartų ir (ar) lengvai pataisomas, ir (ar) pakeičiamos, t.y. GNSS prietaiso baterijos turi būti tinkamos naudoti daug kartų.</w:t>
      </w:r>
    </w:p>
    <w:p>
      <w:pPr>
        <w:pStyle w:val="ListParagraph"/>
        <w:spacing w:before="0" w:after="0"/>
        <w:ind w:firstLine="567" w:left="0"/>
        <w:contextualSpacing/>
        <w:jc w:val="both"/>
        <w:rPr>
          <w:rFonts w:ascii="Arial" w:hAnsi="Arial" w:cs="Arial"/>
        </w:rPr>
      </w:pPr>
      <w:r>
        <w:rPr>
          <w:rFonts w:cs="Arial" w:ascii="Arial" w:hAnsi="Arial"/>
        </w:rPr>
      </w:r>
    </w:p>
    <w:p>
      <w:pPr>
        <w:pStyle w:val="ListParagraph"/>
        <w:spacing w:before="0" w:after="0"/>
        <w:ind w:firstLine="567" w:left="0"/>
        <w:contextualSpacing/>
        <w:rPr>
          <w:rFonts w:ascii="Arial" w:hAnsi="Arial" w:cs="Arial"/>
        </w:rPr>
      </w:pPr>
      <w:r>
        <w:rPr>
          <w:rFonts w:cs="Arial" w:ascii="Arial" w:hAnsi="Arial"/>
          <w:b/>
          <w:bCs/>
          <w:color w:themeColor="text1" w:val="000000"/>
          <w:spacing w:val="-4"/>
        </w:rPr>
        <w:t>4. Nacionalinio saugumo reikalavimai</w:t>
      </w:r>
    </w:p>
    <w:p>
      <w:pPr>
        <w:pStyle w:val="ListParagraph"/>
        <w:spacing w:before="0" w:after="0"/>
        <w:ind w:firstLine="567" w:left="0"/>
        <w:contextualSpacing/>
        <w:jc w:val="both"/>
        <w:rPr>
          <w:rFonts w:ascii="Arial" w:hAnsi="Arial" w:cs="Arial"/>
          <w:bCs/>
        </w:rPr>
      </w:pPr>
      <w:r>
        <w:rPr>
          <w:rFonts w:cs="Arial" w:ascii="Arial" w:hAnsi="Arial"/>
        </w:rPr>
        <w:t>4.1 Pirkimo objektas turi nekelti grėsmės nacionaliniam saugumui. Užsakovas laiko, kad prekės, paslaugos ir darbai kelia grėsmę nacionaliniam saugumui, kai pasiūlymą pateikęs paslaugų teikėjas,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pPr>
        <w:pStyle w:val="Normal"/>
        <w:spacing w:before="0" w:after="0"/>
        <w:rPr>
          <w:rFonts w:ascii="Arial" w:hAnsi="Arial" w:cs="Arial"/>
          <w:b/>
          <w:bCs/>
        </w:rPr>
      </w:pPr>
      <w:r>
        <w:rPr>
          <w:rFonts w:cs="Arial" w:ascii="Arial" w:hAnsi="Arial"/>
          <w:b/>
          <w:bCs/>
        </w:rPr>
      </w:r>
    </w:p>
    <w:p>
      <w:pPr>
        <w:pStyle w:val="Normal"/>
        <w:spacing w:lineRule="auto" w:line="240" w:before="0" w:after="0"/>
        <w:rPr>
          <w:rFonts w:ascii="Arial" w:hAnsi="Arial" w:eastAsia="Times New Roman" w:cs="Arial"/>
          <w:b/>
        </w:rPr>
      </w:pPr>
      <w:r>
        <w:rPr>
          <w:rFonts w:eastAsia="Times New Roman" w:cs="Arial" w:ascii="Arial" w:hAnsi="Arial"/>
          <w:b/>
        </w:rPr>
        <w:t>4. DOKUMENTAI, REIKALAUJAMI PRISTATYTI SU PASIŪLYMU</w:t>
      </w:r>
    </w:p>
    <w:p>
      <w:pPr>
        <w:pStyle w:val="Normal"/>
        <w:spacing w:lineRule="auto" w:line="240" w:before="0" w:after="0"/>
        <w:jc w:val="both"/>
        <w:rPr>
          <w:rFonts w:ascii="Arial" w:hAnsi="Arial" w:cs="Arial"/>
        </w:rPr>
      </w:pPr>
      <w:r>
        <w:rPr>
          <w:rFonts w:eastAsia="Times New Roman" w:cs="Arial" w:ascii="Arial" w:hAnsi="Arial"/>
        </w:rPr>
        <w:t xml:space="preserve">4.1. </w:t>
      </w:r>
      <w:r>
        <w:rPr>
          <w:rFonts w:cs="Arial" w:ascii="Arial" w:hAnsi="Arial"/>
        </w:rPr>
        <w:t>Nuoroda į gamintojo tinklapį, įrodanti, kad siūlomos konkrečios Prekės atitinka techninės specifikacijos reikalavimus. Perkančioji organizacija gali papildomai paprašyti tiekėjo pateikti dokumentus, patvirtinančius siūlomų Prekių atitikimą techninės specifikacijos reikalavimams, jei ne visi reikalaujami duomenys apie siūlomų Prekių technines savybes bus viešai paskelbti.</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Cs/>
        </w:rPr>
      </w:pPr>
      <w:r>
        <w:rPr>
          <w:rFonts w:cs="Arial" w:ascii="Arial" w:hAnsi="Arial"/>
          <w:b/>
          <w:bCs/>
        </w:rPr>
        <w:t>5.PREKIŲ PRISTATYMAS PAGAL PATEIKTĄ LENTELĘ:</w:t>
      </w:r>
    </w:p>
    <w:p>
      <w:pPr>
        <w:pStyle w:val="Normal"/>
        <w:spacing w:lineRule="auto" w:line="240" w:before="0" w:after="0"/>
        <w:jc w:val="both"/>
        <w:rPr>
          <w:rFonts w:ascii="Arial" w:hAnsi="Arial" w:cs="Arial"/>
          <w:b/>
          <w:bCs/>
        </w:rPr>
      </w:pPr>
      <w:r>
        <w:rPr>
          <w:rFonts w:cs="Arial" w:ascii="Arial" w:hAnsi="Arial"/>
          <w:b/>
          <w:bCs/>
        </w:rPr>
      </w:r>
    </w:p>
    <w:tbl>
      <w:tblPr>
        <w:tblStyle w:val="Lentelstinklelis"/>
        <w:tblW w:w="736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7"/>
        <w:gridCol w:w="2835"/>
        <w:gridCol w:w="3544"/>
      </w:tblGrid>
      <w:tr>
        <w:trPr/>
        <w:tc>
          <w:tcPr>
            <w:tcW w:w="987" w:type="dxa"/>
            <w:tcBorders/>
          </w:tcPr>
          <w:p>
            <w:pPr>
              <w:pStyle w:val="Normal"/>
              <w:widowControl/>
              <w:suppressAutoHyphens w:val="true"/>
              <w:spacing w:lineRule="auto" w:line="240" w:before="0" w:after="0"/>
              <w:jc w:val="both"/>
              <w:rPr>
                <w:rFonts w:ascii="Arial" w:hAnsi="Arial" w:cs="Arial"/>
                <w:b/>
                <w:bCs/>
              </w:rPr>
            </w:pPr>
            <w:r>
              <w:rPr>
                <w:rFonts w:eastAsia="Calibri" w:cs="Arial" w:ascii="Arial" w:hAnsi="Arial"/>
                <w:b/>
                <w:bCs/>
                <w:kern w:val="0"/>
                <w:sz w:val="22"/>
                <w:szCs w:val="22"/>
                <w:lang w:val="lt-LT" w:eastAsia="en-US" w:bidi="ar-SA"/>
              </w:rPr>
              <w:t>Eil. Nr.</w:t>
            </w:r>
          </w:p>
        </w:tc>
        <w:tc>
          <w:tcPr>
            <w:tcW w:w="2835" w:type="dxa"/>
            <w:tcBorders/>
          </w:tcPr>
          <w:p>
            <w:pPr>
              <w:pStyle w:val="Normal"/>
              <w:widowControl/>
              <w:suppressAutoHyphens w:val="true"/>
              <w:spacing w:lineRule="auto" w:line="240" w:before="0" w:after="0"/>
              <w:jc w:val="both"/>
              <w:rPr>
                <w:rFonts w:ascii="Arial" w:hAnsi="Arial" w:cs="Arial"/>
                <w:b/>
                <w:bCs/>
              </w:rPr>
            </w:pPr>
            <w:r>
              <w:rPr>
                <w:rFonts w:eastAsia="Calibri" w:cs="Arial" w:ascii="Arial" w:hAnsi="Arial"/>
                <w:b/>
                <w:bCs/>
                <w:kern w:val="0"/>
                <w:sz w:val="22"/>
                <w:szCs w:val="22"/>
                <w:lang w:val="lt-LT" w:eastAsia="en-US" w:bidi="ar-SA"/>
              </w:rPr>
              <w:t>Padalinys</w:t>
            </w:r>
          </w:p>
        </w:tc>
        <w:tc>
          <w:tcPr>
            <w:tcW w:w="3544" w:type="dxa"/>
            <w:tcBorders/>
          </w:tcPr>
          <w:p>
            <w:pPr>
              <w:pStyle w:val="Normal"/>
              <w:widowControl/>
              <w:suppressAutoHyphens w:val="true"/>
              <w:spacing w:lineRule="auto" w:line="240" w:before="0" w:after="0"/>
              <w:jc w:val="both"/>
              <w:rPr>
                <w:rFonts w:ascii="Arial" w:hAnsi="Arial" w:cs="Arial"/>
                <w:b/>
                <w:bCs/>
              </w:rPr>
            </w:pPr>
            <w:r>
              <w:rPr>
                <w:rFonts w:eastAsia="Calibri" w:cs="Arial" w:ascii="Arial" w:hAnsi="Arial"/>
                <w:b/>
                <w:bCs/>
                <w:kern w:val="0"/>
                <w:sz w:val="22"/>
                <w:szCs w:val="22"/>
                <w:lang w:val="lt-LT" w:eastAsia="en-US" w:bidi="ar-SA"/>
              </w:rPr>
              <w:t>Kiekis vnt.</w:t>
            </w:r>
          </w:p>
        </w:tc>
      </w:tr>
      <w:tr>
        <w:trPr/>
        <w:tc>
          <w:tcPr>
            <w:tcW w:w="987" w:type="dxa"/>
            <w:tcBorders/>
          </w:tcPr>
          <w:p>
            <w:pPr>
              <w:pStyle w:val="Normal"/>
              <w:widowControl/>
              <w:suppressAutoHyphens w:val="true"/>
              <w:spacing w:lineRule="auto" w:line="240" w:before="0" w:after="0"/>
              <w:jc w:val="both"/>
              <w:rPr>
                <w:rFonts w:ascii="Arial" w:hAnsi="Arial" w:cs="Arial"/>
                <w:b/>
                <w:bCs/>
              </w:rPr>
            </w:pPr>
            <w:r>
              <w:rPr>
                <w:rFonts w:eastAsia="Calibri" w:cs="Arial" w:ascii="Arial" w:hAnsi="Arial"/>
                <w:b/>
                <w:bCs/>
                <w:kern w:val="0"/>
                <w:sz w:val="22"/>
                <w:szCs w:val="22"/>
                <w:lang w:val="lt-LT" w:eastAsia="en-US" w:bidi="ar-SA"/>
              </w:rPr>
              <w:t>1</w:t>
            </w:r>
          </w:p>
        </w:tc>
        <w:tc>
          <w:tcPr>
            <w:tcW w:w="2835" w:type="dxa"/>
            <w:tcBorders/>
          </w:tcPr>
          <w:p>
            <w:pPr>
              <w:pStyle w:val="Normal"/>
              <w:widowControl/>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Administracija (Vilnius)</w:t>
            </w:r>
          </w:p>
        </w:tc>
        <w:tc>
          <w:tcPr>
            <w:tcW w:w="3544" w:type="dxa"/>
            <w:tcBorders/>
          </w:tcPr>
          <w:p>
            <w:pPr>
              <w:pStyle w:val="Normal"/>
              <w:widowControl/>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26</w:t>
            </w:r>
          </w:p>
        </w:tc>
      </w:tr>
    </w:tbl>
    <w:p>
      <w:pPr>
        <w:pStyle w:val="Normal"/>
        <w:spacing w:lineRule="auto" w:line="240" w:before="0" w:after="0"/>
        <w:jc w:val="both"/>
        <w:rPr>
          <w:rFonts w:ascii="Arial" w:hAnsi="Arial" w:cs="Arial"/>
          <w:lang w:val="lt-LT"/>
        </w:rPr>
      </w:pPr>
      <w:r>
        <w:rPr>
          <w:rFonts w:cs="Arial" w:ascii="Arial" w:hAnsi="Arial"/>
          <w:lang w:val="lt-LT"/>
        </w:rPr>
      </w:r>
    </w:p>
    <w:p>
      <w:pPr>
        <w:pStyle w:val="Normal"/>
        <w:spacing w:lineRule="auto" w:line="240" w:before="0" w:after="0"/>
        <w:jc w:val="both"/>
        <w:rPr>
          <w:rFonts w:ascii="Arial" w:hAnsi="Arial" w:cs="Arial"/>
          <w:lang w:val="lt-LT"/>
        </w:rPr>
      </w:pPr>
      <w:r>
        <w:rPr>
          <w:rFonts w:cs="Arial" w:ascii="Arial" w:hAnsi="Arial"/>
          <w:lang w:val="lt-LT"/>
        </w:rPr>
      </w:r>
    </w:p>
    <w:p>
      <w:pPr>
        <w:pStyle w:val="Normal"/>
        <w:spacing w:lineRule="auto" w:line="240" w:before="0" w:after="0"/>
        <w:jc w:val="both"/>
        <w:rPr>
          <w:rFonts w:ascii="Arial" w:hAnsi="Arial" w:cs="Arial"/>
          <w:b/>
          <w:bCs/>
          <w:color w:val="000000"/>
          <w:lang w:val="lt-LT"/>
        </w:rPr>
      </w:pPr>
      <w:r>
        <w:rPr>
          <w:rFonts w:cs="Arial" w:ascii="Arial" w:hAnsi="Arial"/>
          <w:b/>
          <w:bCs/>
          <w:color w:val="000000"/>
          <w:lang w:val="lt-LT"/>
        </w:rPr>
        <w:t>6. Priedai:</w:t>
      </w:r>
    </w:p>
    <w:p>
      <w:pPr>
        <w:pStyle w:val="Normal"/>
        <w:spacing w:lineRule="auto" w:line="240" w:before="0" w:after="0"/>
        <w:jc w:val="both"/>
        <w:rPr>
          <w:rFonts w:ascii="Arial" w:hAnsi="Arial" w:cs="Arial"/>
          <w:color w:val="000000"/>
          <w:lang w:val="lt-LT"/>
        </w:rPr>
      </w:pPr>
      <w:r>
        <w:rPr>
          <w:rFonts w:cs="Arial" w:ascii="Arial" w:hAnsi="Arial"/>
          <w:color w:val="000000"/>
          <w:lang w:val="lt-LT"/>
        </w:rPr>
      </w:r>
    </w:p>
    <w:p>
      <w:pPr>
        <w:pStyle w:val="Normal"/>
        <w:spacing w:lineRule="auto" w:line="240" w:before="0" w:after="0"/>
        <w:jc w:val="both"/>
        <w:rPr>
          <w:rFonts w:ascii="Arial" w:hAnsi="Arial" w:cs="Arial"/>
          <w:lang w:val="lt-LT"/>
        </w:rPr>
      </w:pPr>
      <w:r>
        <w:rPr>
          <w:rFonts w:cs="Arial" w:ascii="Arial" w:hAnsi="Arial"/>
          <w:lang w:val="lt-LT"/>
        </w:rPr>
        <w:t>1. priedas Palyginamoji lentelė.</w:t>
      </w:r>
    </w:p>
    <w:sectPr>
      <w:headerReference w:type="even" r:id="rId2"/>
      <w:headerReference w:type="default" r:id="rId3"/>
      <w:headerReference w:type="first" r:id="rId4"/>
      <w:type w:val="nextPage"/>
      <w:pgSz w:w="11906" w:h="16838"/>
      <w:pgMar w:left="1701" w:right="567" w:gutter="0" w:header="1134" w:top="1850"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ArialM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right"/>
      <w:rPr>
        <w:rFonts w:ascii="Arial" w:hAnsi="Arial" w:cs="Arial"/>
      </w:rPr>
    </w:pPr>
    <w:r>
      <w:rPr>
        <w:rFonts w:cs="Arial" w:ascii="Arial" w:hAnsi="Arial"/>
      </w:rPr>
      <w:t>Specialiųjų atviro konkurso sąlygų 1 priedas „Techninė specifikacija“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right"/>
      <w:rPr>
        <w:rFonts w:ascii="Arial" w:hAnsi="Arial" w:cs="Arial"/>
      </w:rPr>
    </w:pPr>
    <w:r>
      <w:rPr>
        <w:rFonts w:cs="Arial" w:ascii="Arial" w:hAnsi="Arial"/>
      </w:rPr>
      <w:t>Specialiųjų atviro konkurso sąlygų 1 priedas „Techninė specifikacija“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080" w:hanging="360"/>
      </w:pPr>
      <w:rPr/>
    </w:lvl>
    <w:lvl w:ilvl="2">
      <w:start w:val="1"/>
      <w:isLgl/>
      <w:numFmt w:val="decimal"/>
      <w:lvlText w:val="%1.%2.%3"/>
      <w:lvlJc w:val="left"/>
      <w:pPr>
        <w:tabs>
          <w:tab w:val="num" w:pos="0"/>
        </w:tabs>
        <w:ind w:left="180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4680" w:hanging="144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2">
    <w:name w:val="heading 2"/>
    <w:basedOn w:val="Normal"/>
    <w:next w:val="Normal"/>
    <w:link w:val="Antrat2Diagrama"/>
    <w:uiPriority w:val="9"/>
    <w:unhideWhenUsed/>
    <w:qFormat/>
    <w:rsid w:val="00fd22c0"/>
    <w:pPr>
      <w:keepNext w:val="true"/>
      <w:keepLines/>
      <w:spacing w:lineRule="auto" w:line="240" w:before="360" w:after="120"/>
      <w:outlineLvl w:val="1"/>
    </w:pPr>
    <w:rPr>
      <w:rFonts w:eastAsia="Times New Roman"/>
      <w:b/>
      <w:bCs/>
      <w:color w:themeColor="accent1" w:themeShade="bf" w:val="2F5496"/>
      <w:sz w:val="24"/>
      <w:szCs w:val="24"/>
      <w:lang w:val="en-US" w:eastAsia="ja-JP"/>
    </w:rPr>
  </w:style>
  <w:style w:type="character" w:styleId="DefaultParagraphFont" w:default="1">
    <w:name w:val="Default Paragraph Font"/>
    <w:uiPriority w:val="1"/>
    <w:semiHidden/>
    <w:unhideWhenUsed/>
    <w:qFormat/>
    <w:rPr/>
  </w:style>
  <w:style w:type="character" w:styleId="SraopastraipaDiagrama" w:customStyle="1">
    <w:name w:val="Sąrašo pastraipa Diagrama"/>
    <w:basedOn w:val="DefaultParagraphFont"/>
    <w:link w:val="ListParagraph"/>
    <w:qFormat/>
    <w:locked/>
    <w:rsid w:val="007213e7"/>
    <w:rPr/>
  </w:style>
  <w:style w:type="character" w:styleId="DebesliotekstasDiagrama" w:customStyle="1">
    <w:name w:val="Debesėlio tekstas Diagrama"/>
    <w:basedOn w:val="DefaultParagraphFont"/>
    <w:link w:val="BalloonText"/>
    <w:uiPriority w:val="99"/>
    <w:semiHidden/>
    <w:qFormat/>
    <w:rsid w:val="00204fa0"/>
    <w:rPr>
      <w:rFonts w:ascii="Segoe UI" w:hAnsi="Segoe UI" w:cs="Segoe UI"/>
      <w:sz w:val="18"/>
      <w:szCs w:val="18"/>
    </w:rPr>
  </w:style>
  <w:style w:type="character" w:styleId="CommentReference">
    <w:name w:val="annotation reference"/>
    <w:basedOn w:val="DefaultParagraphFont"/>
    <w:uiPriority w:val="99"/>
    <w:semiHidden/>
    <w:unhideWhenUsed/>
    <w:qFormat/>
    <w:rsid w:val="001c4756"/>
    <w:rPr>
      <w:sz w:val="16"/>
      <w:szCs w:val="16"/>
    </w:rPr>
  </w:style>
  <w:style w:type="character" w:styleId="KomentarotekstasDiagrama" w:customStyle="1">
    <w:name w:val="Komentaro tekstas Diagrama"/>
    <w:basedOn w:val="DefaultParagraphFont"/>
    <w:uiPriority w:val="99"/>
    <w:qFormat/>
    <w:rsid w:val="001c4756"/>
    <w:rPr>
      <w:sz w:val="20"/>
      <w:szCs w:val="20"/>
    </w:rPr>
  </w:style>
  <w:style w:type="character" w:styleId="KomentarotemaDiagrama" w:customStyle="1">
    <w:name w:val="Komentaro tema Diagrama"/>
    <w:basedOn w:val="KomentarotekstasDiagrama"/>
    <w:link w:val="annotationsubject"/>
    <w:uiPriority w:val="99"/>
    <w:semiHidden/>
    <w:qFormat/>
    <w:rsid w:val="001c4756"/>
    <w:rPr>
      <w:b/>
      <w:bCs/>
      <w:sz w:val="20"/>
      <w:szCs w:val="20"/>
    </w:rPr>
  </w:style>
  <w:style w:type="character" w:styleId="InternetLink" w:customStyle="1">
    <w:name w:val="Internet Link"/>
    <w:basedOn w:val="DefaultParagraphFont"/>
    <w:uiPriority w:val="99"/>
    <w:semiHidden/>
    <w:unhideWhenUsed/>
    <w:qFormat/>
    <w:rsid w:val="001042e0"/>
    <w:rPr>
      <w:color w:val="0000FF"/>
      <w:u w:val="single"/>
    </w:rPr>
  </w:style>
  <w:style w:type="character" w:styleId="fontstyle01" w:customStyle="1">
    <w:name w:val="fontstyle01"/>
    <w:basedOn w:val="DefaultParagraphFont"/>
    <w:qFormat/>
    <w:rsid w:val="000b0e67"/>
    <w:rPr>
      <w:rFonts w:ascii="ArialMT" w:hAnsi="ArialMT"/>
      <w:b w:val="false"/>
      <w:bCs w:val="false"/>
      <w:i w:val="false"/>
      <w:iCs w:val="false"/>
      <w:color w:val="000000"/>
      <w:sz w:val="22"/>
      <w:szCs w:val="22"/>
    </w:rPr>
  </w:style>
  <w:style w:type="character" w:styleId="Antrat2Diagrama" w:customStyle="1">
    <w:name w:val="Antraštė 2 Diagrama"/>
    <w:basedOn w:val="DefaultParagraphFont"/>
    <w:uiPriority w:val="9"/>
    <w:qFormat/>
    <w:rsid w:val="00fd22c0"/>
    <w:rPr>
      <w:rFonts w:eastAsia="Times New Roman"/>
      <w:b/>
      <w:bCs/>
      <w:color w:themeColor="accent1" w:themeShade="bf" w:val="2F5496"/>
      <w:sz w:val="24"/>
      <w:szCs w:val="24"/>
      <w:lang w:val="en-US" w:eastAsia="ja-JP"/>
    </w:rPr>
  </w:style>
  <w:style w:type="character" w:styleId="LineNumbering" w:customStyle="1">
    <w:name w:val="Line Numbering"/>
    <w:qFormat/>
    <w:rPr/>
  </w:style>
  <w:style w:type="character" w:styleId="LineNumbering1" w:customStyle="1">
    <w:name w:val="Line Numbering1"/>
    <w:qFormat/>
    <w:rPr/>
  </w:style>
  <w:style w:type="character" w:styleId="LineNumbering2" w:customStyle="1">
    <w:name w:val="Line Numbering2"/>
    <w:qFormat/>
    <w:rPr/>
  </w:style>
  <w:style w:type="character" w:styleId="LineNumbering3" w:customStyle="1">
    <w:name w:val="Line Numbering3"/>
    <w:qFormat/>
    <w:rPr/>
  </w:style>
  <w:style w:type="character" w:styleId="LineNumbering4" w:customStyle="1">
    <w:name w:val="Line Numbering4"/>
    <w:qFormat/>
    <w:rPr/>
  </w:style>
  <w:style w:type="character" w:styleId="LineNumbering5">
    <w:name w:val="Line Numbering5"/>
    <w:qFormat/>
    <w:rPr/>
  </w:style>
  <w:style w:type="character" w:styleId="LineNumbering6">
    <w:name w:val="Line Numbering6"/>
    <w:qFormat/>
    <w:rPr/>
  </w:style>
  <w:style w:type="character" w:styleId="LineNumbering7">
    <w:name w:val="Line Numbering7"/>
    <w:qFormat/>
    <w:rPr/>
  </w:style>
  <w:style w:type="character" w:styleId="LineNumbering8">
    <w:name w:val="Line Numbering8"/>
    <w:qFormat/>
    <w:rPr/>
  </w:style>
  <w:style w:type="character" w:styleId="LineNumber">
    <w:name w:val="line number"/>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ListParagraph">
    <w:name w:val="List Paragraph"/>
    <w:basedOn w:val="Normal"/>
    <w:link w:val="SraopastraipaDiagrama"/>
    <w:qFormat/>
    <w:rsid w:val="00bd6f89"/>
    <w:pPr>
      <w:spacing w:before="0" w:after="160"/>
      <w:ind w:left="720"/>
      <w:contextualSpacing/>
    </w:pPr>
    <w:rPr/>
  </w:style>
  <w:style w:type="paragraph" w:styleId="BalloonText">
    <w:name w:val="Balloon Text"/>
    <w:basedOn w:val="Normal"/>
    <w:link w:val="DebesliotekstasDiagrama"/>
    <w:uiPriority w:val="99"/>
    <w:semiHidden/>
    <w:unhideWhenUsed/>
    <w:qFormat/>
    <w:rsid w:val="00204fa0"/>
    <w:pPr>
      <w:spacing w:lineRule="auto" w:line="240" w:before="0" w:after="0"/>
    </w:pPr>
    <w:rPr>
      <w:rFonts w:ascii="Segoe UI" w:hAnsi="Segoe UI" w:cs="Segoe UI"/>
      <w:sz w:val="18"/>
      <w:szCs w:val="18"/>
    </w:rPr>
  </w:style>
  <w:style w:type="paragraph" w:styleId="CommentText">
    <w:name w:val="annotation text"/>
    <w:basedOn w:val="Normal"/>
    <w:link w:val="KomentarotekstasDiagrama"/>
    <w:uiPriority w:val="99"/>
    <w:unhideWhenUsed/>
    <w:rsid w:val="001c4756"/>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1c4756"/>
    <w:pPr/>
    <w:rPr>
      <w:b/>
      <w:bCs/>
    </w:rPr>
  </w:style>
  <w:style w:type="paragraph" w:styleId="Revision">
    <w:name w:val="Revision"/>
    <w:uiPriority w:val="99"/>
    <w:semiHidden/>
    <w:qFormat/>
    <w:rsid w:val="00187e0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Comment" w:customStyle="1">
    <w:name w:val="Comment"/>
    <w:basedOn w:val="Normal"/>
    <w:qFormat/>
    <w:pPr>
      <w:spacing w:before="56" w:after="0"/>
      <w:ind w:left="56" w:right="56"/>
    </w:pPr>
    <w:rPr>
      <w:sz w:val="20"/>
      <w:szCs w:val="20"/>
    </w:rPr>
  </w:style>
  <w:style w:type="paragraph" w:styleId="HeaderandFooter">
    <w:name w:val="Header and Footer"/>
    <w:basedOn w:val="Normal"/>
    <w:qFormat/>
    <w:pPr>
      <w:suppressLineNumbers/>
      <w:tabs>
        <w:tab w:val="clear" w:pos="1296"/>
        <w:tab w:val="center" w:pos="4819" w:leader="none"/>
        <w:tab w:val="right" w:pos="9638"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91f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37AD-26E8-44E8-BA9B-615E1AAB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LibreOffice/24.8.0.3$Windows_X86_64 LibreOffice_project/0bdf1299c94fe897b119f97f3c613e9dca6be583</Application>
  <AppVersion>15.0000</AppVersion>
  <Pages>4</Pages>
  <Words>1341</Words>
  <Characters>8997</Characters>
  <CharactersWithSpaces>10246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2026-05-18T13:02:00Z</dcterms:created>
  <dc:creator>Jolanta Pavlovskienė</dc:creator>
  <dc:description/>
  <dc:language>lt-LT</dc:language>
  <cp:lastModifiedBy/>
  <dcterms:modified xsi:type="dcterms:W3CDTF">2026-06-01T15:23:20Z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