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2EF0" w14:textId="77777777" w:rsidR="00885099" w:rsidRPr="002A4C29" w:rsidRDefault="00885099" w:rsidP="00885099">
      <w:pPr>
        <w:jc w:val="right"/>
        <w:rPr>
          <w:b/>
          <w:bCs/>
        </w:rPr>
      </w:pPr>
      <w:r w:rsidRPr="002A4C29">
        <w:rPr>
          <w:b/>
          <w:bCs/>
        </w:rPr>
        <w:t>Pirkimo sąlygų 6 priedas</w:t>
      </w:r>
    </w:p>
    <w:p w14:paraId="1FE38348" w14:textId="77777777" w:rsidR="00885099" w:rsidRDefault="00885099" w:rsidP="00885099">
      <w:pPr>
        <w:jc w:val="right"/>
        <w:rPr>
          <w:sz w:val="22"/>
          <w:szCs w:val="22"/>
        </w:rPr>
      </w:pPr>
    </w:p>
    <w:p w14:paraId="76302FAE" w14:textId="77777777" w:rsidR="00885099" w:rsidRPr="002C0AD7" w:rsidRDefault="00885099" w:rsidP="00885099">
      <w:pPr>
        <w:widowControl w:val="0"/>
        <w:tabs>
          <w:tab w:val="right" w:leader="underscore" w:pos="9071"/>
        </w:tabs>
      </w:pPr>
      <w:r w:rsidRPr="002C0AD7">
        <w:rPr>
          <w:rFonts w:eastAsia="Calibri"/>
        </w:rPr>
        <w:tab/>
      </w:r>
    </w:p>
    <w:p w14:paraId="31A20DD7" w14:textId="77777777" w:rsidR="00885099" w:rsidRPr="002C0AD7" w:rsidRDefault="00885099" w:rsidP="00885099">
      <w:pPr>
        <w:shd w:val="clear" w:color="auto" w:fill="FFFFFF"/>
        <w:ind w:right="-178"/>
        <w:jc w:val="center"/>
      </w:pPr>
      <w:r w:rsidRPr="002C0AD7">
        <w:t>(</w:t>
      </w:r>
      <w:r w:rsidRPr="002C0AD7">
        <w:rPr>
          <w:i/>
          <w:iCs/>
        </w:rPr>
        <w:t>tiekėjo pavadinimas</w:t>
      </w:r>
      <w:r w:rsidRPr="002C0AD7">
        <w:t>)</w:t>
      </w:r>
    </w:p>
    <w:p w14:paraId="30F9ACAD" w14:textId="77777777" w:rsidR="00885099" w:rsidRPr="002C0AD7" w:rsidRDefault="00885099" w:rsidP="00885099">
      <w:pPr>
        <w:shd w:val="clear" w:color="auto" w:fill="FFFFFF"/>
        <w:ind w:right="-178"/>
        <w:jc w:val="center"/>
      </w:pPr>
    </w:p>
    <w:p w14:paraId="75622BD5" w14:textId="77777777" w:rsidR="00885099" w:rsidRPr="002C0AD7" w:rsidRDefault="00885099" w:rsidP="00885099">
      <w:pPr>
        <w:widowControl w:val="0"/>
        <w:tabs>
          <w:tab w:val="right" w:leader="underscore" w:pos="9071"/>
        </w:tabs>
        <w:jc w:val="center"/>
        <w:rPr>
          <w:rFonts w:eastAsia="Calibri"/>
        </w:rPr>
      </w:pPr>
      <w:r w:rsidRPr="002C0AD7">
        <w:rPr>
          <w:rFonts w:eastAsia="Calibri"/>
        </w:rPr>
        <w:t>Kauno rajono savivaldybės administracija</w:t>
      </w:r>
    </w:p>
    <w:p w14:paraId="5238730E" w14:textId="77777777" w:rsidR="00885099" w:rsidRPr="002C0AD7" w:rsidRDefault="00885099" w:rsidP="00885099">
      <w:pPr>
        <w:jc w:val="center"/>
      </w:pPr>
      <w:r w:rsidRPr="002C0AD7">
        <w:rPr>
          <w:rFonts w:eastAsia="Calibri"/>
          <w:iCs/>
        </w:rPr>
        <w:t>(</w:t>
      </w:r>
      <w:r w:rsidRPr="002C0AD7">
        <w:rPr>
          <w:rFonts w:eastAsia="Calibri"/>
          <w:i/>
        </w:rPr>
        <w:t>adresatas (perkančiosios organizacijos pavadinimas</w:t>
      </w:r>
      <w:r w:rsidRPr="002C0AD7">
        <w:rPr>
          <w:rFonts w:eastAsia="Calibri"/>
          <w:iCs/>
        </w:rPr>
        <w:t>)</w:t>
      </w:r>
    </w:p>
    <w:p w14:paraId="5AA2B07C" w14:textId="77777777" w:rsidR="00885099" w:rsidRPr="002C0AD7" w:rsidRDefault="00885099" w:rsidP="00885099">
      <w:pPr>
        <w:widowControl w:val="0"/>
        <w:tabs>
          <w:tab w:val="right" w:leader="underscore" w:pos="9071"/>
        </w:tabs>
        <w:jc w:val="center"/>
        <w:rPr>
          <w:rFonts w:eastAsia="Calibri"/>
          <w:b/>
          <w:bCs/>
        </w:rPr>
      </w:pPr>
    </w:p>
    <w:p w14:paraId="2E595B11" w14:textId="77777777" w:rsidR="00885099" w:rsidRDefault="00885099" w:rsidP="00885099">
      <w:pPr>
        <w:widowControl w:val="0"/>
        <w:tabs>
          <w:tab w:val="right" w:leader="underscore" w:pos="9071"/>
        </w:tabs>
        <w:jc w:val="center"/>
        <w:rPr>
          <w:rFonts w:eastAsia="Calibri"/>
          <w:b/>
          <w:bCs/>
        </w:rPr>
      </w:pPr>
      <w:r w:rsidRPr="002C0AD7">
        <w:rPr>
          <w:rFonts w:eastAsia="Calibri"/>
          <w:b/>
          <w:bCs/>
        </w:rPr>
        <w:t>NACIONALINIO SAUGUMO REIKALAVIMŲ ATITIKTIES DEKLARACIJA</w:t>
      </w:r>
    </w:p>
    <w:p w14:paraId="350762BC" w14:textId="71F8BE14" w:rsidR="00885099" w:rsidRPr="00EA15E1" w:rsidRDefault="00885099" w:rsidP="00885099">
      <w:pPr>
        <w:widowControl w:val="0"/>
        <w:tabs>
          <w:tab w:val="right" w:leader="underscore" w:pos="9071"/>
        </w:tabs>
        <w:jc w:val="center"/>
        <w:rPr>
          <w:i/>
          <w:iCs/>
        </w:rPr>
      </w:pPr>
      <w:r w:rsidRPr="00EA15E1">
        <w:rPr>
          <w:rFonts w:eastAsia="Calibri"/>
        </w:rPr>
        <w:t>(</w:t>
      </w:r>
      <w:r w:rsidRPr="00EA15E1">
        <w:rPr>
          <w:rFonts w:eastAsia="Calibri"/>
          <w:i/>
          <w:iCs/>
          <w:color w:val="FF0000"/>
        </w:rPr>
        <w:t>pildo tiekėja</w:t>
      </w:r>
      <w:r>
        <w:rPr>
          <w:rFonts w:eastAsia="Calibri"/>
          <w:i/>
          <w:iCs/>
          <w:color w:val="FF0000"/>
        </w:rPr>
        <w:t>s</w:t>
      </w:r>
      <w:r w:rsidRPr="00EA15E1">
        <w:rPr>
          <w:rFonts w:eastAsia="Calibri"/>
          <w:i/>
          <w:iCs/>
          <w:color w:val="FF0000"/>
        </w:rPr>
        <w:t>/tiekėjų grupės nariai</w:t>
      </w:r>
      <w:r w:rsidR="00847961">
        <w:rPr>
          <w:rFonts w:eastAsia="Calibri"/>
          <w:i/>
          <w:iCs/>
          <w:color w:val="FF0000"/>
        </w:rPr>
        <w:t>, subtiekėjai</w:t>
      </w:r>
      <w:r w:rsidRPr="00EA15E1">
        <w:rPr>
          <w:rFonts w:eastAsia="Calibri"/>
          <w:i/>
          <w:iCs/>
          <w:color w:val="FF0000"/>
        </w:rPr>
        <w:t xml:space="preserve"> </w:t>
      </w:r>
      <w:r>
        <w:rPr>
          <w:rFonts w:eastAsia="Calibri"/>
          <w:i/>
          <w:iCs/>
          <w:color w:val="FF0000"/>
        </w:rPr>
        <w:t xml:space="preserve">atskirai </w:t>
      </w:r>
      <w:r w:rsidRPr="00EA15E1">
        <w:rPr>
          <w:rFonts w:eastAsia="Calibri"/>
          <w:i/>
          <w:iCs/>
          <w:color w:val="FF0000"/>
        </w:rPr>
        <w:t>ir pateikia kartu su pasiūlymu</w:t>
      </w:r>
      <w:r w:rsidRPr="00EA15E1">
        <w:rPr>
          <w:rFonts w:eastAsia="Calibri"/>
        </w:rPr>
        <w:t>)</w:t>
      </w:r>
    </w:p>
    <w:p w14:paraId="77638BAD" w14:textId="77777777" w:rsidR="00885099" w:rsidRPr="002C0AD7" w:rsidRDefault="00885099" w:rsidP="00885099">
      <w:pPr>
        <w:widowControl w:val="0"/>
        <w:tabs>
          <w:tab w:val="right" w:leader="underscore" w:pos="9071"/>
        </w:tabs>
        <w:jc w:val="center"/>
        <w:rPr>
          <w:rFonts w:eastAsia="Calibri"/>
          <w:b/>
          <w:bCs/>
        </w:rPr>
      </w:pPr>
    </w:p>
    <w:p w14:paraId="40F273B1" w14:textId="6B1E552F" w:rsidR="00885099" w:rsidRPr="002C0AD7" w:rsidRDefault="00885099" w:rsidP="00885099">
      <w:pPr>
        <w:widowControl w:val="0"/>
        <w:tabs>
          <w:tab w:val="right" w:leader="underscore" w:pos="9071"/>
        </w:tabs>
        <w:jc w:val="center"/>
        <w:rPr>
          <w:rFonts w:eastAsia="Calibri"/>
        </w:rPr>
      </w:pPr>
      <w:r w:rsidRPr="002C0AD7">
        <w:rPr>
          <w:rFonts w:eastAsia="Calibri"/>
        </w:rPr>
        <w:t>202</w:t>
      </w:r>
      <w:r w:rsidR="00A43661">
        <w:rPr>
          <w:rFonts w:eastAsia="Calibri"/>
        </w:rPr>
        <w:t>6</w:t>
      </w:r>
      <w:r w:rsidRPr="002C0AD7">
        <w:rPr>
          <w:rFonts w:eastAsia="Calibri"/>
        </w:rPr>
        <w:t xml:space="preserve"> m._____________ d. Nr. ______</w:t>
      </w:r>
    </w:p>
    <w:p w14:paraId="304D3348" w14:textId="77777777" w:rsidR="00885099" w:rsidRPr="002C0AD7" w:rsidRDefault="00885099" w:rsidP="00885099">
      <w:pPr>
        <w:widowControl w:val="0"/>
        <w:tabs>
          <w:tab w:val="right" w:leader="underscore" w:pos="9071"/>
        </w:tabs>
        <w:jc w:val="center"/>
        <w:rPr>
          <w:rFonts w:eastAsia="Calibri"/>
        </w:rPr>
      </w:pPr>
      <w:r w:rsidRPr="002C0AD7">
        <w:rPr>
          <w:rFonts w:eastAsia="Calibri"/>
        </w:rPr>
        <w:t>__________________________</w:t>
      </w:r>
    </w:p>
    <w:p w14:paraId="1CB50CCD" w14:textId="77777777" w:rsidR="00885099" w:rsidRPr="002C0AD7" w:rsidRDefault="00885099" w:rsidP="00885099">
      <w:pPr>
        <w:widowControl w:val="0"/>
        <w:tabs>
          <w:tab w:val="right" w:leader="underscore" w:pos="9071"/>
        </w:tabs>
        <w:jc w:val="center"/>
      </w:pPr>
      <w:r w:rsidRPr="002C0AD7">
        <w:rPr>
          <w:rFonts w:eastAsia="Calibri"/>
          <w:i/>
          <w:iCs/>
        </w:rPr>
        <w:t>(Sudarymo vieta)</w:t>
      </w:r>
    </w:p>
    <w:p w14:paraId="68B8DE6D" w14:textId="77777777" w:rsidR="00885099" w:rsidRPr="002C0AD7" w:rsidRDefault="00885099" w:rsidP="00885099">
      <w:pPr>
        <w:ind w:firstLine="567"/>
        <w:jc w:val="both"/>
        <w:rPr>
          <w:color w:val="000000"/>
        </w:rPr>
      </w:pPr>
      <w:r w:rsidRPr="002C0AD7">
        <w:rPr>
          <w:color w:val="000000"/>
        </w:rPr>
        <w:t>Aš, ___________________________________________________________________ ,</w:t>
      </w:r>
    </w:p>
    <w:p w14:paraId="1739E027" w14:textId="77777777" w:rsidR="00885099" w:rsidRPr="002C0AD7" w:rsidRDefault="00885099" w:rsidP="00885099">
      <w:pPr>
        <w:ind w:left="960" w:firstLine="318"/>
        <w:jc w:val="both"/>
        <w:rPr>
          <w:color w:val="000000"/>
        </w:rPr>
      </w:pPr>
      <w:r w:rsidRPr="002C0AD7">
        <w:rPr>
          <w:i/>
          <w:iCs/>
          <w:color w:val="000000"/>
        </w:rPr>
        <w:t>(tiekėjo vadovo ar jo įgalioto asmens pareigų pavadinimas, vardas ir pavardė)</w:t>
      </w:r>
    </w:p>
    <w:p w14:paraId="225908DE" w14:textId="77777777" w:rsidR="00885099" w:rsidRPr="002C0AD7" w:rsidRDefault="00885099" w:rsidP="00885099">
      <w:pPr>
        <w:jc w:val="both"/>
        <w:rPr>
          <w:color w:val="000000"/>
        </w:rPr>
      </w:pPr>
      <w:r w:rsidRPr="002C0AD7">
        <w:rPr>
          <w:color w:val="000000"/>
        </w:rPr>
        <w:t>patvirtinu, kad mano vadovaujamas (-a) (atstovaujamas (-a))____________________________ ,</w:t>
      </w:r>
    </w:p>
    <w:p w14:paraId="4CB5F82D" w14:textId="77777777" w:rsidR="00885099" w:rsidRPr="002C0AD7" w:rsidRDefault="00885099" w:rsidP="00885099">
      <w:pPr>
        <w:ind w:left="5640" w:firstLine="742"/>
        <w:jc w:val="both"/>
        <w:rPr>
          <w:color w:val="000000"/>
        </w:rPr>
      </w:pPr>
      <w:r w:rsidRPr="002C0AD7">
        <w:rPr>
          <w:i/>
          <w:iCs/>
          <w:color w:val="000000"/>
        </w:rPr>
        <w:t xml:space="preserve">(tiekėjo pavadinimas)    </w:t>
      </w:r>
    </w:p>
    <w:p w14:paraId="7BFEB3C8" w14:textId="12021AC0" w:rsidR="00885099" w:rsidRPr="002C0AD7" w:rsidRDefault="00885099" w:rsidP="00885099">
      <w:pPr>
        <w:ind w:right="140"/>
        <w:jc w:val="both"/>
        <w:rPr>
          <w:color w:val="000000"/>
          <w:u w:val="single"/>
        </w:rPr>
      </w:pPr>
      <w:r w:rsidRPr="00885099">
        <w:rPr>
          <w:color w:val="000000"/>
        </w:rPr>
        <w:t>dalyvaujantis (-i) Kauno rajono savivaldybės administracijos vykdomame pirkime „</w:t>
      </w:r>
      <w:r w:rsidR="00A43661">
        <w:rPr>
          <w:b/>
        </w:rPr>
        <w:t>Elektroninių perspėjimo sirenų viešasis pirkimas</w:t>
      </w:r>
      <w:r w:rsidRPr="002F254A">
        <w:rPr>
          <w:bCs/>
        </w:rPr>
        <w:t xml:space="preserve">“, </w:t>
      </w:r>
      <w:r w:rsidRPr="002F254A">
        <w:rPr>
          <w:color w:val="000000"/>
        </w:rPr>
        <w:t>atitinka toliau nurodomus reikalavimus:</w:t>
      </w:r>
    </w:p>
    <w:p w14:paraId="7543ECE6" w14:textId="77777777" w:rsidR="00885099" w:rsidRPr="003F184A" w:rsidRDefault="00885099" w:rsidP="00885099">
      <w:pPr>
        <w:shd w:val="clear" w:color="auto" w:fill="FFFFFF"/>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885099" w:rsidRPr="003F184A" w14:paraId="0CDD8B41" w14:textId="77777777" w:rsidTr="00885099">
        <w:trPr>
          <w:trHeight w:val="134"/>
        </w:trPr>
        <w:tc>
          <w:tcPr>
            <w:tcW w:w="352" w:type="dxa"/>
            <w:tcBorders>
              <w:bottom w:val="single" w:sz="4" w:space="0" w:color="auto"/>
              <w:right w:val="nil"/>
            </w:tcBorders>
            <w:hideMark/>
          </w:tcPr>
          <w:p w14:paraId="49E42D76" w14:textId="77777777" w:rsidR="00885099" w:rsidRPr="003F184A" w:rsidRDefault="00885099" w:rsidP="00EA3483">
            <w:pPr>
              <w:rPr>
                <w:lang w:eastAsia="lt-LT"/>
              </w:rPr>
            </w:pPr>
            <w:r w:rsidRPr="003F184A">
              <w:rPr>
                <w:lang w:eastAsia="lt-LT"/>
              </w:rPr>
              <w:t>×</w:t>
            </w:r>
          </w:p>
        </w:tc>
        <w:tc>
          <w:tcPr>
            <w:tcW w:w="9566" w:type="dxa"/>
            <w:vMerge w:val="restart"/>
            <w:tcBorders>
              <w:top w:val="nil"/>
              <w:left w:val="nil"/>
              <w:bottom w:val="nil"/>
              <w:right w:val="nil"/>
            </w:tcBorders>
            <w:hideMark/>
          </w:tcPr>
          <w:p w14:paraId="51B0F616" w14:textId="309F94B2" w:rsidR="00885099" w:rsidRPr="003F184A" w:rsidRDefault="00F15E04" w:rsidP="00EA3483">
            <w:pPr>
              <w:shd w:val="clear" w:color="auto" w:fill="FFFFFF"/>
              <w:jc w:val="both"/>
              <w:rPr>
                <w:i/>
                <w:iCs/>
              </w:rPr>
            </w:pPr>
            <w:r w:rsidRPr="003F184A">
              <w:rPr>
                <w:lang w:eastAsia="lt-LT"/>
              </w:rPr>
              <w:t xml:space="preserve">tiekėjo siūlomos prekės nekelia grėsmės nacionaliniam saugumui </w:t>
            </w:r>
            <w:r w:rsidRPr="003F184A">
              <w:rPr>
                <w:color w:val="000000"/>
                <w:bdr w:val="none" w:sz="0" w:space="0" w:color="auto" w:frame="1"/>
              </w:rPr>
              <w:t>–</w:t>
            </w:r>
            <w:r w:rsidRPr="003F184A">
              <w:rPr>
                <w:lang w:eastAsia="lt-LT"/>
              </w:rPr>
              <w:t xml:space="preserve"> vadovaujantis Lietuvos Respublikos viešųjų pirkimų įstatymo (toliau – VPĮ) 37 straipsnio 9 dalies 1 punktu, </w:t>
            </w:r>
            <w:r w:rsidRPr="003F184A">
              <w:t>prekių gamintojas ar jį kontroliuojantis asmuo*</w:t>
            </w:r>
            <w:r w:rsidRPr="003F184A">
              <w:rPr>
                <w:color w:val="000000"/>
              </w:rPr>
              <w:t xml:space="preserve"> </w:t>
            </w:r>
            <w:r w:rsidRPr="003F184A">
              <w:t xml:space="preserve">nėra registruoti (jeigu gamintojas ar jį kontroliuojantis asmuo yra fizinis asmuo – nuolat gyvenantis ar turintis pilietybę) VPĮ 92 straipsnio 14 dalyje numatytame sąraše** nurodytose valstybėse ar teritorijose. </w:t>
            </w:r>
            <w:r w:rsidRPr="003F184A">
              <w:rPr>
                <w:lang w:eastAsia="lt-LT"/>
              </w:rPr>
              <w:t>(</w:t>
            </w:r>
            <w:r w:rsidRPr="00884A9D">
              <w:rPr>
                <w:b/>
                <w:bCs/>
                <w:i/>
                <w:iCs/>
                <w:lang w:eastAsia="lt-LT"/>
              </w:rPr>
              <w:t>Pirkimo sąlygų 12.2. punktas</w:t>
            </w:r>
            <w:r w:rsidRPr="003F184A">
              <w:rPr>
                <w:lang w:eastAsia="lt-LT"/>
              </w:rPr>
              <w:t>)</w:t>
            </w:r>
            <w:r w:rsidRPr="003F184A">
              <w:rPr>
                <w:i/>
              </w:rPr>
              <w:t xml:space="preserve">                         </w:t>
            </w:r>
            <w:r>
              <w:rPr>
                <w:i/>
              </w:rPr>
              <w:t xml:space="preserve"> </w:t>
            </w:r>
          </w:p>
        </w:tc>
      </w:tr>
      <w:tr w:rsidR="00885099" w:rsidRPr="003F184A" w14:paraId="10913AD6" w14:textId="77777777" w:rsidTr="00885099">
        <w:trPr>
          <w:trHeight w:val="134"/>
        </w:trPr>
        <w:tc>
          <w:tcPr>
            <w:tcW w:w="352" w:type="dxa"/>
            <w:tcBorders>
              <w:left w:val="nil"/>
              <w:bottom w:val="nil"/>
              <w:right w:val="nil"/>
            </w:tcBorders>
          </w:tcPr>
          <w:p w14:paraId="2A33E74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43B434A" w14:textId="77777777" w:rsidR="00885099" w:rsidRPr="003F184A" w:rsidRDefault="00885099" w:rsidP="00EA3483">
            <w:pPr>
              <w:rPr>
                <w:lang w:eastAsia="lt-LT"/>
              </w:rPr>
            </w:pPr>
          </w:p>
        </w:tc>
      </w:tr>
      <w:tr w:rsidR="00885099" w:rsidRPr="003F184A" w14:paraId="3B414757" w14:textId="77777777" w:rsidTr="00885099">
        <w:trPr>
          <w:trHeight w:val="344"/>
        </w:trPr>
        <w:tc>
          <w:tcPr>
            <w:tcW w:w="352" w:type="dxa"/>
            <w:tcBorders>
              <w:top w:val="nil"/>
              <w:left w:val="nil"/>
              <w:bottom w:val="nil"/>
              <w:right w:val="nil"/>
            </w:tcBorders>
          </w:tcPr>
          <w:p w14:paraId="2E8AEC2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2914CF0" w14:textId="77777777" w:rsidR="00885099" w:rsidRPr="003F184A" w:rsidRDefault="00885099" w:rsidP="00EA3483">
            <w:pPr>
              <w:rPr>
                <w:lang w:eastAsia="lt-LT"/>
              </w:rPr>
            </w:pPr>
          </w:p>
        </w:tc>
      </w:tr>
    </w:tbl>
    <w:p w14:paraId="525A9844" w14:textId="77777777" w:rsidR="00885099" w:rsidRPr="003F184A" w:rsidRDefault="00885099" w:rsidP="00885099">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885099" w:rsidRPr="002C0AD7" w14:paraId="19F4F7E3" w14:textId="77777777" w:rsidTr="00EA3483">
        <w:tc>
          <w:tcPr>
            <w:tcW w:w="352" w:type="dxa"/>
            <w:tcBorders>
              <w:top w:val="single" w:sz="4" w:space="0" w:color="auto"/>
              <w:left w:val="single" w:sz="4" w:space="0" w:color="auto"/>
              <w:bottom w:val="single" w:sz="4" w:space="0" w:color="auto"/>
              <w:right w:val="nil"/>
            </w:tcBorders>
            <w:hideMark/>
          </w:tcPr>
          <w:p w14:paraId="7890435D" w14:textId="77777777" w:rsidR="00885099" w:rsidRPr="003F184A" w:rsidRDefault="00885099" w:rsidP="00EA3483">
            <w:pPr>
              <w:rPr>
                <w:lang w:eastAsia="lt-LT"/>
              </w:rPr>
            </w:pPr>
            <w:r w:rsidRPr="003F184A">
              <w:rPr>
                <w:lang w:eastAsia="lt-LT"/>
              </w:rPr>
              <w:t>×</w:t>
            </w:r>
          </w:p>
        </w:tc>
        <w:tc>
          <w:tcPr>
            <w:tcW w:w="9574" w:type="dxa"/>
            <w:vMerge w:val="restart"/>
            <w:tcBorders>
              <w:top w:val="nil"/>
              <w:left w:val="nil"/>
              <w:bottom w:val="nil"/>
              <w:right w:val="nil"/>
            </w:tcBorders>
            <w:hideMark/>
          </w:tcPr>
          <w:p w14:paraId="51753EBF" w14:textId="77777777" w:rsidR="00885099" w:rsidRPr="002C0AD7" w:rsidRDefault="00885099" w:rsidP="00EA3483">
            <w:pPr>
              <w:jc w:val="both"/>
            </w:pPr>
            <w:r w:rsidRPr="003F184A">
              <w:rPr>
                <w:lang w:eastAsia="lt-LT"/>
              </w:rPr>
              <w:t>tiekėjas neturi interesų, galinčių kelti grėsmę nacionaliniam saugumui – vadovaujantis VPĮ 47 straipsnio 9 dalimi, jis pats,</w:t>
            </w:r>
            <w:r w:rsidRPr="003F184A">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F184A">
              <w:rPr>
                <w:lang w:eastAsia="lt-LT"/>
              </w:rPr>
              <w:t>(</w:t>
            </w:r>
            <w:r w:rsidRPr="00885099">
              <w:rPr>
                <w:b/>
                <w:bCs/>
                <w:lang w:eastAsia="lt-LT"/>
              </w:rPr>
              <w:t>Pirkimo sąlygų 12.3. punktas</w:t>
            </w:r>
            <w:r w:rsidRPr="003F184A">
              <w:rPr>
                <w:lang w:eastAsia="lt-LT"/>
              </w:rPr>
              <w:t>)</w:t>
            </w:r>
          </w:p>
        </w:tc>
      </w:tr>
      <w:tr w:rsidR="00885099" w:rsidRPr="002C0AD7" w14:paraId="10F2D3DD" w14:textId="77777777" w:rsidTr="00EA3483">
        <w:tc>
          <w:tcPr>
            <w:tcW w:w="352" w:type="dxa"/>
            <w:tcBorders>
              <w:top w:val="single" w:sz="4" w:space="0" w:color="auto"/>
              <w:left w:val="nil"/>
              <w:bottom w:val="nil"/>
              <w:right w:val="nil"/>
            </w:tcBorders>
          </w:tcPr>
          <w:p w14:paraId="65D6726A"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6EF03A20" w14:textId="77777777" w:rsidR="00885099" w:rsidRPr="002C0AD7" w:rsidRDefault="00885099" w:rsidP="00EA3483">
            <w:pPr>
              <w:rPr>
                <w:lang w:eastAsia="lt-LT"/>
              </w:rPr>
            </w:pPr>
          </w:p>
        </w:tc>
      </w:tr>
      <w:tr w:rsidR="00885099" w:rsidRPr="002C0AD7" w14:paraId="53DC598E" w14:textId="77777777" w:rsidTr="00EA3483">
        <w:tc>
          <w:tcPr>
            <w:tcW w:w="352" w:type="dxa"/>
            <w:tcBorders>
              <w:top w:val="nil"/>
              <w:left w:val="nil"/>
              <w:bottom w:val="nil"/>
              <w:right w:val="nil"/>
            </w:tcBorders>
          </w:tcPr>
          <w:p w14:paraId="4EB69109"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4CE6F89C" w14:textId="77777777" w:rsidR="00885099" w:rsidRPr="002C0AD7" w:rsidRDefault="00885099" w:rsidP="00EA3483">
            <w:pPr>
              <w:rPr>
                <w:lang w:eastAsia="lt-LT"/>
              </w:rPr>
            </w:pPr>
          </w:p>
        </w:tc>
      </w:tr>
    </w:tbl>
    <w:p w14:paraId="4764711B" w14:textId="77777777" w:rsidR="00885099" w:rsidRDefault="00885099" w:rsidP="00885099">
      <w:pPr>
        <w:jc w:val="both"/>
      </w:pPr>
    </w:p>
    <w:p w14:paraId="7353EE73" w14:textId="77777777" w:rsidR="00885099" w:rsidRPr="003F184A" w:rsidRDefault="00885099" w:rsidP="00885099">
      <w:pPr>
        <w:ind w:firstLine="567"/>
        <w:jc w:val="both"/>
        <w:textAlignment w:val="center"/>
        <w:rPr>
          <w:bCs/>
          <w:color w:val="000000"/>
          <w:sz w:val="22"/>
          <w:szCs w:val="22"/>
          <w:lang w:eastAsia="lt-LT"/>
        </w:rPr>
      </w:pPr>
      <w:r w:rsidRPr="00BE433A">
        <w:t>*</w:t>
      </w:r>
      <w:r w:rsidRPr="00BE433A">
        <w:rPr>
          <w:b/>
          <w:bCs/>
          <w:color w:val="000000"/>
          <w:lang w:eastAsia="lt-LT"/>
        </w:rPr>
        <w:t xml:space="preserve"> </w:t>
      </w:r>
      <w:r w:rsidRPr="00884A9D">
        <w:rPr>
          <w:color w:val="000000"/>
          <w:sz w:val="22"/>
          <w:szCs w:val="22"/>
          <w:lang w:eastAsia="lt-LT"/>
        </w:rPr>
        <w:t xml:space="preserve">Kontroliuojantis </w:t>
      </w:r>
      <w:r w:rsidRPr="001270C2">
        <w:rPr>
          <w:color w:val="000000"/>
          <w:sz w:val="22"/>
          <w:szCs w:val="22"/>
          <w:lang w:eastAsia="lt-LT"/>
        </w:rPr>
        <w:t>asmuo</w:t>
      </w:r>
      <w:r w:rsidRPr="001270C2">
        <w:rPr>
          <w:bCs/>
          <w:color w:val="000000"/>
          <w:sz w:val="22"/>
          <w:szCs w:val="22"/>
          <w:lang w:eastAsia="lt-LT"/>
        </w:rPr>
        <w:t xml:space="preserve"> (VPĮ 2 str. 15</w:t>
      </w:r>
      <w:r w:rsidRPr="001270C2">
        <w:rPr>
          <w:bCs/>
          <w:color w:val="000000"/>
          <w:sz w:val="22"/>
          <w:szCs w:val="22"/>
          <w:vertAlign w:val="superscript"/>
          <w:lang w:eastAsia="lt-LT"/>
        </w:rPr>
        <w:t>1</w:t>
      </w:r>
      <w:r w:rsidRPr="001270C2">
        <w:rPr>
          <w:bCs/>
          <w:color w:val="000000"/>
          <w:sz w:val="22"/>
          <w:szCs w:val="22"/>
          <w:lang w:eastAsia="lt-LT"/>
        </w:rPr>
        <w:t xml:space="preserve"> p.) </w:t>
      </w:r>
      <w:r w:rsidRPr="001270C2">
        <w:rPr>
          <w:bCs/>
          <w:color w:val="000000"/>
          <w:sz w:val="22"/>
          <w:szCs w:val="22"/>
        </w:rPr>
        <w:t>– individualios</w:t>
      </w:r>
      <w:r w:rsidRPr="003F184A">
        <w:rPr>
          <w:bCs/>
          <w:color w:val="000000"/>
          <w:sz w:val="22"/>
          <w:szCs w:val="22"/>
        </w:rPr>
        <w:t xml:space="preserve"> įmonės savininkas arba juridinis ar fizinis asmuo, kuris kitame juridiniame asmenyje:</w:t>
      </w:r>
    </w:p>
    <w:p w14:paraId="75EFA337"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1) tiesiogiai ar netiesiogiai valdo daugiau kaip 50 procentų akcijų, pajų, dalių, įnašų ar (ir) balsų juridinio asmens dalyvių susirinkime arba</w:t>
      </w:r>
    </w:p>
    <w:p w14:paraId="0555757D"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88DD4E"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F184A">
          <w:rPr>
            <w:bCs/>
            <w:color w:val="0563C1" w:themeColor="hyperlink"/>
            <w:sz w:val="22"/>
            <w:szCs w:val="22"/>
            <w:u w:val="single"/>
          </w:rPr>
          <w:t>2013/34/ES</w:t>
        </w:r>
      </w:hyperlink>
      <w:r w:rsidRPr="003F184A">
        <w:rPr>
          <w:bCs/>
          <w:color w:val="000000"/>
          <w:sz w:val="22"/>
          <w:szCs w:val="22"/>
        </w:rPr>
        <w:t xml:space="preserve"> nustatytus reikalavimus;</w:t>
      </w:r>
    </w:p>
    <w:p w14:paraId="2F9EC936" w14:textId="77777777" w:rsidR="00885099" w:rsidRPr="003F184A" w:rsidRDefault="00885099" w:rsidP="00885099">
      <w:pPr>
        <w:jc w:val="both"/>
        <w:textAlignment w:val="center"/>
        <w:rPr>
          <w:sz w:val="22"/>
          <w:szCs w:val="22"/>
        </w:rPr>
      </w:pPr>
      <w:r w:rsidRPr="003F184A">
        <w:rPr>
          <w:bCs/>
          <w:color w:val="000000"/>
          <w:sz w:val="22"/>
          <w:szCs w:val="22"/>
        </w:rPr>
        <w:t>b) fizinių asmenų atveju – sutuoktiniai, tėvai ir jų vaikai (įvaikiai).</w:t>
      </w:r>
      <w:r w:rsidRPr="003F184A">
        <w:rPr>
          <w:sz w:val="22"/>
          <w:szCs w:val="22"/>
        </w:rPr>
        <w:t xml:space="preserve"> </w:t>
      </w:r>
    </w:p>
    <w:p w14:paraId="7999E837" w14:textId="77777777" w:rsidR="00885099" w:rsidRPr="00BE433A" w:rsidRDefault="00885099" w:rsidP="00885099">
      <w:pPr>
        <w:jc w:val="both"/>
        <w:textAlignment w:val="center"/>
      </w:pPr>
    </w:p>
    <w:p w14:paraId="206E90C0" w14:textId="77777777" w:rsidR="00885099" w:rsidRDefault="00885099" w:rsidP="00885099">
      <w:pPr>
        <w:ind w:firstLine="567"/>
        <w:jc w:val="both"/>
        <w:textAlignment w:val="center"/>
        <w:rPr>
          <w:sz w:val="22"/>
          <w:szCs w:val="22"/>
          <w:lang w:eastAsia="lt-LT"/>
        </w:rPr>
      </w:pPr>
      <w:r w:rsidRPr="000B4FAC">
        <w:t>**</w:t>
      </w:r>
      <w:r w:rsidRPr="000B4FAC">
        <w:rPr>
          <w:sz w:val="22"/>
          <w:szCs w:val="22"/>
          <w:lang w:eastAsia="lt-LT"/>
        </w:rPr>
        <w:t>Rusijos</w:t>
      </w:r>
      <w:r w:rsidRPr="003F184A">
        <w:rPr>
          <w:sz w:val="22"/>
          <w:szCs w:val="22"/>
          <w:lang w:eastAsia="lt-LT"/>
        </w:rPr>
        <w:t xml:space="preserve"> Federacija; Baltarusijos Respublika; Kinijos Liaudies Respublika, netaikoma Taivano (Penghu, Kinmeno ir Matsu) atskirajai muitų teritorijai; Rusijos Federacijos aneksuotas Krymas; Moldovos Respublikos </w:t>
      </w:r>
      <w:r w:rsidRPr="003F184A">
        <w:rPr>
          <w:sz w:val="22"/>
          <w:szCs w:val="22"/>
          <w:lang w:eastAsia="lt-LT"/>
        </w:rPr>
        <w:lastRenderedPageBreak/>
        <w:t>Vyriausybės nekontroliuojama Padniestrės teritorija; Sakartvelo Vyriausybės nekontroliuojamos Abchazijos ir Pietų Osetijos teritorijos.</w:t>
      </w:r>
    </w:p>
    <w:p w14:paraId="4CB3D883" w14:textId="77777777" w:rsidR="00885099" w:rsidRDefault="00885099" w:rsidP="00885099">
      <w:pPr>
        <w:jc w:val="both"/>
        <w:textAlignment w:val="center"/>
        <w:rPr>
          <w:sz w:val="22"/>
          <w:szCs w:val="22"/>
          <w:lang w:eastAsia="lt-LT"/>
        </w:rPr>
      </w:pPr>
    </w:p>
    <w:p w14:paraId="2A85ED5C" w14:textId="77777777" w:rsidR="00885099" w:rsidRDefault="00885099" w:rsidP="00885099">
      <w:pPr>
        <w:shd w:val="clear" w:color="auto" w:fill="FFFFFF"/>
        <w:tabs>
          <w:tab w:val="left" w:pos="1843"/>
        </w:tabs>
        <w:ind w:firstLine="567"/>
      </w:pPr>
      <w:r w:rsidRPr="002C0AD7">
        <w:t>Patvirtinu, kad šie duomenys yra teisingi ir aktualūs pasiūlymo pateikimo dieną.</w:t>
      </w:r>
    </w:p>
    <w:p w14:paraId="6EEFBF1B" w14:textId="77777777" w:rsidR="00885099" w:rsidRPr="002C0AD7" w:rsidRDefault="00885099" w:rsidP="00885099">
      <w:pPr>
        <w:shd w:val="clear" w:color="auto" w:fill="FFFFFF"/>
        <w:tabs>
          <w:tab w:val="left" w:pos="1843"/>
        </w:tabs>
        <w:ind w:firstLine="567"/>
      </w:pPr>
    </w:p>
    <w:p w14:paraId="7E836318" w14:textId="77777777" w:rsidR="00885099" w:rsidRDefault="00885099" w:rsidP="00885099">
      <w:pPr>
        <w:ind w:firstLine="567"/>
        <w:jc w:val="both"/>
      </w:pPr>
      <w:r w:rsidRPr="002C0AD7">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17D8C54" w14:textId="77777777" w:rsidR="00885099" w:rsidRPr="002C0AD7" w:rsidRDefault="00885099" w:rsidP="00885099">
      <w:pPr>
        <w:ind w:firstLine="567"/>
        <w:jc w:val="both"/>
      </w:pPr>
    </w:p>
    <w:p w14:paraId="187D28B1" w14:textId="77777777" w:rsidR="00885099" w:rsidRDefault="00885099" w:rsidP="00885099">
      <w:pPr>
        <w:ind w:firstLine="567"/>
        <w:jc w:val="both"/>
      </w:pPr>
      <w:r w:rsidRPr="002C0AD7">
        <w:t>Suprantu, kad jeigu pagal vertinimo rezultatus pasiūlymas bus pripažintas laimėjusiu, turės būti pateikti perkančiosios organizacijos nurodyti atitiktį nacionalinio saugumo reikalavimams patvirtinantys dokumentai.</w:t>
      </w:r>
    </w:p>
    <w:p w14:paraId="148ECE4B" w14:textId="77777777" w:rsidR="00885099" w:rsidRPr="003F184A" w:rsidRDefault="00885099" w:rsidP="00885099">
      <w:pPr>
        <w:ind w:firstLine="567"/>
        <w:jc w:val="both"/>
        <w:textAlignment w:val="center"/>
        <w:rPr>
          <w:sz w:val="22"/>
          <w:szCs w:val="22"/>
        </w:rPr>
      </w:pPr>
    </w:p>
    <w:p w14:paraId="458CCB5E" w14:textId="77777777" w:rsidR="00885099" w:rsidRPr="003F184A" w:rsidRDefault="00885099" w:rsidP="00885099">
      <w:pPr>
        <w:jc w:val="both"/>
        <w:rPr>
          <w:sz w:val="22"/>
          <w:szCs w:val="22"/>
        </w:rPr>
      </w:pPr>
    </w:p>
    <w:p w14:paraId="4562B0DC" w14:textId="77777777" w:rsidR="00885099" w:rsidRPr="002C0AD7" w:rsidRDefault="00885099" w:rsidP="00885099">
      <w:pPr>
        <w:widowControl w:val="0"/>
        <w:jc w:val="center"/>
      </w:pPr>
    </w:p>
    <w:p w14:paraId="7627CE59" w14:textId="77777777" w:rsidR="00885099" w:rsidRPr="002C0AD7" w:rsidRDefault="00885099" w:rsidP="00885099">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702411C8" w14:textId="77777777" w:rsidR="00885099" w:rsidRPr="002C0AD7" w:rsidRDefault="00885099" w:rsidP="00885099">
      <w:pPr>
        <w:widowControl w:val="0"/>
        <w:ind w:firstLine="471"/>
      </w:pPr>
      <w:r w:rsidRPr="002C0AD7">
        <w:rPr>
          <w:rFonts w:eastAsia="Calibri"/>
          <w:i/>
          <w:iCs/>
        </w:rPr>
        <w:t>(pareigos)                                                   (parašas)                                      (vardas ir pavardė)</w:t>
      </w:r>
    </w:p>
    <w:p w14:paraId="32CB23C3" w14:textId="77777777" w:rsidR="00885099" w:rsidRDefault="00885099" w:rsidP="00885099">
      <w:pPr>
        <w:suppressAutoHyphens w:val="0"/>
        <w:autoSpaceDN/>
        <w:textAlignment w:val="auto"/>
        <w:rPr>
          <w:rStyle w:val="Lentelsuraas2"/>
          <w:b/>
        </w:rPr>
      </w:pPr>
    </w:p>
    <w:p w14:paraId="3627BE4A" w14:textId="77777777" w:rsidR="00885099" w:rsidRDefault="00885099" w:rsidP="00885099">
      <w:pPr>
        <w:suppressAutoHyphens w:val="0"/>
        <w:autoSpaceDN/>
        <w:spacing w:before="240"/>
        <w:textAlignment w:val="auto"/>
        <w:rPr>
          <w:rStyle w:val="Lentelsuraas2"/>
          <w:lang w:eastAsia="lt-LT"/>
        </w:rPr>
      </w:pPr>
    </w:p>
    <w:p w14:paraId="2DBBFD8B" w14:textId="77777777" w:rsidR="00885099" w:rsidRDefault="00885099" w:rsidP="00885099">
      <w:pPr>
        <w:suppressAutoHyphens w:val="0"/>
        <w:autoSpaceDN/>
        <w:spacing w:before="240"/>
        <w:textAlignment w:val="auto"/>
        <w:rPr>
          <w:rStyle w:val="Lentelsuraas2"/>
          <w:lang w:eastAsia="lt-LT"/>
        </w:rPr>
      </w:pPr>
    </w:p>
    <w:p w14:paraId="5B479E18" w14:textId="77777777" w:rsidR="00C66DA3" w:rsidRDefault="00C66DA3"/>
    <w:sectPr w:rsidR="00C66DA3" w:rsidSect="00885099">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3"/>
    <w:rsid w:val="001120D0"/>
    <w:rsid w:val="0028009F"/>
    <w:rsid w:val="002A4C29"/>
    <w:rsid w:val="003B5564"/>
    <w:rsid w:val="006740C5"/>
    <w:rsid w:val="00847961"/>
    <w:rsid w:val="00885099"/>
    <w:rsid w:val="00A343E7"/>
    <w:rsid w:val="00A43661"/>
    <w:rsid w:val="00BF56D8"/>
    <w:rsid w:val="00C66DA3"/>
    <w:rsid w:val="00C81B27"/>
    <w:rsid w:val="00DC1FFD"/>
    <w:rsid w:val="00F15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030"/>
  <w15:chartTrackingRefBased/>
  <w15:docId w15:val="{A877D077-AB07-4B82-A8D3-A9F7D19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5099"/>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entelsuraas2">
    <w:name w:val="Lentelės u˛raas (2)"/>
    <w:rsid w:val="00885099"/>
    <w:rPr>
      <w:rFonts w:ascii="Times New Roman" w:hAnsi="Times New Roman" w:cs="Times New Roman"/>
      <w:spacing w:val="0"/>
      <w:sz w:val="22"/>
      <w:szCs w:val="22"/>
    </w:rPr>
  </w:style>
  <w:style w:type="character" w:styleId="Hipersaitas">
    <w:name w:val="Hyperlink"/>
    <w:aliases w:val="Alna"/>
    <w:rsid w:val="00885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2663</Words>
  <Characters>1519</Characters>
  <Application>Microsoft Office Word</Application>
  <DocSecurity>0</DocSecurity>
  <Lines>12</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4</cp:revision>
  <dcterms:created xsi:type="dcterms:W3CDTF">2026-06-01T11:44:00Z</dcterms:created>
  <dcterms:modified xsi:type="dcterms:W3CDTF">2026-06-01T11:44:00Z</dcterms:modified>
</cp:coreProperties>
</file>