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956F" w14:textId="45A3DC15" w:rsidR="002D2867" w:rsidRPr="003E0FF5" w:rsidRDefault="003E0FF5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3E0FF5">
        <w:rPr>
          <w:rFonts w:ascii="Times New Roman" w:hAnsi="Times New Roman" w:cs="Times New Roman"/>
          <w:b/>
          <w:bCs/>
          <w:lang w:val="lt-LT"/>
        </w:rPr>
        <w:t>Suinteresuotiems tiekėjams</w:t>
      </w:r>
      <w:r w:rsidR="00ED30E8" w:rsidRPr="003E0FF5">
        <w:rPr>
          <w:rFonts w:ascii="Times New Roman" w:hAnsi="Times New Roman" w:cs="Times New Roman"/>
          <w:b/>
          <w:bCs/>
          <w:lang w:val="lt-LT"/>
        </w:rPr>
        <w:t xml:space="preserve">        </w:t>
      </w:r>
      <w:r w:rsidR="002D2867" w:rsidRPr="003E0FF5">
        <w:rPr>
          <w:rFonts w:ascii="Times New Roman" w:hAnsi="Times New Roman" w:cs="Times New Roman"/>
          <w:b/>
          <w:bCs/>
          <w:lang w:val="lt-LT"/>
        </w:rPr>
        <w:t xml:space="preserve">        </w:t>
      </w:r>
    </w:p>
    <w:p w14:paraId="05B35CD3" w14:textId="77777777" w:rsidR="002D2867" w:rsidRDefault="002D2867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1ED8E91" w14:textId="7A4EDD16" w:rsidR="00FB7F36" w:rsidRPr="001C27F0" w:rsidRDefault="002D2867" w:rsidP="001C27F0">
      <w:pPr>
        <w:pStyle w:val="HTMLiankstoformatuotas"/>
        <w:shd w:val="clear" w:color="auto" w:fill="FFFFFF"/>
        <w:tabs>
          <w:tab w:val="clear" w:pos="916"/>
          <w:tab w:val="clear" w:pos="10076"/>
          <w:tab w:val="left" w:pos="426"/>
          <w:tab w:val="left" w:pos="9781"/>
        </w:tabs>
        <w:rPr>
          <w:rFonts w:ascii="Times New Roman" w:hAnsi="Times New Roman" w:cs="Times New Roman"/>
          <w:sz w:val="24"/>
          <w:szCs w:val="24"/>
        </w:rPr>
      </w:pPr>
      <w:r w:rsidRPr="00F33BAB">
        <w:rPr>
          <w:rFonts w:ascii="Times New Roman" w:hAnsi="Times New Roman" w:cs="Times New Roman"/>
        </w:rPr>
        <w:t xml:space="preserve">   </w:t>
      </w:r>
      <w:r w:rsidR="00FB7F36" w:rsidRPr="001C27F0">
        <w:rPr>
          <w:rFonts w:ascii="Times New Roman" w:hAnsi="Times New Roman" w:cs="Times New Roman"/>
          <w:sz w:val="24"/>
          <w:szCs w:val="24"/>
        </w:rPr>
        <w:t xml:space="preserve">UAB „Grinda” (toliau  - Perkančioji organizacija) vykdo pirkimą </w:t>
      </w:r>
      <w:r w:rsidR="001C27F0" w:rsidRPr="001C2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Keltuvai asmenims su negalia   </w:t>
      </w:r>
      <w:r w:rsidR="00FB7F36" w:rsidRPr="001C2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CVP IS Nr. </w:t>
      </w:r>
      <w:r w:rsidR="001C27F0" w:rsidRPr="001C27F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7996845 </w:t>
      </w:r>
      <w:r w:rsidR="00FB7F36" w:rsidRPr="001C2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(toliau – </w:t>
      </w:r>
      <w:proofErr w:type="gramStart"/>
      <w:r w:rsidR="00FB7F36" w:rsidRPr="001C2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Pirkimas) </w:t>
      </w:r>
      <w:r w:rsidR="00FB7F36" w:rsidRPr="001C27F0">
        <w:rPr>
          <w:rFonts w:ascii="Times New Roman" w:hAnsi="Times New Roman" w:cs="Times New Roman"/>
          <w:sz w:val="24"/>
          <w:szCs w:val="24"/>
        </w:rPr>
        <w:t xml:space="preserve"> skelbiamos</w:t>
      </w:r>
      <w:proofErr w:type="gramEnd"/>
      <w:r w:rsidR="00FB7F36" w:rsidRPr="001C27F0">
        <w:rPr>
          <w:rFonts w:ascii="Times New Roman" w:hAnsi="Times New Roman" w:cs="Times New Roman"/>
          <w:sz w:val="24"/>
          <w:szCs w:val="24"/>
        </w:rPr>
        <w:t xml:space="preserve"> apklausos konkurso būdu.</w:t>
      </w:r>
      <w:r w:rsidR="001C27F0" w:rsidRPr="001C27F0">
        <w:rPr>
          <w:rFonts w:ascii="Times New Roman" w:hAnsi="Times New Roman" w:cs="Times New Roman"/>
          <w:sz w:val="24"/>
          <w:szCs w:val="24"/>
        </w:rPr>
        <w:t xml:space="preserve"> </w:t>
      </w:r>
      <w:r w:rsidR="00FB7F36" w:rsidRPr="001C27F0">
        <w:rPr>
          <w:rFonts w:ascii="Times New Roman" w:hAnsi="Times New Roman" w:cs="Times New Roman"/>
          <w:sz w:val="24"/>
          <w:szCs w:val="24"/>
        </w:rPr>
        <w:t>Informuojame, kad gauti šie tiekėjo klausimai (kalba netaisyta) ir teikiame atsakymą į jį:</w:t>
      </w:r>
    </w:p>
    <w:p w14:paraId="1A5ACC41" w14:textId="5F83BDE1" w:rsidR="00D81D7C" w:rsidRPr="001C27F0" w:rsidRDefault="00D81D7C" w:rsidP="002D2867">
      <w:pPr>
        <w:spacing w:after="0" w:line="240" w:lineRule="auto"/>
        <w:ind w:right="403"/>
        <w:jc w:val="both"/>
        <w:textAlignment w:val="baseline"/>
        <w:rPr>
          <w:rFonts w:ascii="Times New Roman" w:eastAsia="Times New Roman" w:hAnsi="Times New Roman" w:cs="Times New Roman"/>
          <w:lang w:val="lt-LT" w:eastAsia="lt-LT"/>
        </w:rPr>
      </w:pPr>
    </w:p>
    <w:tbl>
      <w:tblPr>
        <w:tblStyle w:val="Lentelstinklelis"/>
        <w:tblpPr w:leftFromText="180" w:rightFromText="180" w:vertAnchor="text" w:horzAnchor="margin" w:tblpY="245"/>
        <w:tblW w:w="10201" w:type="dxa"/>
        <w:tblLook w:val="04A0" w:firstRow="1" w:lastRow="0" w:firstColumn="1" w:lastColumn="0" w:noHBand="0" w:noVBand="1"/>
      </w:tblPr>
      <w:tblGrid>
        <w:gridCol w:w="5468"/>
        <w:gridCol w:w="4733"/>
      </w:tblGrid>
      <w:tr w:rsidR="00036D7E" w:rsidRPr="007D2703" w14:paraId="326CC10E" w14:textId="77777777" w:rsidTr="404B8512">
        <w:tc>
          <w:tcPr>
            <w:tcW w:w="4675" w:type="dxa"/>
            <w:shd w:val="clear" w:color="auto" w:fill="FAE2D5" w:themeFill="accent2" w:themeFillTint="33"/>
          </w:tcPr>
          <w:p w14:paraId="10372646" w14:textId="77777777" w:rsidR="00036D7E" w:rsidRPr="007D2703" w:rsidRDefault="00036D7E" w:rsidP="00864A5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7D2703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Klausimai</w:t>
            </w:r>
          </w:p>
        </w:tc>
        <w:tc>
          <w:tcPr>
            <w:tcW w:w="5526" w:type="dxa"/>
            <w:shd w:val="clear" w:color="auto" w:fill="FAE2D5" w:themeFill="accent2" w:themeFillTint="33"/>
          </w:tcPr>
          <w:p w14:paraId="2EC40E7E" w14:textId="77777777" w:rsidR="00036D7E" w:rsidRPr="007D2703" w:rsidRDefault="00036D7E" w:rsidP="00864A5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7D2703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Atsakymai</w:t>
            </w:r>
          </w:p>
        </w:tc>
      </w:tr>
      <w:tr w:rsidR="00036D7E" w:rsidRPr="007D2703" w14:paraId="4FB9AED8" w14:textId="77777777" w:rsidTr="404B8512">
        <w:tc>
          <w:tcPr>
            <w:tcW w:w="4675" w:type="dxa"/>
          </w:tcPr>
          <w:p w14:paraId="7F295AFA" w14:textId="77777777" w:rsidR="00036D7E" w:rsidRDefault="001C27F0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B67E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Pirkimo dokumentuose nurodyta, kad darbų atlikimo terminas yra tik 3 mėn. Pranešame, kad tokiu sezonu gamyklos net ir dirbdamos pilnu pajėgumu nesugebės </w:t>
            </w:r>
            <w:proofErr w:type="spellStart"/>
            <w:r w:rsidRPr="00BB67E8">
              <w:rPr>
                <w:rFonts w:ascii="Times New Roman" w:eastAsia="Times New Roman" w:hAnsi="Times New Roman" w:cs="Times New Roman"/>
                <w:lang w:val="lt-LT" w:eastAsia="lt-LT"/>
              </w:rPr>
              <w:t>įvykdytį</w:t>
            </w:r>
            <w:proofErr w:type="spellEnd"/>
            <w:r w:rsidRPr="00BB67E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tokių terminų. Objektų yra daug su skirtingais įrenginiais o terminas suteiktas tik 3 mėnesiai. Prašome pratęsti darbų atlikimo terminą bent iki 5 mėn. atkreipiant dėmesį į darbų kiekį ir sezoną.</w:t>
            </w:r>
          </w:p>
          <w:p w14:paraId="44A5D827" w14:textId="77777777" w:rsidR="001C27F0" w:rsidRPr="001C27F0" w:rsidRDefault="001C27F0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4FA85CC" w14:textId="44B3651F" w:rsidR="401707A4" w:rsidRDefault="401707A4" w:rsidP="401707A4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3B52070" w14:textId="2BA8EA6E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2F1092D" w14:textId="76FC12B8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B505479" w14:textId="1A3D75A1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3C3941B" w14:textId="74353557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2DD93761" w14:textId="690216C3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9355AD7" w14:textId="4F2C9744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3AC3A722" w14:textId="0BC8FF4E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2012ACC" w14:textId="403DA7B5" w:rsidR="00B54D95" w:rsidRDefault="00B54D95" w:rsidP="404B8512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0086B2D" w14:textId="70A06810" w:rsidR="00B54D95" w:rsidRDefault="00B54D95" w:rsidP="404B8512">
            <w:pPr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1974E8A" w14:textId="29230CBC" w:rsidR="00B54D95" w:rsidRDefault="00B54D95" w:rsidP="404B8512">
            <w:pPr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2D8C851" w14:textId="6061308F" w:rsidR="00B54D95" w:rsidRDefault="00B54D95" w:rsidP="404B8512">
            <w:pPr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1FF095A" w14:textId="4AF65F20" w:rsidR="00B54D95" w:rsidRDefault="404B8512" w:rsidP="404B8512">
            <w:pPr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Priede Nr. 3 ir Priede Nr. 1 Prašome nurodyti ar tiekėjai gali siūlyti prekes tik pagal priede </w:t>
            </w:r>
            <w:proofErr w:type="spellStart"/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>nr.</w:t>
            </w:r>
            <w:proofErr w:type="spellEnd"/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3 pateiktus reikalavimus? Priede </w:t>
            </w:r>
            <w:proofErr w:type="spellStart"/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>nr.</w:t>
            </w:r>
            <w:proofErr w:type="spellEnd"/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1 yra pateiktos specifikacijos tam tikrų keltuvų, todėl taip yra ribojama tiekėjų konkurencija, o priede </w:t>
            </w:r>
            <w:proofErr w:type="spellStart"/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>nr.</w:t>
            </w:r>
            <w:proofErr w:type="spellEnd"/>
            <w:r w:rsidRPr="404B851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3 nurodyti reikalavimai yra atviresni tiekėjams.</w:t>
            </w:r>
            <w:r w:rsidR="001C27F0">
              <w:br/>
            </w:r>
            <w:r w:rsidR="001C27F0">
              <w:br/>
            </w:r>
          </w:p>
          <w:p w14:paraId="515F07E3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35FCF9F2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358FDE9B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35551FC4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73FFBE9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27C0BFB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7488D94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FE40670" w14:textId="77777777" w:rsidR="00A444B5" w:rsidRDefault="00A444B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79CF60A" w14:textId="49BBC4A2" w:rsidR="00B54D95" w:rsidRDefault="001C27F0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D90023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Ar galima siūlyti mobilų keltuvą su platesne važiuokle nei nurodyta priede </w:t>
            </w:r>
            <w:proofErr w:type="spellStart"/>
            <w:r w:rsidRPr="00D90023">
              <w:rPr>
                <w:rFonts w:ascii="Times New Roman" w:eastAsia="Times New Roman" w:hAnsi="Times New Roman" w:cs="Times New Roman"/>
                <w:lang w:val="lt-LT" w:eastAsia="lt-LT"/>
              </w:rPr>
              <w:t>nr.</w:t>
            </w:r>
            <w:proofErr w:type="spellEnd"/>
            <w:r w:rsidRPr="00D90023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3 , pvz. 915 mm pločio, o kablio bendras aukštis nuo grindų lygio 1710 mm ?</w:t>
            </w:r>
            <w:r w:rsidRPr="001C27F0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  <w:r w:rsidRPr="001C27F0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56A2CBE9" w14:textId="77777777" w:rsidR="00B54D95" w:rsidRDefault="00B54D9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177ED39" w14:textId="77777777" w:rsidR="00B54D95" w:rsidRDefault="00B54D9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12F290F" w14:textId="77777777" w:rsidR="00B54D95" w:rsidRDefault="00B54D9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4C9C0B7" w14:textId="77777777" w:rsidR="00B54D95" w:rsidRDefault="00B54D9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5B63CAA" w14:textId="77777777" w:rsidR="001C27F0" w:rsidRDefault="001C27F0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C27F0">
              <w:rPr>
                <w:rFonts w:ascii="Times New Roman" w:eastAsia="Times New Roman" w:hAnsi="Times New Roman" w:cs="Times New Roman"/>
                <w:lang w:val="lt-LT" w:eastAsia="lt-LT"/>
              </w:rPr>
              <w:t>Prašome nurodyti kas paruoš keltuvų įrengimo vietas, atves elektrą, įrengs pamatus ir t.t. ? Pavyzdžiui, projektuose nurodoma, kad komutacines spinteles įrengia keltuvo tiekėjas, vadinasi atveda ir elektrą. Kitoje dalyje jau rašoma, kad keltuvo komutacines spintelės įrengiamos pagal tiekėjo rekomendacijas.</w:t>
            </w:r>
            <w:r w:rsidRPr="001C27F0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  <w:r w:rsidRPr="001C27F0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  <w:r w:rsidRPr="00DB0F3A">
              <w:rPr>
                <w:rFonts w:ascii="Times New Roman" w:eastAsia="Times New Roman" w:hAnsi="Times New Roman" w:cs="Times New Roman"/>
                <w:lang w:val="lt-LT" w:eastAsia="lt-LT"/>
              </w:rPr>
              <w:t>Justiniškių g. 75-27 lauko keltuvas negali būti įrengtas taip kaip parodyta projekte.</w:t>
            </w:r>
            <w:r w:rsidRPr="001C27F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Jis turi būti atitrauktas šiek tiek toliau nuo laiptų, todėl iškart apačioje keltuvas neužsisuks nes reikia ilgesnio kelio norint stabdyti keltuvą ties paskutine pakopa, o ant aikštelės keltuvas netilps nes trukdys durims. Pridedama keltuvo kelio schema.</w:t>
            </w:r>
          </w:p>
          <w:p w14:paraId="67BF48E8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4E6C560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270EC3C2" w14:textId="645A9899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drawing>
                <wp:inline distT="0" distB="0" distL="0" distR="0" wp14:anchorId="029D04E5" wp14:editId="2004F0A0">
                  <wp:extent cx="3225855" cy="1911384"/>
                  <wp:effectExtent l="0" t="0" r="0" b="0"/>
                  <wp:docPr id="99716341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163413" name="Paveikslėlis 9971634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69" cy="192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E52C4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AC4876E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E826E2C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2B57CF4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CA0A600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289E13BF" w14:textId="77777777" w:rsidR="00285B65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137024B" w14:textId="6947064E" w:rsidR="00285B65" w:rsidRPr="001C27F0" w:rsidRDefault="00285B65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5526" w:type="dxa"/>
          </w:tcPr>
          <w:p w14:paraId="38E5696B" w14:textId="6CEA3812" w:rsidR="404B8512" w:rsidRPr="00FA5F57" w:rsidRDefault="404B8512" w:rsidP="404B8512">
            <w:pPr>
              <w:jc w:val="both"/>
              <w:rPr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Informuojame, kad pirkimo dokumentuose nustatytas 3 (trijų) mėnesių darbų atlikimo terminas bus taikomas nuo konkretaus Užsakovo užsakymo pateikimo dienos.</w:t>
            </w:r>
            <w:r w:rsidRPr="00FA5F57">
              <w:rPr>
                <w:rFonts w:ascii="Tahoma" w:eastAsia="Tahoma" w:hAnsi="Tahoma" w:cs="Tahoma"/>
                <w:sz w:val="22"/>
                <w:szCs w:val="22"/>
                <w:lang w:val="lt-LT"/>
              </w:rPr>
              <w:t xml:space="preserve"> </w:t>
            </w:r>
            <w:r w:rsidRPr="00FA5F5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U</w:t>
            </w:r>
            <w:r w:rsidRPr="00FA5F57">
              <w:rPr>
                <w:rFonts w:ascii="Times New Roman" w:eastAsia="Times New Roman" w:hAnsi="Times New Roman" w:cs="Times New Roman"/>
                <w:lang w:val="lt-LT"/>
              </w:rPr>
              <w:t>žsakymai bus teikiami pagal Užsakovo poreikį Sutarties galiojimo laikotarpiu. Minėtas terminas nėra taikomas visų pagal sutartį numatytų darbų atlikimui bendrai.</w:t>
            </w:r>
          </w:p>
          <w:p w14:paraId="2E2AF0BA" w14:textId="6CCC0FFD" w:rsidR="404B8512" w:rsidRPr="00FA5F57" w:rsidRDefault="404B8512" w:rsidP="404B8512">
            <w:pPr>
              <w:jc w:val="both"/>
              <w:rPr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Patiksliname, kad </w:t>
            </w:r>
            <w:r w:rsidR="00727AF2">
              <w:rPr>
                <w:rFonts w:ascii="Times New Roman" w:eastAsia="Times New Roman" w:hAnsi="Times New Roman" w:cs="Times New Roman"/>
                <w:lang w:val="lt-LT"/>
              </w:rPr>
              <w:t>tikslinam</w:t>
            </w:r>
            <w:r w:rsidR="009527CA">
              <w:rPr>
                <w:rFonts w:ascii="Times New Roman" w:eastAsia="Times New Roman" w:hAnsi="Times New Roman" w:cs="Times New Roman"/>
                <w:lang w:val="lt-LT"/>
              </w:rPr>
              <w:t>i Pirkimo sąlygų 7 priedo „Darbų sutartis“</w:t>
            </w:r>
            <w:r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 4.1 ir 9.1 punktai:</w:t>
            </w:r>
          </w:p>
          <w:p w14:paraId="50FCC625" w14:textId="31F961D1" w:rsidR="404B8512" w:rsidRPr="00FA5F57" w:rsidRDefault="404B8512" w:rsidP="404B8512">
            <w:pPr>
              <w:jc w:val="both"/>
              <w:rPr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4.1. Užsakymai teikiami pagal Užsakovo poreikį Sutarties galiojimo laikotarpiu. Pirmasis užsakymas pateikiamas ne vėliau kaip per 5 (penkias) darbo dienas nuo Sutarties įsigaliojimo dienos. Paskutinis užsakymas gali būti pateiktas ne vėliau kaip likus 3 (trims) mėnesiams iki Sutarties galiojimo pabaigos. Darbai turi būti atlikti ne vėliau kaip per 3 (tris) mėnesius nuo konkretaus užsakymo pateikimo dienos.</w:t>
            </w:r>
          </w:p>
          <w:p w14:paraId="43124624" w14:textId="043A5657" w:rsidR="404B8512" w:rsidRPr="00FA5F57" w:rsidRDefault="404B8512" w:rsidP="404B8512">
            <w:pPr>
              <w:jc w:val="both"/>
              <w:rPr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9.1. Sutartis įsigalioja pasirašymo dieną ir galioja iki visiško prievolių, bet jos terminas negali būti ilgesnis kaip 7 (septyni) mėnesiai (su atsiskaitymu). </w:t>
            </w:r>
          </w:p>
          <w:p w14:paraId="0751A98A" w14:textId="4D524809" w:rsidR="404B8512" w:rsidRPr="00FA5F57" w:rsidRDefault="404B8512" w:rsidP="404B8512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013713CB" w14:textId="77777777" w:rsidR="00D90023" w:rsidRPr="00FA5F57" w:rsidRDefault="00D90023" w:rsidP="006E1C57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5449290" w14:textId="58D6B70C" w:rsidR="00E400FC" w:rsidRPr="00FA5F57" w:rsidRDefault="401707A4" w:rsidP="401707A4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Priedas Nr. 1 yra Perkančiosios organizacijos turimų projektų ir esamų objektų sprendinių dokumentacija, pagal kurią turi būti pritaikyta siūloma įranga.</w:t>
            </w:r>
          </w:p>
          <w:p w14:paraId="12B77B27" w14:textId="77777777" w:rsidR="00E400FC" w:rsidRPr="00FA5F57" w:rsidRDefault="00E400FC" w:rsidP="00E400FC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Priedas Nr. 3 yra techninių parametrų atitikties lentelė, kurią tiekėjai privalo užpildyti, nurodydami siūlomos įrangos atitiktį nustatytiems minimaliems techniniams reikalavimams.</w:t>
            </w:r>
          </w:p>
          <w:p w14:paraId="23FC3CAB" w14:textId="77777777" w:rsidR="00E400FC" w:rsidRPr="00FA5F57" w:rsidRDefault="00E400FC" w:rsidP="00E400FC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Pažymime, kad tiekėjų siūloma įranga turi atitikti tiek Priede Nr. 3 nustatytus minimalius </w:t>
            </w:r>
            <w:r w:rsidRPr="00FA5F57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techninius reikalavimus, tiek būti suderinama su Priede Nr. 1 pateiktais projektiniais sprendiniais ir esamų objektų techninėmis sąlygomis.</w:t>
            </w:r>
          </w:p>
          <w:p w14:paraId="1EB03A20" w14:textId="77777777" w:rsidR="00E400FC" w:rsidRPr="00FA5F57" w:rsidRDefault="00E400FC" w:rsidP="00E400FC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Perkančioji organizacija techninę specifikaciją rengė vadovaudamasi objektyviais poreikiais ir siekdama užtikrinti įrangos suderinamumą su esama infrastruktūra bei projekto sprendiniais</w:t>
            </w:r>
          </w:p>
          <w:p w14:paraId="67E92381" w14:textId="69B29478" w:rsidR="00401BD6" w:rsidRPr="00FA5F57" w:rsidRDefault="00401BD6" w:rsidP="1954274E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BF2C800" w14:textId="40682B43" w:rsidR="00934F4F" w:rsidRPr="00FA5F57" w:rsidRDefault="00934F4F" w:rsidP="00934F4F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Informuojame, kad Techninėje specifikacijoje nurodyti mobilaus keltuvo matmenys buvo derinami atsižvelgiant į objektuose esančių durų angų ir patalpų matmenis.</w:t>
            </w:r>
          </w:p>
          <w:p w14:paraId="38BF7AD3" w14:textId="293BA9BE" w:rsidR="006E1C57" w:rsidRPr="00FA5F57" w:rsidRDefault="001F0E1C" w:rsidP="1954274E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Atsižvelgiant į tai, siūlomas mobilus keltuvas turi atitikti Techninėje specifikacijoje nustatytus reikalavimus, kad būtų užtikrintas įrangos pritaikomumas</w:t>
            </w:r>
            <w:r w:rsidR="005D2329"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 objekte</w:t>
            </w:r>
            <w:r w:rsidRPr="00FA5F5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4C3B5C84" w14:textId="77777777" w:rsidR="00B54D95" w:rsidRPr="00FA5F57" w:rsidRDefault="00B54D95" w:rsidP="1954274E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18C7E3C" w14:textId="77777777" w:rsidR="00B54D95" w:rsidRPr="00FA5F57" w:rsidRDefault="00B54D95" w:rsidP="1954274E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19E6133" w14:textId="2259ADF5" w:rsidR="00401BD6" w:rsidRPr="00FA5F57" w:rsidRDefault="00401BD6" w:rsidP="1954274E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Perkančioji organizacija užtikrins reikalingų pamatų įrengimą, elektros įvadų atvedimą, reikalingų komunikacijų paruošimą bei kitus paruošiamuosius darbus.</w:t>
            </w:r>
          </w:p>
          <w:p w14:paraId="4DDBDAF5" w14:textId="77777777" w:rsidR="00813DCF" w:rsidRPr="00FA5F57" w:rsidRDefault="00813DCF" w:rsidP="1954274E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A51F5B3" w14:textId="77777777" w:rsidR="00B54D95" w:rsidRPr="00FA5F57" w:rsidRDefault="00B54D95" w:rsidP="00397D62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2825904" w14:textId="77777777" w:rsidR="00B54D95" w:rsidRPr="00FA5F57" w:rsidRDefault="00B54D95" w:rsidP="00397D62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F1E71AC" w14:textId="77777777" w:rsidR="00B54D95" w:rsidRPr="00FA5F57" w:rsidRDefault="00B54D95" w:rsidP="00397D62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E9C13CA" w14:textId="77777777" w:rsidR="00B54D95" w:rsidRPr="00FA5F57" w:rsidRDefault="00B54D95" w:rsidP="00397D62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0CDF618" w14:textId="5AF40FAA" w:rsidR="008F0C05" w:rsidRPr="00FA5F57" w:rsidRDefault="00397D62" w:rsidP="008F0C05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Projektai yra suderinti su </w:t>
            </w:r>
            <w:r w:rsidR="00E153FD" w:rsidRPr="00FA5F57">
              <w:rPr>
                <w:rFonts w:ascii="Times New Roman" w:eastAsia="Times New Roman" w:hAnsi="Times New Roman" w:cs="Times New Roman"/>
                <w:lang w:val="lt-LT"/>
              </w:rPr>
              <w:t xml:space="preserve">projekto </w:t>
            </w:r>
            <w:r w:rsidRPr="00FA5F57">
              <w:rPr>
                <w:rFonts w:ascii="Times New Roman" w:eastAsia="Times New Roman" w:hAnsi="Times New Roman" w:cs="Times New Roman"/>
                <w:lang w:val="lt-LT"/>
              </w:rPr>
              <w:t>architektu</w:t>
            </w:r>
            <w:r w:rsidR="008F0C05" w:rsidRPr="00FA5F5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10DF738C" w14:textId="1A7B13D8" w:rsidR="008F0C05" w:rsidRPr="00FA5F57" w:rsidRDefault="008F0C05" w:rsidP="008F0C05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Keltuvo įrengimo vieta, trajektorija bei sustojimo sprendiniai projekte numatyti įvertinus esamas objekto sąlygas, laiptų geometriją, apsisukimo galimybes, minimalius praėjimų pločius bei durų varstymo galimybes.</w:t>
            </w:r>
          </w:p>
          <w:p w14:paraId="733CBFEE" w14:textId="4249088F" w:rsidR="008F0C05" w:rsidRPr="00FA5F57" w:rsidRDefault="008F0C05" w:rsidP="008F0C05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A5F57">
              <w:rPr>
                <w:rFonts w:ascii="Times New Roman" w:eastAsia="Times New Roman" w:hAnsi="Times New Roman" w:cs="Times New Roman"/>
                <w:lang w:val="lt-LT"/>
              </w:rPr>
              <w:t>Atsižvelgiant į tai, keltuvo įrengimas turi būti vykdomas pagal patvirtintą projektinį sprendinį.</w:t>
            </w:r>
          </w:p>
          <w:p w14:paraId="38848A48" w14:textId="6A21BEE2" w:rsidR="00813DCF" w:rsidRPr="00397D62" w:rsidRDefault="00813DCF" w:rsidP="00397D62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5B1CC8" w:rsidRPr="007D2703" w14:paraId="461D2FD6" w14:textId="77777777" w:rsidTr="404B8512">
        <w:tc>
          <w:tcPr>
            <w:tcW w:w="4675" w:type="dxa"/>
          </w:tcPr>
          <w:p w14:paraId="25D2903C" w14:textId="77777777" w:rsidR="005B1CC8" w:rsidRPr="00BB67E8" w:rsidRDefault="005B1CC8" w:rsidP="001C27F0">
            <w:pPr>
              <w:pStyle w:val="Sraopastraipa"/>
              <w:ind w:left="171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5526" w:type="dxa"/>
          </w:tcPr>
          <w:p w14:paraId="1FC8AEA3" w14:textId="20738F63" w:rsidR="008944B6" w:rsidRDefault="008944B6" w:rsidP="008944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Informuojame, kad pasiūlymų pateikimo terminas pratęsiamas iki </w:t>
            </w:r>
            <w:r w:rsidRPr="00792AA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2026-0</w:t>
            </w: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6</w:t>
            </w:r>
            <w:r w:rsidRPr="00792AA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10</w:t>
            </w:r>
            <w:r w:rsidRPr="00792AA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, 10:00 val.</w:t>
            </w:r>
          </w:p>
          <w:p w14:paraId="0BB393D3" w14:textId="77777777" w:rsidR="008944B6" w:rsidRDefault="008944B6" w:rsidP="008944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7070F908" w14:textId="77777777" w:rsidR="007041E6" w:rsidRDefault="007041E6" w:rsidP="007041E6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Pridedama:</w:t>
            </w:r>
          </w:p>
          <w:p w14:paraId="390E9FA4" w14:textId="77777777" w:rsidR="007041E6" w:rsidRDefault="007041E6" w:rsidP="007041E6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Patikslintas Pirkimo sąlygų 1 priedas „Techninė specifikacija“;</w:t>
            </w:r>
          </w:p>
          <w:p w14:paraId="010F3A9D" w14:textId="77777777" w:rsidR="007041E6" w:rsidRDefault="007041E6" w:rsidP="007041E6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Patikslintas Pirkimo sąlygų 7 priedas „Darbų sutartis“.</w:t>
            </w:r>
          </w:p>
          <w:p w14:paraId="14D33B75" w14:textId="77777777" w:rsidR="008944B6" w:rsidRPr="00792AAC" w:rsidRDefault="008944B6" w:rsidP="008944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14:paraId="19F42431" w14:textId="77777777" w:rsidR="005B1CC8" w:rsidRPr="00FA5F57" w:rsidRDefault="005B1CC8" w:rsidP="404B8512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0FCD3373" w14:textId="77777777" w:rsidR="009F1AE0" w:rsidRDefault="009F1AE0" w:rsidP="00B16B19">
      <w:pPr>
        <w:rPr>
          <w:lang w:val="lt-LT"/>
        </w:rPr>
      </w:pPr>
    </w:p>
    <w:p w14:paraId="6B690B4E" w14:textId="77777777" w:rsidR="005B1CC8" w:rsidRPr="00ED30E8" w:rsidRDefault="005B1CC8" w:rsidP="00B16B19">
      <w:pPr>
        <w:rPr>
          <w:lang w:val="lt-LT"/>
        </w:rPr>
      </w:pPr>
    </w:p>
    <w:sectPr w:rsidR="005B1CC8" w:rsidRPr="00ED30E8" w:rsidSect="001C27F0">
      <w:headerReference w:type="default" r:id="rId8"/>
      <w:pgSz w:w="12240" w:h="15840"/>
      <w:pgMar w:top="1803" w:right="474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5143" w14:textId="77777777" w:rsidR="000556F2" w:rsidRDefault="000556F2" w:rsidP="00ED30E8">
      <w:pPr>
        <w:spacing w:after="0" w:line="240" w:lineRule="auto"/>
      </w:pPr>
      <w:r>
        <w:separator/>
      </w:r>
    </w:p>
  </w:endnote>
  <w:endnote w:type="continuationSeparator" w:id="0">
    <w:p w14:paraId="5846DACA" w14:textId="77777777" w:rsidR="000556F2" w:rsidRDefault="000556F2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1432" w14:textId="77777777" w:rsidR="000556F2" w:rsidRDefault="000556F2" w:rsidP="00ED30E8">
      <w:pPr>
        <w:spacing w:after="0" w:line="240" w:lineRule="auto"/>
      </w:pPr>
      <w:r>
        <w:separator/>
      </w:r>
    </w:p>
  </w:footnote>
  <w:footnote w:type="continuationSeparator" w:id="0">
    <w:p w14:paraId="42D2B8C9" w14:textId="77777777" w:rsidR="000556F2" w:rsidRDefault="000556F2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8D4A" w14:textId="77777777" w:rsidR="00FA5F57" w:rsidRDefault="00FA5F57">
    <w:pPr>
      <w:pStyle w:val="Antrats"/>
    </w:pPr>
    <w:r>
      <w:rPr>
        <w:noProof/>
      </w:rPr>
      <w:drawing>
        <wp:inline distT="0" distB="0" distL="0" distR="0" wp14:anchorId="471C31B0" wp14:editId="1FAB19A9">
          <wp:extent cx="1112751" cy="363345"/>
          <wp:effectExtent l="0" t="0" r="0" b="0"/>
          <wp:docPr id="884776182" name="Paveikslėlis 27">
            <a:extLst xmlns:a="http://schemas.openxmlformats.org/drawingml/2006/main">
              <a:ext uri="{FF2B5EF4-FFF2-40B4-BE49-F238E27FC236}">
                <a16:creationId xmlns:a16="http://schemas.microsoft.com/office/drawing/2014/main" id="{A652FD6C-8C9C-41BA-816B-28CF423E56E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37A49"/>
    <w:multiLevelType w:val="hybridMultilevel"/>
    <w:tmpl w:val="3F249D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46579"/>
    <w:multiLevelType w:val="hybridMultilevel"/>
    <w:tmpl w:val="D84A0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02366">
    <w:abstractNumId w:val="1"/>
  </w:num>
  <w:num w:numId="2" w16cid:durableId="54475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234F"/>
    <w:rsid w:val="00036D7E"/>
    <w:rsid w:val="000556F2"/>
    <w:rsid w:val="00070AC9"/>
    <w:rsid w:val="00083F91"/>
    <w:rsid w:val="000A153D"/>
    <w:rsid w:val="000B448B"/>
    <w:rsid w:val="000C278F"/>
    <w:rsid w:val="000E0EE5"/>
    <w:rsid w:val="000F4075"/>
    <w:rsid w:val="000F5380"/>
    <w:rsid w:val="001125D2"/>
    <w:rsid w:val="0013296C"/>
    <w:rsid w:val="00143C2D"/>
    <w:rsid w:val="00170284"/>
    <w:rsid w:val="0018405C"/>
    <w:rsid w:val="001932F7"/>
    <w:rsid w:val="001C27F0"/>
    <w:rsid w:val="001D0107"/>
    <w:rsid w:val="001D08E9"/>
    <w:rsid w:val="001D7A36"/>
    <w:rsid w:val="001F0E1C"/>
    <w:rsid w:val="00203369"/>
    <w:rsid w:val="00205A74"/>
    <w:rsid w:val="00210F88"/>
    <w:rsid w:val="00231E3F"/>
    <w:rsid w:val="0024592C"/>
    <w:rsid w:val="00285B65"/>
    <w:rsid w:val="002A7C4E"/>
    <w:rsid w:val="002B5B80"/>
    <w:rsid w:val="002D2867"/>
    <w:rsid w:val="002D5BA5"/>
    <w:rsid w:val="002F284A"/>
    <w:rsid w:val="00301215"/>
    <w:rsid w:val="00343C4E"/>
    <w:rsid w:val="0039483E"/>
    <w:rsid w:val="00397D62"/>
    <w:rsid w:val="003B3625"/>
    <w:rsid w:val="003C6985"/>
    <w:rsid w:val="003D5C60"/>
    <w:rsid w:val="003E0FF5"/>
    <w:rsid w:val="003F6DD0"/>
    <w:rsid w:val="00401BD6"/>
    <w:rsid w:val="00411571"/>
    <w:rsid w:val="00437C05"/>
    <w:rsid w:val="0046409C"/>
    <w:rsid w:val="004A4789"/>
    <w:rsid w:val="004A57ED"/>
    <w:rsid w:val="004C20D4"/>
    <w:rsid w:val="005260E1"/>
    <w:rsid w:val="00543162"/>
    <w:rsid w:val="0055656B"/>
    <w:rsid w:val="005A4EF7"/>
    <w:rsid w:val="005B1CC8"/>
    <w:rsid w:val="005C54AF"/>
    <w:rsid w:val="005D2329"/>
    <w:rsid w:val="00602B1D"/>
    <w:rsid w:val="00614835"/>
    <w:rsid w:val="006703F4"/>
    <w:rsid w:val="006803D3"/>
    <w:rsid w:val="006E1C57"/>
    <w:rsid w:val="006F478B"/>
    <w:rsid w:val="007041E6"/>
    <w:rsid w:val="007148E1"/>
    <w:rsid w:val="007221E9"/>
    <w:rsid w:val="00727AF2"/>
    <w:rsid w:val="0076473F"/>
    <w:rsid w:val="0076565E"/>
    <w:rsid w:val="007813EC"/>
    <w:rsid w:val="007845CD"/>
    <w:rsid w:val="007908AF"/>
    <w:rsid w:val="00794F26"/>
    <w:rsid w:val="007A5051"/>
    <w:rsid w:val="007C02AB"/>
    <w:rsid w:val="007E3EB8"/>
    <w:rsid w:val="00813DCF"/>
    <w:rsid w:val="0082080C"/>
    <w:rsid w:val="00836A3A"/>
    <w:rsid w:val="00850D78"/>
    <w:rsid w:val="00864A5E"/>
    <w:rsid w:val="008938ED"/>
    <w:rsid w:val="008944B6"/>
    <w:rsid w:val="008B6D21"/>
    <w:rsid w:val="008D4FA3"/>
    <w:rsid w:val="008D7FA3"/>
    <w:rsid w:val="008F0C05"/>
    <w:rsid w:val="00906483"/>
    <w:rsid w:val="00934F4F"/>
    <w:rsid w:val="00937FD5"/>
    <w:rsid w:val="009527CA"/>
    <w:rsid w:val="009925C3"/>
    <w:rsid w:val="00997A6B"/>
    <w:rsid w:val="009A3C21"/>
    <w:rsid w:val="009B4FBB"/>
    <w:rsid w:val="009E1DBE"/>
    <w:rsid w:val="009E46BF"/>
    <w:rsid w:val="009F1AE0"/>
    <w:rsid w:val="00A44209"/>
    <w:rsid w:val="00A444B5"/>
    <w:rsid w:val="00A90725"/>
    <w:rsid w:val="00AA7C40"/>
    <w:rsid w:val="00B015D4"/>
    <w:rsid w:val="00B16B19"/>
    <w:rsid w:val="00B22392"/>
    <w:rsid w:val="00B22AF4"/>
    <w:rsid w:val="00B54D95"/>
    <w:rsid w:val="00B76C24"/>
    <w:rsid w:val="00B802B0"/>
    <w:rsid w:val="00BA29C0"/>
    <w:rsid w:val="00BB67E8"/>
    <w:rsid w:val="00BC1E45"/>
    <w:rsid w:val="00BD10F9"/>
    <w:rsid w:val="00BD46A3"/>
    <w:rsid w:val="00BF72AB"/>
    <w:rsid w:val="00C1478E"/>
    <w:rsid w:val="00C2495A"/>
    <w:rsid w:val="00C44E51"/>
    <w:rsid w:val="00C46364"/>
    <w:rsid w:val="00C50BF4"/>
    <w:rsid w:val="00C811E5"/>
    <w:rsid w:val="00C901D4"/>
    <w:rsid w:val="00CA7D25"/>
    <w:rsid w:val="00CB61E6"/>
    <w:rsid w:val="00CD5FD9"/>
    <w:rsid w:val="00CE069A"/>
    <w:rsid w:val="00CF56BF"/>
    <w:rsid w:val="00D23CA3"/>
    <w:rsid w:val="00D33906"/>
    <w:rsid w:val="00D81D7C"/>
    <w:rsid w:val="00D90023"/>
    <w:rsid w:val="00D929C8"/>
    <w:rsid w:val="00DB0F3A"/>
    <w:rsid w:val="00DE4AC9"/>
    <w:rsid w:val="00DF57DF"/>
    <w:rsid w:val="00E07B77"/>
    <w:rsid w:val="00E153FD"/>
    <w:rsid w:val="00E21FA1"/>
    <w:rsid w:val="00E400FC"/>
    <w:rsid w:val="00E47198"/>
    <w:rsid w:val="00E64A9F"/>
    <w:rsid w:val="00E84CF4"/>
    <w:rsid w:val="00E917B9"/>
    <w:rsid w:val="00EA649C"/>
    <w:rsid w:val="00EC61D7"/>
    <w:rsid w:val="00ED30E8"/>
    <w:rsid w:val="00F2147A"/>
    <w:rsid w:val="00F33BAB"/>
    <w:rsid w:val="00F77DF7"/>
    <w:rsid w:val="00F95A82"/>
    <w:rsid w:val="00FA3BA1"/>
    <w:rsid w:val="00FA5F57"/>
    <w:rsid w:val="00FB6B2C"/>
    <w:rsid w:val="00FB7F36"/>
    <w:rsid w:val="0FECAFBC"/>
    <w:rsid w:val="14F625E8"/>
    <w:rsid w:val="15404C2D"/>
    <w:rsid w:val="1954274E"/>
    <w:rsid w:val="1B3031BE"/>
    <w:rsid w:val="1E10100B"/>
    <w:rsid w:val="1E8877F9"/>
    <w:rsid w:val="2BE2C01E"/>
    <w:rsid w:val="2FE8B2FC"/>
    <w:rsid w:val="37426C21"/>
    <w:rsid w:val="401707A4"/>
    <w:rsid w:val="404B8512"/>
    <w:rsid w:val="41C94D3F"/>
    <w:rsid w:val="43024937"/>
    <w:rsid w:val="43176C7F"/>
    <w:rsid w:val="47D92A1F"/>
    <w:rsid w:val="5049D9D3"/>
    <w:rsid w:val="567D8E8C"/>
    <w:rsid w:val="59BC92A8"/>
    <w:rsid w:val="5C2040ED"/>
    <w:rsid w:val="5DE1707F"/>
    <w:rsid w:val="61EA9982"/>
    <w:rsid w:val="656BF735"/>
    <w:rsid w:val="68C2B459"/>
    <w:rsid w:val="6E94AE93"/>
    <w:rsid w:val="7049842D"/>
    <w:rsid w:val="728BB84F"/>
    <w:rsid w:val="72D0A0E9"/>
    <w:rsid w:val="76ACED89"/>
    <w:rsid w:val="78E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241147F-503F-4E54-A229-2C0491B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68</cp:revision>
  <dcterms:created xsi:type="dcterms:W3CDTF">2025-12-22T23:47:00Z</dcterms:created>
  <dcterms:modified xsi:type="dcterms:W3CDTF">2026-06-02T06:33:00Z</dcterms:modified>
</cp:coreProperties>
</file>