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0546" w14:textId="4FD76C9B" w:rsidR="005F5F06" w:rsidRDefault="00A46251" w:rsidP="00A46251">
      <w:pPr>
        <w:shd w:val="clear" w:color="auto" w:fill="FFFFFF"/>
        <w:spacing w:line="277" w:lineRule="exact"/>
        <w:ind w:left="7200" w:firstLine="720"/>
        <w:rPr>
          <w:rFonts w:eastAsia="Calibri"/>
          <w:szCs w:val="24"/>
        </w:rPr>
      </w:pPr>
      <w:r>
        <w:rPr>
          <w:rFonts w:eastAsia="Calibri"/>
          <w:szCs w:val="24"/>
        </w:rPr>
        <w:t>Pirkimo</w:t>
      </w:r>
      <w:r w:rsidR="00010B66">
        <w:rPr>
          <w:rFonts w:eastAsia="Calibri"/>
          <w:szCs w:val="24"/>
        </w:rPr>
        <w:t xml:space="preserve"> </w:t>
      </w:r>
      <w:r w:rsidR="00CD1E9E">
        <w:rPr>
          <w:rFonts w:eastAsia="Calibri"/>
          <w:szCs w:val="24"/>
        </w:rPr>
        <w:t>sąlygų</w:t>
      </w:r>
    </w:p>
    <w:p w14:paraId="3BB857C1" w14:textId="214A9060" w:rsidR="00CD1E9E" w:rsidRPr="00CD1E9E" w:rsidRDefault="00A46251" w:rsidP="00A46251">
      <w:pPr>
        <w:shd w:val="clear" w:color="auto" w:fill="FFFFFF"/>
        <w:spacing w:line="277" w:lineRule="exact"/>
        <w:ind w:left="7200" w:firstLine="720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CD1E9E">
        <w:rPr>
          <w:rFonts w:eastAsia="Calibri"/>
          <w:szCs w:val="24"/>
        </w:rPr>
        <w:t xml:space="preserve"> priedas</w:t>
      </w:r>
    </w:p>
    <w:p w14:paraId="6CFAA59A" w14:textId="77777777" w:rsidR="00CD1E9E" w:rsidRDefault="00CD1E9E" w:rsidP="00BB54A7">
      <w:pPr>
        <w:shd w:val="clear" w:color="auto" w:fill="FFFFFF"/>
        <w:spacing w:after="200" w:line="277" w:lineRule="exact"/>
        <w:jc w:val="center"/>
        <w:rPr>
          <w:rFonts w:eastAsia="Calibri"/>
          <w:b/>
          <w:caps/>
          <w:sz w:val="28"/>
          <w:szCs w:val="28"/>
        </w:rPr>
      </w:pPr>
    </w:p>
    <w:p w14:paraId="761D170B" w14:textId="65C955C4" w:rsidR="00BB54A7" w:rsidRPr="00A46251" w:rsidRDefault="00A46251" w:rsidP="00BB54A7">
      <w:pPr>
        <w:shd w:val="clear" w:color="auto" w:fill="FFFFFF"/>
        <w:spacing w:after="200" w:line="277" w:lineRule="exact"/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BIRŽŲ RAJONO STEBĖJIMO SISTEMOS VAIZDO DUOMENŲ PERDAVIMO IR EKSPLOATACINĖS PRIE</w:t>
      </w:r>
      <w:r w:rsidR="00590EB0">
        <w:rPr>
          <w:rFonts w:eastAsia="Calibri"/>
          <w:b/>
          <w:caps/>
          <w:szCs w:val="24"/>
        </w:rPr>
        <w:t>ŽIŪROS PASLAUGOS</w:t>
      </w:r>
    </w:p>
    <w:p w14:paraId="5509FB47" w14:textId="68A76ACC" w:rsidR="00BB54A7" w:rsidRDefault="00BB54A7" w:rsidP="00BB54A7">
      <w:pPr>
        <w:keepNext/>
        <w:keepLines/>
        <w:shd w:val="clear" w:color="auto" w:fill="FFFFFF"/>
        <w:spacing w:before="240" w:line="277" w:lineRule="exact"/>
        <w:ind w:left="360"/>
        <w:jc w:val="center"/>
        <w:outlineLvl w:val="0"/>
        <w:rPr>
          <w:b/>
          <w:caps/>
          <w:color w:val="000000"/>
        </w:rPr>
      </w:pPr>
      <w:r w:rsidRPr="00803547">
        <w:rPr>
          <w:b/>
          <w:caps/>
          <w:color w:val="000000"/>
        </w:rPr>
        <w:t>TECHNINĖ SPECIFIKACIJA</w:t>
      </w:r>
    </w:p>
    <w:p w14:paraId="79B902DA" w14:textId="77777777" w:rsidR="00BB54A7" w:rsidRPr="00803547" w:rsidRDefault="00BB54A7" w:rsidP="00BB54A7">
      <w:pPr>
        <w:keepNext/>
        <w:keepLines/>
        <w:shd w:val="clear" w:color="auto" w:fill="FFFFFF"/>
        <w:spacing w:before="240" w:line="277" w:lineRule="exact"/>
        <w:ind w:left="360"/>
        <w:outlineLvl w:val="0"/>
        <w:rPr>
          <w:b/>
          <w:caps/>
          <w:color w:val="000000"/>
        </w:rPr>
      </w:pPr>
    </w:p>
    <w:p w14:paraId="7AF9BD6A" w14:textId="77777777" w:rsidR="00BB54A7" w:rsidRPr="008151BD" w:rsidRDefault="00BB54A7" w:rsidP="00BB54A7">
      <w:pPr>
        <w:pStyle w:val="Sraopastraipa"/>
        <w:numPr>
          <w:ilvl w:val="0"/>
          <w:numId w:val="9"/>
        </w:numPr>
        <w:spacing w:after="200" w:line="276" w:lineRule="auto"/>
        <w:jc w:val="center"/>
        <w:rPr>
          <w:rFonts w:eastAsia="Calibri"/>
          <w:b/>
          <w:szCs w:val="28"/>
        </w:rPr>
      </w:pPr>
      <w:r w:rsidRPr="00051F4A">
        <w:rPr>
          <w:rFonts w:eastAsia="Calibri"/>
          <w:b/>
          <w:szCs w:val="28"/>
        </w:rPr>
        <w:t>PIRKIMO OBJEKTAS</w:t>
      </w:r>
      <w:bookmarkStart w:id="0" w:name="gjdgxs" w:colFirst="0" w:colLast="0"/>
      <w:bookmarkEnd w:id="0"/>
    </w:p>
    <w:p w14:paraId="29D44A4B" w14:textId="77777777" w:rsidR="00BF4EDC" w:rsidRDefault="00BB54A7" w:rsidP="00340F12">
      <w:pPr>
        <w:ind w:firstLine="720"/>
        <w:jc w:val="both"/>
        <w:rPr>
          <w:rFonts w:eastAsia="Calibri"/>
        </w:rPr>
      </w:pPr>
      <w:r w:rsidRPr="00B359C5">
        <w:rPr>
          <w:rFonts w:eastAsia="Calibri"/>
        </w:rPr>
        <w:t>Pirkimo objektas – duomenų perdavimo (vaizdo signalo) paslaugos ir vaizdo signalo perdavimo užtikrinimas (sistemos aptarnavimas</w:t>
      </w:r>
      <w:r w:rsidR="00193B51">
        <w:rPr>
          <w:rFonts w:eastAsia="Calibri"/>
        </w:rPr>
        <w:t>)</w:t>
      </w:r>
      <w:r w:rsidRPr="00B359C5">
        <w:rPr>
          <w:rFonts w:eastAsia="Calibri"/>
        </w:rPr>
        <w:t>,</w:t>
      </w:r>
      <w:r w:rsidR="00193B51">
        <w:rPr>
          <w:rFonts w:eastAsia="Calibri"/>
        </w:rPr>
        <w:t xml:space="preserve"> eksploatacinė</w:t>
      </w:r>
      <w:r w:rsidRPr="00B359C5">
        <w:rPr>
          <w:rFonts w:eastAsia="Calibri"/>
        </w:rPr>
        <w:t xml:space="preserve"> priežiūra</w:t>
      </w:r>
      <w:r w:rsidR="00C32C09">
        <w:rPr>
          <w:rFonts w:eastAsia="Calibri"/>
        </w:rPr>
        <w:t xml:space="preserve"> </w:t>
      </w:r>
      <w:r w:rsidR="00741376">
        <w:rPr>
          <w:rFonts w:eastAsia="Calibri"/>
        </w:rPr>
        <w:t>bei</w:t>
      </w:r>
      <w:r w:rsidR="00C32C09">
        <w:rPr>
          <w:rFonts w:eastAsia="Calibri"/>
        </w:rPr>
        <w:t xml:space="preserve"> integravimas į esamą sistemą.</w:t>
      </w:r>
      <w:r w:rsidRPr="00B359C5">
        <w:rPr>
          <w:rFonts w:eastAsia="Calibri"/>
        </w:rPr>
        <w:t xml:space="preserve"> </w:t>
      </w:r>
    </w:p>
    <w:p w14:paraId="6D9F5FCA" w14:textId="06C93974" w:rsidR="00FA15EB" w:rsidRPr="004F4FA5" w:rsidRDefault="00FA15EB" w:rsidP="003E04B9">
      <w:pPr>
        <w:tabs>
          <w:tab w:val="left" w:pos="1134"/>
        </w:tabs>
        <w:contextualSpacing/>
        <w:jc w:val="both"/>
        <w:rPr>
          <w:rFonts w:eastAsia="Calibri"/>
          <w:bCs/>
          <w:iCs/>
        </w:rPr>
      </w:pPr>
    </w:p>
    <w:p w14:paraId="5969B560" w14:textId="55DAB95B" w:rsidR="00BB54A7" w:rsidRPr="003E04B9" w:rsidRDefault="003E04B9" w:rsidP="002A762A">
      <w:pPr>
        <w:ind w:firstLine="720"/>
        <w:contextualSpacing/>
        <w:rPr>
          <w:rFonts w:eastAsia="Calibri"/>
          <w:b/>
          <w:bCs/>
          <w:i/>
          <w:szCs w:val="28"/>
        </w:rPr>
      </w:pPr>
      <w:r w:rsidRPr="003E04B9">
        <w:rPr>
          <w:rFonts w:eastAsia="Calibri"/>
          <w:b/>
          <w:bCs/>
          <w:i/>
          <w:szCs w:val="28"/>
        </w:rPr>
        <w:t>Užpildyti lentelės 3 stulpelį: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660"/>
        <w:gridCol w:w="3129"/>
      </w:tblGrid>
      <w:tr w:rsidR="0061232E" w:rsidRPr="00051F4A" w14:paraId="45F57AC1" w14:textId="73CFF381" w:rsidTr="0061232E">
        <w:tc>
          <w:tcPr>
            <w:tcW w:w="371" w:type="pct"/>
            <w:vAlign w:val="center"/>
          </w:tcPr>
          <w:p w14:paraId="47600F66" w14:textId="77777777" w:rsidR="003E04B9" w:rsidRPr="00333EBC" w:rsidRDefault="003E04B9" w:rsidP="003E04B9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 w:rsidRPr="00333EBC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2981" w:type="pct"/>
            <w:vAlign w:val="center"/>
          </w:tcPr>
          <w:p w14:paraId="4B3B88A2" w14:textId="77777777" w:rsidR="003E04B9" w:rsidRPr="00333EBC" w:rsidRDefault="003E04B9" w:rsidP="00435B6D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 w:rsidRPr="00333EBC">
              <w:rPr>
                <w:rFonts w:eastAsia="Calibri"/>
                <w:b/>
                <w:szCs w:val="24"/>
              </w:rPr>
              <w:t>Keliami reikalavimai</w:t>
            </w:r>
          </w:p>
        </w:tc>
        <w:tc>
          <w:tcPr>
            <w:tcW w:w="1648" w:type="pct"/>
          </w:tcPr>
          <w:p w14:paraId="0FC33CC7" w14:textId="77777777" w:rsidR="003E04B9" w:rsidRDefault="003C700E" w:rsidP="00435B6D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Tiekėjo pasiūlymas</w:t>
            </w:r>
          </w:p>
          <w:p w14:paraId="0BBD8F42" w14:textId="49EA7A72" w:rsidR="00870151" w:rsidRPr="00870151" w:rsidRDefault="00870151" w:rsidP="00435B6D">
            <w:pPr>
              <w:spacing w:line="276" w:lineRule="auto"/>
              <w:jc w:val="center"/>
              <w:rPr>
                <w:rFonts w:eastAsia="Calibri"/>
                <w:b/>
                <w:i/>
                <w:iCs/>
                <w:szCs w:val="24"/>
              </w:rPr>
            </w:pPr>
            <w:r w:rsidRPr="00870151">
              <w:rPr>
                <w:rFonts w:eastAsia="Calibri"/>
                <w:b/>
                <w:i/>
                <w:iCs/>
                <w:color w:val="0070C0"/>
                <w:szCs w:val="24"/>
              </w:rPr>
              <w:t>/Pildo tiekėjas</w:t>
            </w:r>
            <w:r>
              <w:rPr>
                <w:rFonts w:eastAsia="Calibri"/>
                <w:b/>
                <w:i/>
                <w:iCs/>
                <w:color w:val="0070C0"/>
                <w:szCs w:val="24"/>
              </w:rPr>
              <w:t>/</w:t>
            </w:r>
          </w:p>
        </w:tc>
      </w:tr>
      <w:tr w:rsidR="0061232E" w:rsidRPr="00051F4A" w14:paraId="1733E96C" w14:textId="022D7FF7" w:rsidTr="0061232E">
        <w:tc>
          <w:tcPr>
            <w:tcW w:w="371" w:type="pct"/>
          </w:tcPr>
          <w:p w14:paraId="75731806" w14:textId="1C611793" w:rsidR="003E04B9" w:rsidRPr="0061232E" w:rsidRDefault="0061232E" w:rsidP="00583F0D">
            <w:pPr>
              <w:jc w:val="center"/>
              <w:rPr>
                <w:rFonts w:eastAsia="Calibri"/>
                <w:szCs w:val="24"/>
              </w:rPr>
            </w:pPr>
            <w:r w:rsidRPr="00E96F13">
              <w:rPr>
                <w:rFonts w:eastAsia="Calibri"/>
                <w:szCs w:val="24"/>
              </w:rPr>
              <w:t>1.</w:t>
            </w:r>
          </w:p>
        </w:tc>
        <w:tc>
          <w:tcPr>
            <w:tcW w:w="2981" w:type="pct"/>
          </w:tcPr>
          <w:p w14:paraId="5B6D9D2F" w14:textId="78BBE73A" w:rsidR="003E04B9" w:rsidRPr="00333EBC" w:rsidRDefault="003E04B9" w:rsidP="00435B6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333EBC">
              <w:rPr>
                <w:rFonts w:eastAsia="Calibri"/>
                <w:szCs w:val="24"/>
                <w:lang w:eastAsia="lt-LT"/>
              </w:rPr>
              <w:t>Uždaras duomenų perdavimo tinklas, apjungiantis nutolusius taškus.</w:t>
            </w:r>
          </w:p>
        </w:tc>
        <w:tc>
          <w:tcPr>
            <w:tcW w:w="1648" w:type="pct"/>
          </w:tcPr>
          <w:p w14:paraId="2692E7EC" w14:textId="77777777" w:rsidR="003E04B9" w:rsidRPr="00333EBC" w:rsidRDefault="003E04B9" w:rsidP="00435B6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61232E" w:rsidRPr="00051F4A" w14:paraId="5F0D8234" w14:textId="6CD7FD42" w:rsidTr="0061232E">
        <w:tc>
          <w:tcPr>
            <w:tcW w:w="371" w:type="pct"/>
          </w:tcPr>
          <w:p w14:paraId="4055E321" w14:textId="23A3B2EF" w:rsidR="003E04B9" w:rsidRPr="0061232E" w:rsidRDefault="0061232E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981" w:type="pct"/>
          </w:tcPr>
          <w:p w14:paraId="39F74B38" w14:textId="2851BA58" w:rsidR="003E04B9" w:rsidRPr="00333EBC" w:rsidRDefault="00850AEB" w:rsidP="0061232E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</w:rPr>
            </w:pPr>
            <w:r w:rsidRPr="00CA3504">
              <w:rPr>
                <w:rFonts w:eastAsia="Calibri"/>
                <w:szCs w:val="24"/>
              </w:rPr>
              <w:t xml:space="preserve">Visa duomenų perdavimo įranga naudojant bet kurias ryšio technologijas turi būti tokio pralaidumo, patikimumo ir žemo užlaikymo laiko, kad būtų išlaikomi  techninėje specifikacijoje </w:t>
            </w:r>
            <w:r w:rsidR="00227332">
              <w:rPr>
                <w:rFonts w:eastAsia="Calibri"/>
                <w:szCs w:val="24"/>
              </w:rPr>
              <w:t xml:space="preserve">aprašyti reikalavimai </w:t>
            </w:r>
            <w:r w:rsidRPr="00CA3504">
              <w:rPr>
                <w:rFonts w:eastAsia="Calibri"/>
                <w:szCs w:val="24"/>
              </w:rPr>
              <w:t>vaizdo kokybei, vaizdo įrašymui, kamerų valdymui</w:t>
            </w:r>
            <w:r w:rsidR="00227332">
              <w:rPr>
                <w:rFonts w:eastAsia="Calibri"/>
                <w:szCs w:val="24"/>
              </w:rPr>
              <w:t xml:space="preserve">, tinklo perdavimo greitaveikai bei vėlavimui </w:t>
            </w:r>
            <w:r w:rsidR="00EC6284">
              <w:rPr>
                <w:rFonts w:eastAsia="Calibri"/>
                <w:szCs w:val="24"/>
              </w:rPr>
              <w:t>ir informavimui apie vaizdo perdavimo gedimus.</w:t>
            </w:r>
          </w:p>
        </w:tc>
        <w:tc>
          <w:tcPr>
            <w:tcW w:w="1648" w:type="pct"/>
          </w:tcPr>
          <w:p w14:paraId="351BCA7C" w14:textId="77777777" w:rsidR="003E04B9" w:rsidRPr="00333EBC" w:rsidRDefault="003E04B9" w:rsidP="00435B6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250101" w:rsidRPr="00051F4A" w14:paraId="5DE6262D" w14:textId="77777777" w:rsidTr="0061232E">
        <w:tc>
          <w:tcPr>
            <w:tcW w:w="371" w:type="pct"/>
          </w:tcPr>
          <w:p w14:paraId="0C80DBFE" w14:textId="56D8E842" w:rsidR="0094670B" w:rsidRPr="0061232E" w:rsidRDefault="0061232E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981" w:type="pct"/>
          </w:tcPr>
          <w:p w14:paraId="46845BF7" w14:textId="4368540F" w:rsidR="0094670B" w:rsidRPr="00333EBC" w:rsidRDefault="00850AEB" w:rsidP="00583F0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Paslaugų teikėjas privalo pasirūpinti visais leidimais ir suderinimais</w:t>
            </w:r>
            <w:r w:rsidR="00870151">
              <w:rPr>
                <w:rFonts w:eastAsia="Calibri"/>
                <w:szCs w:val="24"/>
              </w:rPr>
              <w:t xml:space="preserve"> </w:t>
            </w:r>
            <w:r w:rsidR="00643E98">
              <w:rPr>
                <w:rFonts w:eastAsia="Calibri"/>
                <w:szCs w:val="24"/>
              </w:rPr>
              <w:t>komunikacijų ir visų įrenginių paleidimui</w:t>
            </w:r>
          </w:p>
        </w:tc>
        <w:tc>
          <w:tcPr>
            <w:tcW w:w="1648" w:type="pct"/>
          </w:tcPr>
          <w:p w14:paraId="5EC8F183" w14:textId="77777777" w:rsidR="0094670B" w:rsidRPr="00333EBC" w:rsidRDefault="0094670B" w:rsidP="00435B6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250101" w:rsidRPr="00051F4A" w14:paraId="701DDCDE" w14:textId="77777777" w:rsidTr="0061232E">
        <w:tc>
          <w:tcPr>
            <w:tcW w:w="371" w:type="pct"/>
          </w:tcPr>
          <w:p w14:paraId="6C47C95A" w14:textId="1E231DBD" w:rsidR="00850AEB" w:rsidRPr="0061232E" w:rsidRDefault="0061232E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583F0D">
              <w:rPr>
                <w:rFonts w:eastAsia="Calibri"/>
                <w:szCs w:val="24"/>
              </w:rPr>
              <w:t>.</w:t>
            </w:r>
          </w:p>
        </w:tc>
        <w:tc>
          <w:tcPr>
            <w:tcW w:w="2981" w:type="pct"/>
          </w:tcPr>
          <w:p w14:paraId="19047D54" w14:textId="146DABD4" w:rsidR="00850AEB" w:rsidRPr="00333EBC" w:rsidRDefault="00EC6284" w:rsidP="00583F0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</w:rPr>
            </w:pPr>
            <w:r>
              <w:t xml:space="preserve">Kiekvienai kamerai ir tarp jos ir Centrinio pulto prie didžiausios sistemos apkrovimo turi būti garantuota </w:t>
            </w:r>
            <w:r w:rsidR="00643E98">
              <w:t>ne mažiau nei 5 Mbps greitaveika ir didžiausias įmanomas signalo vėlinimas negali viršyti 250 milisekundžių</w:t>
            </w:r>
          </w:p>
        </w:tc>
        <w:tc>
          <w:tcPr>
            <w:tcW w:w="1648" w:type="pct"/>
          </w:tcPr>
          <w:p w14:paraId="5C48CE44" w14:textId="77777777" w:rsidR="00850AEB" w:rsidRPr="00333EBC" w:rsidRDefault="00850AEB" w:rsidP="00435B6D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250101" w:rsidRPr="00583F0D" w14:paraId="6D86E45E" w14:textId="77777777" w:rsidTr="0061232E">
        <w:tc>
          <w:tcPr>
            <w:tcW w:w="371" w:type="pct"/>
          </w:tcPr>
          <w:p w14:paraId="5CEA07E7" w14:textId="5AEAB24D" w:rsidR="00850AEB" w:rsidRPr="0061232E" w:rsidRDefault="00583F0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981" w:type="pct"/>
          </w:tcPr>
          <w:p w14:paraId="193E0A2D" w14:textId="0F61A999" w:rsidR="00850AEB" w:rsidRPr="00333EBC" w:rsidRDefault="00E96F13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Užsakovo</w:t>
            </w:r>
            <w:r w:rsidR="00583F0D" w:rsidRPr="00333EBC">
              <w:rPr>
                <w:rFonts w:eastAsia="Calibri"/>
                <w:szCs w:val="24"/>
                <w:lang w:eastAsia="lt-LT"/>
              </w:rPr>
              <w:t xml:space="preserve"> centrinis prijungimo taškas ir nutolę ryšio taškai turi būti sujungti į bendrą tinklą IP protokolu</w:t>
            </w:r>
          </w:p>
        </w:tc>
        <w:tc>
          <w:tcPr>
            <w:tcW w:w="1648" w:type="pct"/>
          </w:tcPr>
          <w:p w14:paraId="7C193158" w14:textId="77777777" w:rsidR="00850AEB" w:rsidRPr="00333EBC" w:rsidRDefault="00850AEB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50101" w:rsidRPr="00583F0D" w14:paraId="5E7EB326" w14:textId="77777777" w:rsidTr="0061232E">
        <w:tc>
          <w:tcPr>
            <w:tcW w:w="371" w:type="pct"/>
          </w:tcPr>
          <w:p w14:paraId="150592D1" w14:textId="63140D78" w:rsidR="003D5BE1" w:rsidRPr="0061232E" w:rsidRDefault="00583F0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2981" w:type="pct"/>
          </w:tcPr>
          <w:p w14:paraId="11DE29DB" w14:textId="30583122" w:rsidR="003D5BE1" w:rsidRPr="00333EBC" w:rsidRDefault="002258AD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Vaizdo įrašymo saugojimas ne mažiau kaip 14 parų</w:t>
            </w:r>
          </w:p>
        </w:tc>
        <w:tc>
          <w:tcPr>
            <w:tcW w:w="1648" w:type="pct"/>
          </w:tcPr>
          <w:p w14:paraId="12F86671" w14:textId="77777777" w:rsidR="003D5BE1" w:rsidRPr="00333EBC" w:rsidRDefault="003D5BE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50101" w:rsidRPr="00583F0D" w14:paraId="23262FE8" w14:textId="77777777" w:rsidTr="0061232E">
        <w:tc>
          <w:tcPr>
            <w:tcW w:w="371" w:type="pct"/>
          </w:tcPr>
          <w:p w14:paraId="3DAB9830" w14:textId="2ABA2043" w:rsidR="003D5BE1" w:rsidRPr="0061232E" w:rsidRDefault="00583F0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2981" w:type="pct"/>
          </w:tcPr>
          <w:p w14:paraId="7AFA4C0A" w14:textId="6E5CF578" w:rsidR="003D5BE1" w:rsidRPr="00333EBC" w:rsidRDefault="00E96F13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Paslaugos teikėjas </w:t>
            </w:r>
            <w:r w:rsidR="005F5F06" w:rsidRPr="00333EBC">
              <w:rPr>
                <w:rFonts w:eastAsia="Calibri"/>
                <w:szCs w:val="24"/>
                <w:lang w:eastAsia="lt-LT"/>
              </w:rPr>
              <w:t>turi užtikrinti, kad U</w:t>
            </w:r>
            <w:r>
              <w:rPr>
                <w:rFonts w:eastAsia="Calibri"/>
                <w:szCs w:val="24"/>
                <w:lang w:eastAsia="lt-LT"/>
              </w:rPr>
              <w:t>žsakovui</w:t>
            </w:r>
            <w:r w:rsidR="005F5F06" w:rsidRPr="00333EBC">
              <w:rPr>
                <w:rFonts w:eastAsia="Calibri"/>
                <w:szCs w:val="24"/>
                <w:lang w:eastAsia="lt-LT"/>
              </w:rPr>
              <w:t xml:space="preserve"> pateikti ryšio linijų resursai (pralaidumas) ir galiniai įrenginiai nebus naudojami kartu su kitais </w:t>
            </w:r>
            <w:r>
              <w:rPr>
                <w:rFonts w:eastAsia="Calibri"/>
                <w:szCs w:val="24"/>
                <w:lang w:eastAsia="lt-LT"/>
              </w:rPr>
              <w:t xml:space="preserve">paslaugų teikėjo </w:t>
            </w:r>
            <w:r w:rsidR="005F5F06" w:rsidRPr="00333EBC">
              <w:rPr>
                <w:rFonts w:eastAsia="Calibri"/>
                <w:szCs w:val="24"/>
                <w:lang w:eastAsia="lt-LT"/>
              </w:rPr>
              <w:t>klientais.</w:t>
            </w:r>
          </w:p>
        </w:tc>
        <w:tc>
          <w:tcPr>
            <w:tcW w:w="1648" w:type="pct"/>
          </w:tcPr>
          <w:p w14:paraId="6F441D55" w14:textId="77777777" w:rsidR="003D5BE1" w:rsidRPr="00333EBC" w:rsidRDefault="003D5BE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50101" w:rsidRPr="00583F0D" w14:paraId="573943D2" w14:textId="77777777" w:rsidTr="0061232E">
        <w:tc>
          <w:tcPr>
            <w:tcW w:w="371" w:type="pct"/>
          </w:tcPr>
          <w:p w14:paraId="0B088BA9" w14:textId="33FDCD9E" w:rsidR="003D5BE1" w:rsidRPr="0061232E" w:rsidRDefault="005F5F06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2981" w:type="pct"/>
          </w:tcPr>
          <w:p w14:paraId="61E28498" w14:textId="004FF8C6" w:rsidR="003D5BE1" w:rsidRPr="00333EBC" w:rsidRDefault="002258AD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</w:rPr>
              <w:t>Sistema turi būti apsaugota nuo gedimo ar sutrikimo elektros perdavimo linijose, elektros iškrovos, nesankcionuoto prijungimo ir atspari nepalankioms oro sąlygoms</w:t>
            </w:r>
          </w:p>
        </w:tc>
        <w:tc>
          <w:tcPr>
            <w:tcW w:w="1648" w:type="pct"/>
          </w:tcPr>
          <w:p w14:paraId="4A05AFE2" w14:textId="77777777" w:rsidR="003D5BE1" w:rsidRPr="00333EBC" w:rsidRDefault="003D5BE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1232E" w:rsidRPr="00583F0D" w14:paraId="7DE9C279" w14:textId="77777777" w:rsidTr="0061232E">
        <w:tc>
          <w:tcPr>
            <w:tcW w:w="371" w:type="pct"/>
          </w:tcPr>
          <w:p w14:paraId="62A79E77" w14:textId="35E6AD8A" w:rsidR="003D5BE1" w:rsidRPr="0061232E" w:rsidRDefault="00453A82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2981" w:type="pct"/>
          </w:tcPr>
          <w:p w14:paraId="53773703" w14:textId="6E13EA72" w:rsidR="003D5BE1" w:rsidRPr="00333EBC" w:rsidRDefault="00C76C02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</w:rPr>
              <w:t>Paslaugos teikėjas turi užtikrinti Sistemos eksploatacinę priežiūrą sutarties galiojimo laikotarpiu, remontuojant ar keičiant sugedusius įrenginius, jų charakteristikos negali būti bloginamos</w:t>
            </w:r>
            <w:r w:rsidR="00453A82" w:rsidRPr="00333EBC">
              <w:rPr>
                <w:rFonts w:eastAsia="Calibri"/>
                <w:szCs w:val="24"/>
                <w:lang w:eastAsia="lt-LT"/>
              </w:rPr>
              <w:t>.</w:t>
            </w:r>
          </w:p>
        </w:tc>
        <w:tc>
          <w:tcPr>
            <w:tcW w:w="1648" w:type="pct"/>
          </w:tcPr>
          <w:p w14:paraId="1F864AA1" w14:textId="77777777" w:rsidR="003D5BE1" w:rsidRPr="00333EBC" w:rsidRDefault="003D5BE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1232E" w:rsidRPr="00583F0D" w14:paraId="17879D83" w14:textId="77777777" w:rsidTr="0061232E">
        <w:tc>
          <w:tcPr>
            <w:tcW w:w="371" w:type="pct"/>
          </w:tcPr>
          <w:p w14:paraId="5B1C4528" w14:textId="788B57BC" w:rsidR="003D5BE1" w:rsidRPr="0061232E" w:rsidRDefault="00453A82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2981" w:type="pct"/>
          </w:tcPr>
          <w:p w14:paraId="6695E699" w14:textId="02258F3C" w:rsidR="003D5BE1" w:rsidRPr="00333EBC" w:rsidRDefault="00E96F13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Paslaugų teikėjo</w:t>
            </w:r>
            <w:r w:rsidR="00453A82" w:rsidRPr="00333EBC">
              <w:rPr>
                <w:rFonts w:eastAsia="Calibri"/>
                <w:szCs w:val="24"/>
                <w:lang w:eastAsia="lt-LT"/>
              </w:rPr>
              <w:t xml:space="preserve"> siūlomas duomenų perdavimo tinklas privalo būti apsaugotas nuo trečiųjų šalių antpuolių, trikdančių tinklo darbą</w:t>
            </w:r>
          </w:p>
        </w:tc>
        <w:tc>
          <w:tcPr>
            <w:tcW w:w="1648" w:type="pct"/>
          </w:tcPr>
          <w:p w14:paraId="1FBC57F9" w14:textId="77777777" w:rsidR="003D5BE1" w:rsidRPr="00333EBC" w:rsidRDefault="003D5BE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1232E" w:rsidRPr="00583F0D" w14:paraId="46DE71FD" w14:textId="77777777" w:rsidTr="0061232E">
        <w:tc>
          <w:tcPr>
            <w:tcW w:w="371" w:type="pct"/>
          </w:tcPr>
          <w:p w14:paraId="512EE9AA" w14:textId="0B0BA196" w:rsidR="00250101" w:rsidRPr="0061232E" w:rsidRDefault="00453A82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11.</w:t>
            </w:r>
          </w:p>
        </w:tc>
        <w:tc>
          <w:tcPr>
            <w:tcW w:w="2981" w:type="pct"/>
          </w:tcPr>
          <w:p w14:paraId="0FC6FCB9" w14:textId="129DC2EB" w:rsidR="00250101" w:rsidRPr="00333EBC" w:rsidRDefault="00955F08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</w:rPr>
              <w:t>Visi daliniai sistemos veikimo sutrikimai sistemos eksploatacinės priežiūros metu turi būti pašalinti per 48 valandas, reakcijos laikas darbo dienomis 8 val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648" w:type="pct"/>
          </w:tcPr>
          <w:p w14:paraId="5FD9F024" w14:textId="77777777" w:rsidR="00250101" w:rsidRPr="00333EBC" w:rsidRDefault="0025010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7B5782" w:rsidRPr="00583F0D" w14:paraId="6BE0FD14" w14:textId="77777777" w:rsidTr="0061232E">
        <w:tc>
          <w:tcPr>
            <w:tcW w:w="371" w:type="pct"/>
          </w:tcPr>
          <w:p w14:paraId="131337CC" w14:textId="0CAF0406" w:rsidR="007B5782" w:rsidRDefault="007B5782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2981" w:type="pct"/>
          </w:tcPr>
          <w:p w14:paraId="63505796" w14:textId="2A96ECC4" w:rsidR="007B5782" w:rsidRDefault="007B5782" w:rsidP="00583F0D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S</w:t>
            </w:r>
            <w:r>
              <w:rPr>
                <w:rFonts w:eastAsia="Calibri"/>
                <w:bCs/>
              </w:rPr>
              <w:t>istemos eksploatacinės priežiūros metu</w:t>
            </w:r>
            <w:r>
              <w:rPr>
                <w:rFonts w:eastAsia="Calibri"/>
                <w:bCs/>
              </w:rPr>
              <w:t xml:space="preserve"> jei</w:t>
            </w:r>
            <w:r>
              <w:rPr>
                <w:rFonts w:eastAsia="Calibri"/>
                <w:bCs/>
              </w:rPr>
              <w:t xml:space="preserve"> nustatomas vieno ar kelių sistemos komponentų (vaizdo stebėjimo sistemos sudėtinių dalių) gedimas, kurio negalima pašalinti per 48 valandas, paslaugos teikėjas imasi visų įmanomų priemonių sistemos funkcionalumui užtikrinti</w:t>
            </w:r>
          </w:p>
        </w:tc>
        <w:tc>
          <w:tcPr>
            <w:tcW w:w="1648" w:type="pct"/>
          </w:tcPr>
          <w:p w14:paraId="1C3D0477" w14:textId="77777777" w:rsidR="007B5782" w:rsidRPr="00333EBC" w:rsidRDefault="007B5782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1232E" w:rsidRPr="00583F0D" w14:paraId="51E40A8F" w14:textId="77777777" w:rsidTr="0061232E">
        <w:tc>
          <w:tcPr>
            <w:tcW w:w="371" w:type="pct"/>
          </w:tcPr>
          <w:p w14:paraId="3CB278A4" w14:textId="1B8C734F" w:rsidR="00250101" w:rsidRPr="0061232E" w:rsidRDefault="00AE37D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7B5782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981" w:type="pct"/>
          </w:tcPr>
          <w:p w14:paraId="25CB05A5" w14:textId="7AAB2172" w:rsidR="00250101" w:rsidRPr="00333EBC" w:rsidRDefault="00E96F13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Paslaugos teikėjas turi užtikrinti kokybišką vaizdo duomenų stebėjimo sistemos veikimą, ryšio linijų kokybė turi būti pakankama užtikrinti vaizdo be nutrūkimų perdavimą ir vaizdo kamerų valdymą</w:t>
            </w:r>
          </w:p>
        </w:tc>
        <w:tc>
          <w:tcPr>
            <w:tcW w:w="1648" w:type="pct"/>
          </w:tcPr>
          <w:p w14:paraId="78A44B27" w14:textId="77777777" w:rsidR="00250101" w:rsidRPr="00333EBC" w:rsidRDefault="0025010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1232E" w:rsidRPr="00583F0D" w14:paraId="378B8321" w14:textId="77777777" w:rsidTr="0061232E">
        <w:tc>
          <w:tcPr>
            <w:tcW w:w="371" w:type="pct"/>
          </w:tcPr>
          <w:p w14:paraId="53E190C4" w14:textId="389566C7" w:rsidR="00250101" w:rsidRPr="0061232E" w:rsidRDefault="00AE37D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7B5782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981" w:type="pct"/>
          </w:tcPr>
          <w:p w14:paraId="0F7B99C1" w14:textId="389F2505" w:rsidR="00250101" w:rsidRPr="00333EBC" w:rsidRDefault="007B5782" w:rsidP="00583F0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Gedimai turi būti šalinami techninėje specifikacijoje</w:t>
            </w:r>
            <w:r>
              <w:rPr>
                <w:rFonts w:eastAsia="Calibri"/>
              </w:rPr>
              <w:t xml:space="preserve"> (pirkimo sąlygų 2 priedas)</w:t>
            </w:r>
            <w:r>
              <w:rPr>
                <w:rFonts w:eastAsia="Calibri"/>
              </w:rPr>
              <w:t xml:space="preserve"> nustatyta tvarka ir terminais</w:t>
            </w:r>
          </w:p>
        </w:tc>
        <w:tc>
          <w:tcPr>
            <w:tcW w:w="1648" w:type="pct"/>
          </w:tcPr>
          <w:p w14:paraId="13C63FD5" w14:textId="77777777" w:rsidR="00250101" w:rsidRPr="00333EBC" w:rsidRDefault="00250101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AE37DD" w:rsidRPr="00583F0D" w14:paraId="00B2AD63" w14:textId="77777777" w:rsidTr="0061232E">
        <w:tc>
          <w:tcPr>
            <w:tcW w:w="371" w:type="pct"/>
          </w:tcPr>
          <w:p w14:paraId="30E9D3D3" w14:textId="1FEC9C19" w:rsidR="00AE37DD" w:rsidRDefault="00AE37DD" w:rsidP="00583F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7B5782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981" w:type="pct"/>
          </w:tcPr>
          <w:p w14:paraId="15702078" w14:textId="6E427D0F" w:rsidR="00AE37DD" w:rsidRPr="00333EBC" w:rsidRDefault="00AE37DD" w:rsidP="00583F0D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333EBC">
              <w:rPr>
                <w:rFonts w:eastAsia="Calibri"/>
                <w:szCs w:val="24"/>
                <w:lang w:eastAsia="lt-LT"/>
              </w:rPr>
              <w:t>Paslaugos teikimo laikas 36 mėn.</w:t>
            </w:r>
          </w:p>
        </w:tc>
        <w:tc>
          <w:tcPr>
            <w:tcW w:w="1648" w:type="pct"/>
          </w:tcPr>
          <w:p w14:paraId="099A54C5" w14:textId="77777777" w:rsidR="00AE37DD" w:rsidRPr="00333EBC" w:rsidRDefault="00AE37DD" w:rsidP="00583F0D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1E016EB" w14:textId="77777777" w:rsidR="00A35713" w:rsidRPr="00583F0D" w:rsidRDefault="00A35713" w:rsidP="00583F0D">
      <w:pPr>
        <w:jc w:val="right"/>
        <w:rPr>
          <w:rFonts w:eastAsia="Calibri"/>
          <w:szCs w:val="24"/>
        </w:rPr>
      </w:pPr>
    </w:p>
    <w:p w14:paraId="72BF1A92" w14:textId="77777777" w:rsidR="003E04B9" w:rsidRDefault="003E04B9" w:rsidP="00CA0ED3">
      <w:pPr>
        <w:tabs>
          <w:tab w:val="left" w:pos="1560"/>
        </w:tabs>
        <w:rPr>
          <w:b/>
          <w:bCs/>
        </w:rPr>
      </w:pPr>
    </w:p>
    <w:p w14:paraId="286B3FFD" w14:textId="77777777" w:rsidR="003E04B9" w:rsidRDefault="003E04B9" w:rsidP="00CA0ED3">
      <w:pPr>
        <w:tabs>
          <w:tab w:val="left" w:pos="1560"/>
        </w:tabs>
        <w:rPr>
          <w:b/>
          <w:bCs/>
        </w:rPr>
      </w:pPr>
    </w:p>
    <w:p w14:paraId="7BD2EE44" w14:textId="77777777" w:rsidR="00E657EB" w:rsidRDefault="00E657EB" w:rsidP="00CA0ED3">
      <w:pPr>
        <w:tabs>
          <w:tab w:val="left" w:pos="1560"/>
        </w:tabs>
        <w:rPr>
          <w:b/>
          <w:bCs/>
        </w:rPr>
      </w:pPr>
    </w:p>
    <w:p w14:paraId="44F119D4" w14:textId="77777777" w:rsidR="00870151" w:rsidRDefault="00870151" w:rsidP="00870151">
      <w:pPr>
        <w:ind w:firstLine="720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870151" w:rsidRPr="00937BCB" w14:paraId="49940DCD" w14:textId="77777777" w:rsidTr="008C24A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8BB58" w14:textId="77777777" w:rsidR="00870151" w:rsidRPr="005C133F" w:rsidRDefault="00870151" w:rsidP="008C24A6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C133F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2B81D4C" w14:textId="77777777" w:rsidR="00870151" w:rsidRPr="005C133F" w:rsidRDefault="00870151" w:rsidP="008C24A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8D00A" w14:textId="77777777" w:rsidR="00870151" w:rsidRPr="005C133F" w:rsidRDefault="00870151" w:rsidP="008C24A6">
            <w:pPr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061EAE6" w14:textId="77777777" w:rsidR="00870151" w:rsidRPr="005C133F" w:rsidRDefault="00870151" w:rsidP="008C24A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362B" w14:textId="77777777" w:rsidR="00870151" w:rsidRPr="00937BCB" w:rsidRDefault="00870151" w:rsidP="008C24A6">
            <w:pPr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(Vardas ir pavardė)</w:t>
            </w:r>
          </w:p>
        </w:tc>
      </w:tr>
    </w:tbl>
    <w:p w14:paraId="651C5603" w14:textId="77777777" w:rsidR="00E657EB" w:rsidRDefault="00E657EB" w:rsidP="00CA0ED3">
      <w:pPr>
        <w:tabs>
          <w:tab w:val="left" w:pos="1560"/>
        </w:tabs>
        <w:rPr>
          <w:b/>
          <w:bCs/>
        </w:rPr>
      </w:pPr>
    </w:p>
    <w:sectPr w:rsidR="00E657EB" w:rsidSect="00BD578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40FE" w14:textId="77777777" w:rsidR="003657AC" w:rsidRDefault="003657AC" w:rsidP="00505A1E">
      <w:r>
        <w:separator/>
      </w:r>
    </w:p>
  </w:endnote>
  <w:endnote w:type="continuationSeparator" w:id="0">
    <w:p w14:paraId="163EC452" w14:textId="77777777" w:rsidR="003657AC" w:rsidRDefault="003657AC" w:rsidP="0050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B35E" w14:textId="77777777" w:rsidR="003657AC" w:rsidRDefault="003657AC" w:rsidP="00505A1E">
      <w:r>
        <w:separator/>
      </w:r>
    </w:p>
  </w:footnote>
  <w:footnote w:type="continuationSeparator" w:id="0">
    <w:p w14:paraId="2CC025F1" w14:textId="77777777" w:rsidR="003657AC" w:rsidRDefault="003657AC" w:rsidP="0050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2616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673446" w14:textId="0116FA0A" w:rsidR="00505A1E" w:rsidRDefault="00505A1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D2B17" w14:textId="77777777" w:rsidR="00505A1E" w:rsidRDefault="00505A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526"/>
    <w:multiLevelType w:val="hybridMultilevel"/>
    <w:tmpl w:val="B23AD950"/>
    <w:lvl w:ilvl="0" w:tplc="EB7CA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CD579D"/>
    <w:multiLevelType w:val="multilevel"/>
    <w:tmpl w:val="C950A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EC82040"/>
    <w:multiLevelType w:val="hybridMultilevel"/>
    <w:tmpl w:val="21A29E04"/>
    <w:lvl w:ilvl="0" w:tplc="16760438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730476"/>
    <w:multiLevelType w:val="multilevel"/>
    <w:tmpl w:val="9FCAA4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8450BFF"/>
    <w:multiLevelType w:val="multilevel"/>
    <w:tmpl w:val="ACC0C2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9CD62E2"/>
    <w:multiLevelType w:val="multilevel"/>
    <w:tmpl w:val="452612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FD23F0D"/>
    <w:multiLevelType w:val="multilevel"/>
    <w:tmpl w:val="930E1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205EF2"/>
    <w:multiLevelType w:val="multilevel"/>
    <w:tmpl w:val="8CFE87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31956DC7"/>
    <w:multiLevelType w:val="hybridMultilevel"/>
    <w:tmpl w:val="82160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51B4"/>
    <w:multiLevelType w:val="multilevel"/>
    <w:tmpl w:val="2A64B224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8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46" w:hanging="1800"/>
      </w:pPr>
      <w:rPr>
        <w:rFonts w:hint="default"/>
        <w:color w:val="FF0000"/>
      </w:rPr>
    </w:lvl>
  </w:abstractNum>
  <w:abstractNum w:abstractNumId="10" w15:restartNumberingAfterBreak="0">
    <w:nsid w:val="35D30FDD"/>
    <w:multiLevelType w:val="multilevel"/>
    <w:tmpl w:val="96282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3A144F39"/>
    <w:multiLevelType w:val="hybridMultilevel"/>
    <w:tmpl w:val="E35CD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058C"/>
    <w:multiLevelType w:val="multilevel"/>
    <w:tmpl w:val="9D02FCA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DD4A88"/>
    <w:multiLevelType w:val="hybridMultilevel"/>
    <w:tmpl w:val="A128F0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4F32"/>
    <w:multiLevelType w:val="multilevel"/>
    <w:tmpl w:val="F1EA2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C40D9"/>
    <w:multiLevelType w:val="multilevel"/>
    <w:tmpl w:val="508C6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3D1695"/>
    <w:multiLevelType w:val="multilevel"/>
    <w:tmpl w:val="E8E64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7" w15:restartNumberingAfterBreak="0">
    <w:nsid w:val="5FEB7EAE"/>
    <w:multiLevelType w:val="multilevel"/>
    <w:tmpl w:val="7AD238B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8" w15:restartNumberingAfterBreak="0">
    <w:nsid w:val="65704FBA"/>
    <w:multiLevelType w:val="hybridMultilevel"/>
    <w:tmpl w:val="A4828EE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F0466C"/>
    <w:multiLevelType w:val="hybridMultilevel"/>
    <w:tmpl w:val="F25EA5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432"/>
    <w:multiLevelType w:val="hybridMultilevel"/>
    <w:tmpl w:val="5C488E5C"/>
    <w:lvl w:ilvl="0" w:tplc="8C2CE8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E811CD4"/>
    <w:multiLevelType w:val="hybridMultilevel"/>
    <w:tmpl w:val="B406CB0C"/>
    <w:lvl w:ilvl="0" w:tplc="EF3088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8693933"/>
    <w:multiLevelType w:val="multilevel"/>
    <w:tmpl w:val="6EAC1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C53EF8"/>
    <w:multiLevelType w:val="hybridMultilevel"/>
    <w:tmpl w:val="BCDE38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614A0"/>
    <w:multiLevelType w:val="multilevel"/>
    <w:tmpl w:val="CBE221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E9563B3"/>
    <w:multiLevelType w:val="multilevel"/>
    <w:tmpl w:val="BABE7D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52870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216580">
    <w:abstractNumId w:val="25"/>
  </w:num>
  <w:num w:numId="3" w16cid:durableId="517618029">
    <w:abstractNumId w:val="14"/>
  </w:num>
  <w:num w:numId="4" w16cid:durableId="225995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423314">
    <w:abstractNumId w:val="9"/>
  </w:num>
  <w:num w:numId="6" w16cid:durableId="750470550">
    <w:abstractNumId w:val="5"/>
  </w:num>
  <w:num w:numId="7" w16cid:durableId="557673035">
    <w:abstractNumId w:val="0"/>
  </w:num>
  <w:num w:numId="8" w16cid:durableId="1215582573">
    <w:abstractNumId w:val="22"/>
  </w:num>
  <w:num w:numId="9" w16cid:durableId="806363729">
    <w:abstractNumId w:val="10"/>
  </w:num>
  <w:num w:numId="10" w16cid:durableId="1719668371">
    <w:abstractNumId w:val="12"/>
  </w:num>
  <w:num w:numId="11" w16cid:durableId="1628318467">
    <w:abstractNumId w:val="11"/>
  </w:num>
  <w:num w:numId="12" w16cid:durableId="443959806">
    <w:abstractNumId w:val="8"/>
  </w:num>
  <w:num w:numId="13" w16cid:durableId="562643576">
    <w:abstractNumId w:val="6"/>
  </w:num>
  <w:num w:numId="14" w16cid:durableId="1419865027">
    <w:abstractNumId w:val="15"/>
  </w:num>
  <w:num w:numId="15" w16cid:durableId="998465818">
    <w:abstractNumId w:val="4"/>
  </w:num>
  <w:num w:numId="16" w16cid:durableId="480728681">
    <w:abstractNumId w:val="16"/>
  </w:num>
  <w:num w:numId="17" w16cid:durableId="811599714">
    <w:abstractNumId w:val="24"/>
  </w:num>
  <w:num w:numId="18" w16cid:durableId="733814511">
    <w:abstractNumId w:val="13"/>
  </w:num>
  <w:num w:numId="19" w16cid:durableId="1787044195">
    <w:abstractNumId w:val="3"/>
  </w:num>
  <w:num w:numId="20" w16cid:durableId="1144082931">
    <w:abstractNumId w:val="7"/>
  </w:num>
  <w:num w:numId="21" w16cid:durableId="1891456969">
    <w:abstractNumId w:val="17"/>
  </w:num>
  <w:num w:numId="22" w16cid:durableId="141000100">
    <w:abstractNumId w:val="2"/>
  </w:num>
  <w:num w:numId="23" w16cid:durableId="1938637209">
    <w:abstractNumId w:val="1"/>
  </w:num>
  <w:num w:numId="24" w16cid:durableId="802425495">
    <w:abstractNumId w:val="19"/>
  </w:num>
  <w:num w:numId="25" w16cid:durableId="1999073532">
    <w:abstractNumId w:val="20"/>
  </w:num>
  <w:num w:numId="26" w16cid:durableId="433671104">
    <w:abstractNumId w:val="18"/>
  </w:num>
  <w:num w:numId="27" w16cid:durableId="264970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4A"/>
    <w:rsid w:val="00001F72"/>
    <w:rsid w:val="00010B66"/>
    <w:rsid w:val="000160E0"/>
    <w:rsid w:val="00026F8E"/>
    <w:rsid w:val="00040995"/>
    <w:rsid w:val="000453DF"/>
    <w:rsid w:val="00072669"/>
    <w:rsid w:val="00086616"/>
    <w:rsid w:val="000870B6"/>
    <w:rsid w:val="00093F6E"/>
    <w:rsid w:val="000A318C"/>
    <w:rsid w:val="000B372F"/>
    <w:rsid w:val="000B782C"/>
    <w:rsid w:val="000E7849"/>
    <w:rsid w:val="000F5864"/>
    <w:rsid w:val="0010313B"/>
    <w:rsid w:val="00104E13"/>
    <w:rsid w:val="00105305"/>
    <w:rsid w:val="00106A7D"/>
    <w:rsid w:val="0011047C"/>
    <w:rsid w:val="001118AA"/>
    <w:rsid w:val="00115D2F"/>
    <w:rsid w:val="0014731A"/>
    <w:rsid w:val="001762E1"/>
    <w:rsid w:val="001853CA"/>
    <w:rsid w:val="0019105B"/>
    <w:rsid w:val="00193B51"/>
    <w:rsid w:val="001B4F5D"/>
    <w:rsid w:val="001C2574"/>
    <w:rsid w:val="001C7F48"/>
    <w:rsid w:val="001D620C"/>
    <w:rsid w:val="001E3A3F"/>
    <w:rsid w:val="001E59B3"/>
    <w:rsid w:val="00205F77"/>
    <w:rsid w:val="00211460"/>
    <w:rsid w:val="00213159"/>
    <w:rsid w:val="00213DB2"/>
    <w:rsid w:val="0022221F"/>
    <w:rsid w:val="002258AD"/>
    <w:rsid w:val="00227332"/>
    <w:rsid w:val="0023304D"/>
    <w:rsid w:val="0024064F"/>
    <w:rsid w:val="002437AB"/>
    <w:rsid w:val="00246BC2"/>
    <w:rsid w:val="00250101"/>
    <w:rsid w:val="002546E4"/>
    <w:rsid w:val="0025491E"/>
    <w:rsid w:val="00261418"/>
    <w:rsid w:val="00262995"/>
    <w:rsid w:val="00286C22"/>
    <w:rsid w:val="002907B3"/>
    <w:rsid w:val="002A1FF2"/>
    <w:rsid w:val="002A762A"/>
    <w:rsid w:val="002C04E0"/>
    <w:rsid w:val="002D1616"/>
    <w:rsid w:val="002D663A"/>
    <w:rsid w:val="002E0768"/>
    <w:rsid w:val="002F1CAD"/>
    <w:rsid w:val="00307A18"/>
    <w:rsid w:val="00331C84"/>
    <w:rsid w:val="00333EBC"/>
    <w:rsid w:val="00334C22"/>
    <w:rsid w:val="00335260"/>
    <w:rsid w:val="003402D4"/>
    <w:rsid w:val="00340F12"/>
    <w:rsid w:val="0034510B"/>
    <w:rsid w:val="0036252B"/>
    <w:rsid w:val="003657AC"/>
    <w:rsid w:val="00371894"/>
    <w:rsid w:val="003902D1"/>
    <w:rsid w:val="00390B76"/>
    <w:rsid w:val="003C700E"/>
    <w:rsid w:val="003D412B"/>
    <w:rsid w:val="003D5BE1"/>
    <w:rsid w:val="003E04B9"/>
    <w:rsid w:val="003E7AC4"/>
    <w:rsid w:val="003F2B82"/>
    <w:rsid w:val="004027CA"/>
    <w:rsid w:val="00407191"/>
    <w:rsid w:val="00420120"/>
    <w:rsid w:val="004219ED"/>
    <w:rsid w:val="0042230E"/>
    <w:rsid w:val="004250B1"/>
    <w:rsid w:val="00431999"/>
    <w:rsid w:val="004339B1"/>
    <w:rsid w:val="0044275A"/>
    <w:rsid w:val="00445330"/>
    <w:rsid w:val="00453A82"/>
    <w:rsid w:val="004607BE"/>
    <w:rsid w:val="00461FD4"/>
    <w:rsid w:val="00473118"/>
    <w:rsid w:val="00495775"/>
    <w:rsid w:val="004A0CC8"/>
    <w:rsid w:val="004A12BB"/>
    <w:rsid w:val="004C62FF"/>
    <w:rsid w:val="004D00C7"/>
    <w:rsid w:val="004F13B6"/>
    <w:rsid w:val="004F4B64"/>
    <w:rsid w:val="004F4FA5"/>
    <w:rsid w:val="00505A1E"/>
    <w:rsid w:val="00505AB9"/>
    <w:rsid w:val="005145DB"/>
    <w:rsid w:val="005166C0"/>
    <w:rsid w:val="0052270A"/>
    <w:rsid w:val="00530349"/>
    <w:rsid w:val="00535FFE"/>
    <w:rsid w:val="00547BDA"/>
    <w:rsid w:val="00556308"/>
    <w:rsid w:val="00570963"/>
    <w:rsid w:val="005770E8"/>
    <w:rsid w:val="005819FD"/>
    <w:rsid w:val="00583F0D"/>
    <w:rsid w:val="00585AA5"/>
    <w:rsid w:val="00590EB0"/>
    <w:rsid w:val="00594C90"/>
    <w:rsid w:val="00597E7F"/>
    <w:rsid w:val="005B019D"/>
    <w:rsid w:val="005B37E5"/>
    <w:rsid w:val="005C01B5"/>
    <w:rsid w:val="005D3D1D"/>
    <w:rsid w:val="005D50E8"/>
    <w:rsid w:val="005D6BE9"/>
    <w:rsid w:val="005F1124"/>
    <w:rsid w:val="005F18E5"/>
    <w:rsid w:val="005F3063"/>
    <w:rsid w:val="005F5F06"/>
    <w:rsid w:val="005F684B"/>
    <w:rsid w:val="00604A63"/>
    <w:rsid w:val="0061232E"/>
    <w:rsid w:val="00623CDE"/>
    <w:rsid w:val="0062734D"/>
    <w:rsid w:val="006322FA"/>
    <w:rsid w:val="00643E98"/>
    <w:rsid w:val="00681235"/>
    <w:rsid w:val="006844DF"/>
    <w:rsid w:val="00691A91"/>
    <w:rsid w:val="00697EF1"/>
    <w:rsid w:val="006A03C7"/>
    <w:rsid w:val="006A5EF7"/>
    <w:rsid w:val="006A6194"/>
    <w:rsid w:val="006B2696"/>
    <w:rsid w:val="006C01A5"/>
    <w:rsid w:val="006C384C"/>
    <w:rsid w:val="006C596C"/>
    <w:rsid w:val="006D1316"/>
    <w:rsid w:val="006D20D0"/>
    <w:rsid w:val="006D3AC2"/>
    <w:rsid w:val="006D7DC3"/>
    <w:rsid w:val="00710641"/>
    <w:rsid w:val="00713080"/>
    <w:rsid w:val="0071574B"/>
    <w:rsid w:val="007165A6"/>
    <w:rsid w:val="007173A2"/>
    <w:rsid w:val="00722396"/>
    <w:rsid w:val="00741376"/>
    <w:rsid w:val="00750924"/>
    <w:rsid w:val="0075126C"/>
    <w:rsid w:val="00761E98"/>
    <w:rsid w:val="007664A0"/>
    <w:rsid w:val="0077274F"/>
    <w:rsid w:val="00790E20"/>
    <w:rsid w:val="007928C2"/>
    <w:rsid w:val="00794C04"/>
    <w:rsid w:val="00794E44"/>
    <w:rsid w:val="007A3354"/>
    <w:rsid w:val="007A60FE"/>
    <w:rsid w:val="007A6BF9"/>
    <w:rsid w:val="007A7C36"/>
    <w:rsid w:val="007B4FDF"/>
    <w:rsid w:val="007B5782"/>
    <w:rsid w:val="007B7D75"/>
    <w:rsid w:val="007E0DD6"/>
    <w:rsid w:val="007F2B85"/>
    <w:rsid w:val="00802030"/>
    <w:rsid w:val="00803C19"/>
    <w:rsid w:val="008044AC"/>
    <w:rsid w:val="00806340"/>
    <w:rsid w:val="0081299A"/>
    <w:rsid w:val="00817D02"/>
    <w:rsid w:val="008210F9"/>
    <w:rsid w:val="00827D16"/>
    <w:rsid w:val="00845ADC"/>
    <w:rsid w:val="00850AEB"/>
    <w:rsid w:val="00852C60"/>
    <w:rsid w:val="00870151"/>
    <w:rsid w:val="00872224"/>
    <w:rsid w:val="00872502"/>
    <w:rsid w:val="0087650F"/>
    <w:rsid w:val="00886C4B"/>
    <w:rsid w:val="008938BA"/>
    <w:rsid w:val="008A3D3D"/>
    <w:rsid w:val="008B01C3"/>
    <w:rsid w:val="008B136B"/>
    <w:rsid w:val="008B733E"/>
    <w:rsid w:val="008F564F"/>
    <w:rsid w:val="009001C1"/>
    <w:rsid w:val="00905383"/>
    <w:rsid w:val="0091063B"/>
    <w:rsid w:val="00921211"/>
    <w:rsid w:val="009244BB"/>
    <w:rsid w:val="00926267"/>
    <w:rsid w:val="00945A07"/>
    <w:rsid w:val="0094670B"/>
    <w:rsid w:val="00951C30"/>
    <w:rsid w:val="00954350"/>
    <w:rsid w:val="00955F08"/>
    <w:rsid w:val="00961961"/>
    <w:rsid w:val="0098644C"/>
    <w:rsid w:val="009A0500"/>
    <w:rsid w:val="009B1334"/>
    <w:rsid w:val="009B1F6B"/>
    <w:rsid w:val="009B2771"/>
    <w:rsid w:val="009C226E"/>
    <w:rsid w:val="009C5194"/>
    <w:rsid w:val="009D4D11"/>
    <w:rsid w:val="009D5090"/>
    <w:rsid w:val="00A115F1"/>
    <w:rsid w:val="00A11E88"/>
    <w:rsid w:val="00A160A8"/>
    <w:rsid w:val="00A35713"/>
    <w:rsid w:val="00A43413"/>
    <w:rsid w:val="00A46251"/>
    <w:rsid w:val="00A47740"/>
    <w:rsid w:val="00A61336"/>
    <w:rsid w:val="00A62FF8"/>
    <w:rsid w:val="00A6571A"/>
    <w:rsid w:val="00A67AEA"/>
    <w:rsid w:val="00A722BB"/>
    <w:rsid w:val="00A75035"/>
    <w:rsid w:val="00A82EC0"/>
    <w:rsid w:val="00A84703"/>
    <w:rsid w:val="00AA1A44"/>
    <w:rsid w:val="00AB39DC"/>
    <w:rsid w:val="00AB5651"/>
    <w:rsid w:val="00AC1D5A"/>
    <w:rsid w:val="00AC6A0D"/>
    <w:rsid w:val="00AD7D5C"/>
    <w:rsid w:val="00AE37DD"/>
    <w:rsid w:val="00AE5469"/>
    <w:rsid w:val="00AE7D17"/>
    <w:rsid w:val="00AF1BA2"/>
    <w:rsid w:val="00AF207D"/>
    <w:rsid w:val="00AF3FF3"/>
    <w:rsid w:val="00AF71DE"/>
    <w:rsid w:val="00B01CF0"/>
    <w:rsid w:val="00B03AD1"/>
    <w:rsid w:val="00B137BF"/>
    <w:rsid w:val="00B17995"/>
    <w:rsid w:val="00B25A15"/>
    <w:rsid w:val="00B25F88"/>
    <w:rsid w:val="00B32258"/>
    <w:rsid w:val="00B3422D"/>
    <w:rsid w:val="00B43844"/>
    <w:rsid w:val="00B50C1F"/>
    <w:rsid w:val="00B51BB1"/>
    <w:rsid w:val="00B650FB"/>
    <w:rsid w:val="00B67C9A"/>
    <w:rsid w:val="00B72DFA"/>
    <w:rsid w:val="00B74857"/>
    <w:rsid w:val="00B84C0A"/>
    <w:rsid w:val="00B85BB8"/>
    <w:rsid w:val="00BA068B"/>
    <w:rsid w:val="00BA7CFD"/>
    <w:rsid w:val="00BB3C78"/>
    <w:rsid w:val="00BB54A7"/>
    <w:rsid w:val="00BB6B49"/>
    <w:rsid w:val="00BC112B"/>
    <w:rsid w:val="00BD5782"/>
    <w:rsid w:val="00BE4E5E"/>
    <w:rsid w:val="00BE55C7"/>
    <w:rsid w:val="00BF3445"/>
    <w:rsid w:val="00BF3EA3"/>
    <w:rsid w:val="00BF4EDC"/>
    <w:rsid w:val="00C32C09"/>
    <w:rsid w:val="00C343E1"/>
    <w:rsid w:val="00C4785E"/>
    <w:rsid w:val="00C505F7"/>
    <w:rsid w:val="00C55DFE"/>
    <w:rsid w:val="00C56FD5"/>
    <w:rsid w:val="00C76C02"/>
    <w:rsid w:val="00C80840"/>
    <w:rsid w:val="00C86F1B"/>
    <w:rsid w:val="00CA0ED3"/>
    <w:rsid w:val="00CA181B"/>
    <w:rsid w:val="00CA49A8"/>
    <w:rsid w:val="00CA65B5"/>
    <w:rsid w:val="00CD0D90"/>
    <w:rsid w:val="00CD1E9E"/>
    <w:rsid w:val="00CE0A17"/>
    <w:rsid w:val="00CF4A33"/>
    <w:rsid w:val="00D02C30"/>
    <w:rsid w:val="00D05C1B"/>
    <w:rsid w:val="00D10077"/>
    <w:rsid w:val="00D1629D"/>
    <w:rsid w:val="00D23BC8"/>
    <w:rsid w:val="00D25ED5"/>
    <w:rsid w:val="00D36B39"/>
    <w:rsid w:val="00D4415E"/>
    <w:rsid w:val="00D44D85"/>
    <w:rsid w:val="00D5244A"/>
    <w:rsid w:val="00D61D42"/>
    <w:rsid w:val="00D65CE9"/>
    <w:rsid w:val="00D67A9A"/>
    <w:rsid w:val="00D91B17"/>
    <w:rsid w:val="00D96D23"/>
    <w:rsid w:val="00DB584A"/>
    <w:rsid w:val="00DB617D"/>
    <w:rsid w:val="00DC1C4B"/>
    <w:rsid w:val="00DC2E30"/>
    <w:rsid w:val="00DD490B"/>
    <w:rsid w:val="00DE70AC"/>
    <w:rsid w:val="00DF0F69"/>
    <w:rsid w:val="00DF1679"/>
    <w:rsid w:val="00DF20EE"/>
    <w:rsid w:val="00E07D46"/>
    <w:rsid w:val="00E30E26"/>
    <w:rsid w:val="00E313AE"/>
    <w:rsid w:val="00E3177C"/>
    <w:rsid w:val="00E33CD7"/>
    <w:rsid w:val="00E42D34"/>
    <w:rsid w:val="00E5053F"/>
    <w:rsid w:val="00E657EB"/>
    <w:rsid w:val="00E71CBD"/>
    <w:rsid w:val="00E73B1E"/>
    <w:rsid w:val="00E764FE"/>
    <w:rsid w:val="00E8098D"/>
    <w:rsid w:val="00E96F13"/>
    <w:rsid w:val="00EB297B"/>
    <w:rsid w:val="00EC2A80"/>
    <w:rsid w:val="00EC6284"/>
    <w:rsid w:val="00EC6D3D"/>
    <w:rsid w:val="00ED42B5"/>
    <w:rsid w:val="00EF0835"/>
    <w:rsid w:val="00F05275"/>
    <w:rsid w:val="00F05AB6"/>
    <w:rsid w:val="00F05FD4"/>
    <w:rsid w:val="00F25361"/>
    <w:rsid w:val="00F33F5A"/>
    <w:rsid w:val="00F46993"/>
    <w:rsid w:val="00F65D05"/>
    <w:rsid w:val="00F954A1"/>
    <w:rsid w:val="00F976E5"/>
    <w:rsid w:val="00FA15EB"/>
    <w:rsid w:val="00FA32EC"/>
    <w:rsid w:val="00FA3DD8"/>
    <w:rsid w:val="00FA4E09"/>
    <w:rsid w:val="00FA79EF"/>
    <w:rsid w:val="00FB06C1"/>
    <w:rsid w:val="00FC33E1"/>
    <w:rsid w:val="00FC79EA"/>
    <w:rsid w:val="00FD06A6"/>
    <w:rsid w:val="00FD5E77"/>
    <w:rsid w:val="00FE2C23"/>
    <w:rsid w:val="00FE4A35"/>
    <w:rsid w:val="00FF0121"/>
    <w:rsid w:val="00FF0F9B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F970"/>
  <w15:docId w15:val="{944089B7-D0A0-49B4-98D4-DEAA4BA7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8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5A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5A1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05A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A1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02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02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02D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02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02D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02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02D1"/>
    <w:rPr>
      <w:rFonts w:ascii="Tahoma" w:eastAsia="Times New Roman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39"/>
    <w:rsid w:val="0060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8084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80840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D67A9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81299A"/>
    <w:rPr>
      <w:b/>
      <w:bCs/>
    </w:rPr>
  </w:style>
  <w:style w:type="paragraph" w:styleId="Betarp">
    <w:name w:val="No Spacing"/>
    <w:uiPriority w:val="1"/>
    <w:qFormat/>
    <w:rsid w:val="009B1F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br">
    <w:name w:val="nobr"/>
    <w:basedOn w:val="Numatytasispastraiposriftas"/>
    <w:rsid w:val="001853CA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B54A7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grindinistekstas1">
    <w:name w:val="Pagrindinis tekstas1"/>
    <w:link w:val="BodytextChar"/>
    <w:rsid w:val="0087015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870151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8B68-C07B-482C-B77E-C953AC1D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Jūratė Kaklauskienė</dc:creator>
  <cp:lastModifiedBy>Danguolė Šlegerienė</cp:lastModifiedBy>
  <cp:revision>8</cp:revision>
  <cp:lastPrinted>2021-10-05T11:36:00Z</cp:lastPrinted>
  <dcterms:created xsi:type="dcterms:W3CDTF">2026-04-30T11:27:00Z</dcterms:created>
  <dcterms:modified xsi:type="dcterms:W3CDTF">2026-06-02T11:54:00Z</dcterms:modified>
</cp:coreProperties>
</file>