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6FC2" w14:textId="77777777" w:rsidR="006B02EB" w:rsidRPr="006B02EB" w:rsidRDefault="006B02EB" w:rsidP="006B02EB">
      <w:pPr>
        <w:pBdr>
          <w:top w:val="none" w:sz="0" w:space="0" w:color="000000"/>
          <w:left w:val="none" w:sz="0" w:space="0" w:color="000000"/>
          <w:bottom w:val="none" w:sz="0" w:space="0" w:color="000000"/>
          <w:right w:val="none" w:sz="0" w:space="0" w:color="000000"/>
        </w:pBdr>
        <w:tabs>
          <w:tab w:val="left" w:pos="567"/>
        </w:tabs>
        <w:suppressAutoHyphens/>
        <w:ind w:right="-178" w:firstLine="426"/>
        <w:jc w:val="center"/>
        <w:rPr>
          <w:rFonts w:ascii="Times New Roman" w:eastAsia="Helvetica Neue UltraLight" w:hAnsi="Times New Roman" w:cs="Times New Roman"/>
          <w:kern w:val="0"/>
          <w:lang w:eastAsia="zh-CN"/>
          <w14:ligatures w14:val="none"/>
        </w:rPr>
      </w:pPr>
      <w:r w:rsidRPr="006B02EB">
        <w:rPr>
          <w:rFonts w:ascii="Times New Roman" w:eastAsia="Helvetica Neue UltraLight" w:hAnsi="Times New Roman" w:cs="Times New Roman"/>
          <w:b/>
          <w:kern w:val="0"/>
          <w:lang w:eastAsia="zh-CN"/>
          <w14:ligatures w14:val="none"/>
        </w:rPr>
        <w:t>AKCINĖ BENDROVĖ „REGITRA“</w:t>
      </w:r>
    </w:p>
    <w:p w14:paraId="03654B15" w14:textId="77777777" w:rsidR="006B02EB" w:rsidRPr="006B02EB" w:rsidRDefault="006B02EB" w:rsidP="006B02EB">
      <w:pPr>
        <w:ind w:firstLine="0"/>
        <w:jc w:val="left"/>
        <w:rPr>
          <w:rFonts w:ascii="Times New Roman" w:eastAsia="Times New Roman" w:hAnsi="Times New Roman" w:cs="Times New Roman"/>
          <w:kern w:val="0"/>
          <w14:ligatures w14:val="none"/>
        </w:rPr>
      </w:pPr>
    </w:p>
    <w:p w14:paraId="5FFE23CB" w14:textId="77777777" w:rsidR="006B02EB" w:rsidRPr="006B02EB" w:rsidRDefault="006B02EB" w:rsidP="006B02EB">
      <w:pPr>
        <w:ind w:firstLine="0"/>
        <w:jc w:val="left"/>
        <w:rPr>
          <w:rFonts w:ascii="Times New Roman" w:eastAsia="Times New Roman" w:hAnsi="Times New Roman" w:cs="Times New Roman"/>
          <w:kern w:val="0"/>
          <w14:ligatures w14:val="none"/>
        </w:rPr>
      </w:pPr>
    </w:p>
    <w:p w14:paraId="33B0014F" w14:textId="77777777" w:rsidR="006B02EB" w:rsidRPr="006B02EB" w:rsidRDefault="006B02EB" w:rsidP="006B02EB">
      <w:pPr>
        <w:ind w:firstLine="0"/>
        <w:jc w:val="left"/>
        <w:rPr>
          <w:rFonts w:ascii="Times New Roman" w:eastAsia="Times New Roman" w:hAnsi="Times New Roman" w:cs="Times New Roman"/>
          <w:b/>
          <w:bCs/>
          <w:kern w:val="0"/>
          <w14:ligatures w14:val="none"/>
        </w:rPr>
      </w:pPr>
      <w:r w:rsidRPr="006B02EB">
        <w:rPr>
          <w:rFonts w:ascii="Times New Roman" w:eastAsia="Times New Roman" w:hAnsi="Times New Roman" w:cs="Times New Roman"/>
          <w:b/>
          <w:bCs/>
          <w:kern w:val="0"/>
          <w14:ligatures w14:val="none"/>
        </w:rPr>
        <w:t>Suinteresuotiems tiekėjams</w:t>
      </w:r>
    </w:p>
    <w:p w14:paraId="022EF005" w14:textId="77777777" w:rsidR="006B02EB" w:rsidRPr="006B02EB" w:rsidRDefault="006B02EB" w:rsidP="006B02EB">
      <w:pPr>
        <w:ind w:firstLine="0"/>
        <w:jc w:val="left"/>
        <w:rPr>
          <w:rFonts w:ascii="Times New Roman" w:eastAsia="Times New Roman" w:hAnsi="Times New Roman" w:cs="Times New Roman"/>
          <w:i/>
          <w:iCs/>
          <w:kern w:val="0"/>
          <w14:ligatures w14:val="none"/>
        </w:rPr>
      </w:pPr>
      <w:r w:rsidRPr="006B02EB">
        <w:rPr>
          <w:rFonts w:ascii="Times New Roman" w:eastAsia="Times New Roman" w:hAnsi="Times New Roman" w:cs="Times New Roman"/>
          <w:i/>
          <w:iCs/>
          <w:kern w:val="0"/>
          <w14:ligatures w14:val="none"/>
        </w:rPr>
        <w:t>(siunčiama CVP IS priemonėmis)</w:t>
      </w:r>
    </w:p>
    <w:p w14:paraId="5DBAABC2" w14:textId="77777777" w:rsidR="006B02EB" w:rsidRPr="006B02EB" w:rsidRDefault="006B02EB" w:rsidP="006B02EB">
      <w:pPr>
        <w:ind w:firstLine="0"/>
        <w:jc w:val="left"/>
        <w:rPr>
          <w:rFonts w:ascii="Times New Roman" w:eastAsia="Times New Roman" w:hAnsi="Times New Roman" w:cs="Times New Roman"/>
          <w:i/>
          <w:iCs/>
          <w:kern w:val="0"/>
          <w14:ligatures w14:val="none"/>
        </w:rPr>
      </w:pPr>
    </w:p>
    <w:p w14:paraId="5D5C174E" w14:textId="77777777" w:rsidR="006B02EB" w:rsidRPr="006B02EB" w:rsidRDefault="006B02EB" w:rsidP="006B02EB">
      <w:pPr>
        <w:ind w:firstLine="0"/>
        <w:jc w:val="left"/>
        <w:rPr>
          <w:rFonts w:ascii="Times New Roman" w:eastAsia="Times New Roman" w:hAnsi="Times New Roman" w:cs="Times New Roman"/>
          <w:i/>
          <w:iCs/>
          <w:kern w:val="0"/>
          <w14:ligatures w14:val="none"/>
        </w:rPr>
      </w:pPr>
    </w:p>
    <w:p w14:paraId="30F6F669" w14:textId="1D574B77" w:rsidR="006B02EB" w:rsidRPr="006B02EB" w:rsidRDefault="006B02EB" w:rsidP="006B02EB">
      <w:pPr>
        <w:ind w:firstLine="0"/>
        <w:jc w:val="left"/>
        <w:rPr>
          <w:rFonts w:ascii="Times New Roman" w:eastAsia="Times New Roman" w:hAnsi="Times New Roman" w:cs="Times New Roman"/>
          <w:b/>
          <w:bCs/>
          <w:kern w:val="0"/>
          <w14:ligatures w14:val="none"/>
        </w:rPr>
      </w:pPr>
      <w:r w:rsidRPr="006B02EB">
        <w:rPr>
          <w:rFonts w:ascii="Times New Roman" w:eastAsia="Times New Roman" w:hAnsi="Times New Roman" w:cs="Times New Roman"/>
          <w:b/>
          <w:bCs/>
          <w:kern w:val="0"/>
          <w14:ligatures w14:val="none"/>
        </w:rPr>
        <w:t xml:space="preserve">DĖL </w:t>
      </w:r>
      <w:r w:rsidR="00E8281C">
        <w:rPr>
          <w:rFonts w:ascii="Times New Roman" w:eastAsia="Times New Roman" w:hAnsi="Times New Roman" w:cs="Times New Roman"/>
          <w:b/>
          <w:bCs/>
          <w:kern w:val="0"/>
          <w14:ligatures w14:val="none"/>
        </w:rPr>
        <w:t xml:space="preserve">II PIRKIMO OBJEKTO DALIES </w:t>
      </w:r>
      <w:r w:rsidRPr="006B02EB">
        <w:rPr>
          <w:rFonts w:ascii="Times New Roman" w:eastAsia="Times New Roman" w:hAnsi="Times New Roman" w:cs="Times New Roman"/>
          <w:b/>
          <w:bCs/>
          <w:kern w:val="0"/>
          <w14:ligatures w14:val="none"/>
        </w:rPr>
        <w:t>P</w:t>
      </w:r>
      <w:r w:rsidR="00525E84">
        <w:rPr>
          <w:rFonts w:ascii="Times New Roman" w:eastAsia="Times New Roman" w:hAnsi="Times New Roman" w:cs="Times New Roman"/>
          <w:b/>
          <w:bCs/>
          <w:kern w:val="0"/>
          <w14:ligatures w14:val="none"/>
        </w:rPr>
        <w:t>IRKIMO PROCEDŪRŲ NUTRAUKIMO</w:t>
      </w:r>
    </w:p>
    <w:p w14:paraId="0D57E347" w14:textId="77777777" w:rsidR="006B02EB" w:rsidRPr="006B02EB" w:rsidRDefault="006B02EB" w:rsidP="006B02EB">
      <w:pPr>
        <w:ind w:firstLine="0"/>
        <w:rPr>
          <w:rFonts w:ascii="Times New Roman" w:eastAsia="Aptos" w:hAnsi="Times New Roman" w:cs="Times New Roman"/>
        </w:rPr>
      </w:pPr>
    </w:p>
    <w:p w14:paraId="7FB6D90E" w14:textId="77777777" w:rsidR="006B02EB" w:rsidRPr="006B02EB" w:rsidRDefault="006B02EB" w:rsidP="006B02EB">
      <w:pPr>
        <w:ind w:firstLine="0"/>
        <w:rPr>
          <w:rFonts w:ascii="Times New Roman" w:eastAsia="Aptos" w:hAnsi="Times New Roman" w:cs="Times New Roman"/>
        </w:rPr>
      </w:pPr>
    </w:p>
    <w:p w14:paraId="4387D789" w14:textId="23A11304" w:rsidR="009F16FA" w:rsidRDefault="006B02EB" w:rsidP="006B02EB">
      <w:pPr>
        <w:tabs>
          <w:tab w:val="left" w:pos="284"/>
          <w:tab w:val="num" w:pos="720"/>
          <w:tab w:val="left" w:pos="1985"/>
        </w:tabs>
        <w:rPr>
          <w:rFonts w:ascii="Times New Roman" w:eastAsia="Aptos" w:hAnsi="Times New Roman" w:cs="Times New Roman"/>
        </w:rPr>
      </w:pPr>
      <w:r w:rsidRPr="006B02EB">
        <w:rPr>
          <w:rFonts w:ascii="Times New Roman" w:eastAsia="Aptos" w:hAnsi="Times New Roman" w:cs="Times New Roman"/>
        </w:rPr>
        <w:t xml:space="preserve">Akcinės bendrovės „Regitra“ </w:t>
      </w:r>
      <w:r>
        <w:rPr>
          <w:rFonts w:ascii="Times New Roman" w:eastAsia="Aptos" w:hAnsi="Times New Roman" w:cs="Times New Roman"/>
        </w:rPr>
        <w:t xml:space="preserve">(toliau – Perkančioji organizacija) </w:t>
      </w:r>
      <w:r w:rsidRPr="006B02EB">
        <w:rPr>
          <w:rFonts w:ascii="Times New Roman" w:eastAsia="Aptos" w:hAnsi="Times New Roman" w:cs="Times New Roman"/>
        </w:rPr>
        <w:t xml:space="preserve">viešųjų pirkimų komisija (toliau – Komisija), vykdydama </w:t>
      </w:r>
      <w:bookmarkStart w:id="0" w:name="_Hlk205187845"/>
      <w:r>
        <w:rPr>
          <w:rFonts w:ascii="Times New Roman" w:eastAsia="Aptos" w:hAnsi="Times New Roman" w:cs="Times New Roman"/>
        </w:rPr>
        <w:t>„</w:t>
      </w:r>
      <w:r w:rsidR="0046677C" w:rsidRPr="0046677C">
        <w:rPr>
          <w:rFonts w:ascii="Times New Roman" w:eastAsia="Times New Roman" w:hAnsi="Times New Roman" w:cs="Times New Roman"/>
        </w:rPr>
        <w:t xml:space="preserve">Lengvųjų (M1 klasės) egzaminavimo automobilių veiklos nuoma“ pirkimą, atviro (tarptautinio) konkurso būdu (pirkimo CVP IS Nr. 7809998) </w:t>
      </w:r>
      <w:r w:rsidRPr="006B02EB">
        <w:rPr>
          <w:rFonts w:ascii="Times New Roman" w:eastAsia="Aptos" w:hAnsi="Times New Roman" w:cs="Times New Roman"/>
        </w:rPr>
        <w:t xml:space="preserve">(toliau – Pirkimas), </w:t>
      </w:r>
      <w:r w:rsidR="00D26C11" w:rsidRPr="009F16FA">
        <w:rPr>
          <w:rFonts w:ascii="Times New Roman" w:eastAsia="Aptos" w:hAnsi="Times New Roman" w:cs="Times New Roman"/>
          <w:b/>
          <w:bCs/>
        </w:rPr>
        <w:t>priėmė sprendimą</w:t>
      </w:r>
      <w:r w:rsidR="00D26C11">
        <w:rPr>
          <w:rFonts w:ascii="Times New Roman" w:eastAsia="Aptos" w:hAnsi="Times New Roman" w:cs="Times New Roman"/>
        </w:rPr>
        <w:t xml:space="preserve"> </w:t>
      </w:r>
      <w:r w:rsidR="00D26C11" w:rsidRPr="00A66684">
        <w:rPr>
          <w:rFonts w:ascii="Times New Roman" w:eastAsia="Aptos" w:hAnsi="Times New Roman" w:cs="Times New Roman"/>
          <w:b/>
          <w:bCs/>
        </w:rPr>
        <w:t xml:space="preserve">nutraukti pirkimo procedūras </w:t>
      </w:r>
      <w:r w:rsidR="009F16FA" w:rsidRPr="00A66684">
        <w:rPr>
          <w:rFonts w:ascii="Times New Roman" w:eastAsia="Aptos" w:hAnsi="Times New Roman" w:cs="Times New Roman"/>
          <w:b/>
          <w:bCs/>
        </w:rPr>
        <w:t>dėl II</w:t>
      </w:r>
      <w:r w:rsidR="0004515E">
        <w:rPr>
          <w:rFonts w:ascii="Times New Roman" w:eastAsia="Aptos" w:hAnsi="Times New Roman" w:cs="Times New Roman"/>
          <w:b/>
          <w:bCs/>
        </w:rPr>
        <w:t>-</w:t>
      </w:r>
      <w:proofErr w:type="spellStart"/>
      <w:r w:rsidR="0004515E">
        <w:rPr>
          <w:rFonts w:ascii="Times New Roman" w:eastAsia="Aptos" w:hAnsi="Times New Roman" w:cs="Times New Roman"/>
          <w:b/>
          <w:bCs/>
        </w:rPr>
        <w:t>os</w:t>
      </w:r>
      <w:proofErr w:type="spellEnd"/>
      <w:r w:rsidR="009F16FA" w:rsidRPr="00A66684">
        <w:rPr>
          <w:rFonts w:ascii="Times New Roman" w:eastAsia="Aptos" w:hAnsi="Times New Roman" w:cs="Times New Roman"/>
          <w:b/>
          <w:bCs/>
        </w:rPr>
        <w:t xml:space="preserve"> pirkimo objekto dalies</w:t>
      </w:r>
      <w:r w:rsidR="006F29D8">
        <w:rPr>
          <w:rFonts w:ascii="Times New Roman" w:eastAsia="Aptos" w:hAnsi="Times New Roman" w:cs="Times New Roman"/>
        </w:rPr>
        <w:t xml:space="preserve"> (</w:t>
      </w:r>
      <w:r w:rsidR="00B36027" w:rsidRPr="00B36027">
        <w:rPr>
          <w:rFonts w:ascii="Times New Roman" w:eastAsia="Aptos" w:hAnsi="Times New Roman" w:cs="Times New Roman"/>
        </w:rPr>
        <w:t>Lengvųjų (M1 klasės) automobilių su automatine transmisija veiklos nuoma (1 (vienas) vnt.)</w:t>
      </w:r>
      <w:r w:rsidR="006F29D8">
        <w:rPr>
          <w:rFonts w:ascii="Times New Roman" w:eastAsia="Aptos" w:hAnsi="Times New Roman" w:cs="Times New Roman"/>
        </w:rPr>
        <w:t>)</w:t>
      </w:r>
      <w:r w:rsidR="00582F28">
        <w:rPr>
          <w:rFonts w:ascii="Times New Roman" w:eastAsia="Aptos" w:hAnsi="Times New Roman" w:cs="Times New Roman"/>
        </w:rPr>
        <w:t xml:space="preserve">, kadangi </w:t>
      </w:r>
      <w:r w:rsidR="00DE14E7">
        <w:rPr>
          <w:rFonts w:ascii="Times New Roman" w:eastAsia="Aptos" w:hAnsi="Times New Roman" w:cs="Times New Roman"/>
        </w:rPr>
        <w:t>susidar</w:t>
      </w:r>
      <w:r w:rsidR="00972179">
        <w:rPr>
          <w:rFonts w:ascii="Times New Roman" w:eastAsia="Aptos" w:hAnsi="Times New Roman" w:cs="Times New Roman"/>
        </w:rPr>
        <w:t>ė</w:t>
      </w:r>
      <w:r w:rsidR="00DE14E7">
        <w:rPr>
          <w:rFonts w:ascii="Times New Roman" w:eastAsia="Aptos" w:hAnsi="Times New Roman" w:cs="Times New Roman"/>
        </w:rPr>
        <w:t xml:space="preserve"> situacija</w:t>
      </w:r>
      <w:r w:rsidR="00024FED">
        <w:rPr>
          <w:rFonts w:ascii="Times New Roman" w:eastAsia="Aptos" w:hAnsi="Times New Roman" w:cs="Times New Roman"/>
        </w:rPr>
        <w:t>,</w:t>
      </w:r>
      <w:r w:rsidR="00972179">
        <w:rPr>
          <w:rFonts w:ascii="Times New Roman" w:eastAsia="Aptos" w:hAnsi="Times New Roman" w:cs="Times New Roman"/>
        </w:rPr>
        <w:t xml:space="preserve"> atitinkanti Lietuvos Respublikos viešųjų pirkimų įstatymo </w:t>
      </w:r>
      <w:r w:rsidR="00024FED">
        <w:rPr>
          <w:rFonts w:ascii="Times New Roman" w:eastAsia="Aptos" w:hAnsi="Times New Roman" w:cs="Times New Roman"/>
        </w:rPr>
        <w:t xml:space="preserve">(toliau – VPĮ) 29 </w:t>
      </w:r>
      <w:r w:rsidR="007635A2">
        <w:rPr>
          <w:rFonts w:ascii="Times New Roman" w:eastAsia="Aptos" w:hAnsi="Times New Roman" w:cs="Times New Roman"/>
        </w:rPr>
        <w:t xml:space="preserve">straipsnio </w:t>
      </w:r>
      <w:r w:rsidR="00024FED">
        <w:rPr>
          <w:rFonts w:ascii="Times New Roman" w:eastAsia="Aptos" w:hAnsi="Times New Roman" w:cs="Times New Roman"/>
        </w:rPr>
        <w:t>4 dalyje (</w:t>
      </w:r>
      <w:r w:rsidR="007635A2">
        <w:rPr>
          <w:rFonts w:ascii="Times New Roman" w:eastAsia="Times New Roman" w:hAnsi="Times New Roman" w:cs="Times New Roman"/>
        </w:rPr>
        <w:t>atitinkamai Pirkimo sąlygų 1.9 punkte</w:t>
      </w:r>
      <w:r w:rsidR="00024FED">
        <w:rPr>
          <w:rFonts w:ascii="Times New Roman" w:eastAsia="Aptos" w:hAnsi="Times New Roman" w:cs="Times New Roman"/>
        </w:rPr>
        <w:t>)</w:t>
      </w:r>
      <w:r w:rsidR="00B549B1">
        <w:rPr>
          <w:rStyle w:val="FootnoteReference"/>
          <w:rFonts w:ascii="Times New Roman" w:eastAsia="Aptos" w:hAnsi="Times New Roman" w:cs="Times New Roman"/>
        </w:rPr>
        <w:footnoteReference w:id="1"/>
      </w:r>
      <w:r w:rsidR="00424C45">
        <w:rPr>
          <w:rFonts w:ascii="Times New Roman" w:eastAsia="Aptos" w:hAnsi="Times New Roman" w:cs="Times New Roman"/>
        </w:rPr>
        <w:t xml:space="preserve"> ir VPĮ </w:t>
      </w:r>
      <w:r w:rsidR="002139FA" w:rsidRPr="002139FA">
        <w:rPr>
          <w:rFonts w:ascii="Times New Roman" w:eastAsia="Aptos" w:hAnsi="Times New Roman" w:cs="Times New Roman"/>
        </w:rPr>
        <w:t>36 straipsnio 6 dalyje (atitinkamai Pirkimo sąlygų 7.3 punkto paaiškinime, pažymėtame „*“)</w:t>
      </w:r>
      <w:r w:rsidR="00AC65AE">
        <w:rPr>
          <w:rStyle w:val="FootnoteReference"/>
          <w:rFonts w:ascii="Times New Roman" w:eastAsia="Aptos" w:hAnsi="Times New Roman" w:cs="Times New Roman"/>
        </w:rPr>
        <w:footnoteReference w:id="2"/>
      </w:r>
      <w:r w:rsidR="002139FA" w:rsidRPr="002139FA">
        <w:rPr>
          <w:rFonts w:ascii="Times New Roman" w:eastAsia="Aptos" w:hAnsi="Times New Roman" w:cs="Times New Roman"/>
        </w:rPr>
        <w:t xml:space="preserve"> nustatytą</w:t>
      </w:r>
      <w:r w:rsidR="00931048">
        <w:rPr>
          <w:rFonts w:ascii="Times New Roman" w:eastAsia="Aptos" w:hAnsi="Times New Roman" w:cs="Times New Roman"/>
        </w:rPr>
        <w:t>.</w:t>
      </w:r>
    </w:p>
    <w:p w14:paraId="270CFDB0" w14:textId="237F2729" w:rsidR="00936CB7" w:rsidRDefault="001F77F6" w:rsidP="006B02EB">
      <w:pPr>
        <w:tabs>
          <w:tab w:val="left" w:pos="284"/>
          <w:tab w:val="num" w:pos="720"/>
          <w:tab w:val="left" w:pos="1985"/>
        </w:tabs>
        <w:rPr>
          <w:rFonts w:ascii="Times New Roman" w:eastAsia="Times New Roman" w:hAnsi="Times New Roman" w:cs="Times New Roman"/>
        </w:rPr>
      </w:pPr>
      <w:r>
        <w:rPr>
          <w:rFonts w:ascii="Times New Roman" w:eastAsia="Aptos" w:hAnsi="Times New Roman" w:cs="Times New Roman"/>
        </w:rPr>
        <w:t xml:space="preserve">Paaiškinama, kad </w:t>
      </w:r>
      <w:r w:rsidR="001F7D1C">
        <w:rPr>
          <w:rFonts w:ascii="Times New Roman" w:eastAsia="Aptos" w:hAnsi="Times New Roman" w:cs="Times New Roman"/>
        </w:rPr>
        <w:t>Pirkimo sąlygų 1 pried</w:t>
      </w:r>
      <w:r w:rsidR="00103973">
        <w:rPr>
          <w:rFonts w:ascii="Times New Roman" w:eastAsia="Aptos" w:hAnsi="Times New Roman" w:cs="Times New Roman"/>
        </w:rPr>
        <w:t>o</w:t>
      </w:r>
      <w:r w:rsidR="001F7D1C">
        <w:rPr>
          <w:rFonts w:ascii="Times New Roman" w:eastAsia="Aptos" w:hAnsi="Times New Roman" w:cs="Times New Roman"/>
        </w:rPr>
        <w:t xml:space="preserve"> „</w:t>
      </w:r>
      <w:r w:rsidR="00103973">
        <w:rPr>
          <w:rFonts w:ascii="Times New Roman" w:eastAsia="Times New Roman" w:hAnsi="Times New Roman" w:cs="Times New Roman"/>
        </w:rPr>
        <w:t xml:space="preserve">Techninė specifikacija </w:t>
      </w:r>
      <w:r w:rsidR="00103973" w:rsidRPr="00ED03B6">
        <w:rPr>
          <w:rFonts w:ascii="Times New Roman" w:eastAsia="Times New Roman" w:hAnsi="Times New Roman" w:cs="Times New Roman"/>
        </w:rPr>
        <w:t xml:space="preserve">II pirkimo objekto dalis </w:t>
      </w:r>
      <w:r w:rsidR="00103973" w:rsidRPr="00914053">
        <w:rPr>
          <w:rFonts w:ascii="Times New Roman" w:eastAsia="Times New Roman" w:hAnsi="Times New Roman" w:cs="Times New Roman"/>
        </w:rPr>
        <w:t>1 (vieno) lengvojo (M1 klasės) automobilio su automatine transmisija veiklos nuoma</w:t>
      </w:r>
      <w:r w:rsidR="001F7D1C">
        <w:rPr>
          <w:rFonts w:ascii="Times New Roman" w:eastAsia="Aptos" w:hAnsi="Times New Roman" w:cs="Times New Roman"/>
        </w:rPr>
        <w:t xml:space="preserve">“ </w:t>
      </w:r>
      <w:r w:rsidR="00E8659C">
        <w:rPr>
          <w:rFonts w:ascii="Times New Roman" w:eastAsia="Aptos" w:hAnsi="Times New Roman" w:cs="Times New Roman"/>
        </w:rPr>
        <w:t xml:space="preserve">(toliau – Techninė specifikacija) </w:t>
      </w:r>
      <w:r w:rsidR="00103973">
        <w:rPr>
          <w:rFonts w:ascii="Times New Roman" w:eastAsia="Aptos" w:hAnsi="Times New Roman" w:cs="Times New Roman"/>
        </w:rPr>
        <w:t>4.</w:t>
      </w:r>
      <w:r w:rsidR="00B36B17">
        <w:rPr>
          <w:rFonts w:ascii="Times New Roman" w:eastAsia="Aptos" w:hAnsi="Times New Roman" w:cs="Times New Roman"/>
        </w:rPr>
        <w:t xml:space="preserve">1 punkto lentelės Eil. Nr. 10 reikalavime padaryta </w:t>
      </w:r>
      <w:r w:rsidR="00315E1C">
        <w:rPr>
          <w:rFonts w:ascii="Times New Roman" w:eastAsia="Aptos" w:hAnsi="Times New Roman" w:cs="Times New Roman"/>
        </w:rPr>
        <w:t xml:space="preserve">žmogiška klaida, kurios neištaisius </w:t>
      </w:r>
      <w:r w:rsidR="00936CB7">
        <w:rPr>
          <w:rFonts w:ascii="Times New Roman" w:eastAsia="Times New Roman" w:hAnsi="Times New Roman" w:cs="Times New Roman"/>
        </w:rPr>
        <w:t>būtų įsigytas Perkančiosios organizacijos poreikių neatitinkantis pirkimo objektas</w:t>
      </w:r>
      <w:r w:rsidR="007448E6">
        <w:rPr>
          <w:rFonts w:ascii="Times New Roman" w:eastAsia="Times New Roman" w:hAnsi="Times New Roman" w:cs="Times New Roman"/>
        </w:rPr>
        <w:t xml:space="preserve">, taip pat </w:t>
      </w:r>
      <w:r w:rsidR="002E3CB6">
        <w:rPr>
          <w:rFonts w:ascii="Times New Roman" w:eastAsia="Times New Roman" w:hAnsi="Times New Roman" w:cs="Times New Roman"/>
        </w:rPr>
        <w:t xml:space="preserve">būtų </w:t>
      </w:r>
      <w:r w:rsidR="00064E14">
        <w:rPr>
          <w:rFonts w:ascii="Times New Roman" w:eastAsia="Times New Roman" w:hAnsi="Times New Roman" w:cs="Times New Roman"/>
        </w:rPr>
        <w:t>susiaurintas prekių (automobilių) modelių</w:t>
      </w:r>
      <w:r w:rsidR="00535F1B">
        <w:rPr>
          <w:rFonts w:ascii="Times New Roman" w:eastAsia="Times New Roman" w:hAnsi="Times New Roman" w:cs="Times New Roman"/>
        </w:rPr>
        <w:t xml:space="preserve">, bei </w:t>
      </w:r>
      <w:r w:rsidR="002E3CB6">
        <w:rPr>
          <w:rFonts w:ascii="Times New Roman" w:eastAsia="Times New Roman" w:hAnsi="Times New Roman" w:cs="Times New Roman"/>
        </w:rPr>
        <w:t>potencialių tiek</w:t>
      </w:r>
      <w:r w:rsidR="008A6ACE">
        <w:rPr>
          <w:rFonts w:ascii="Times New Roman" w:eastAsia="Times New Roman" w:hAnsi="Times New Roman" w:cs="Times New Roman"/>
        </w:rPr>
        <w:t>ėjų</w:t>
      </w:r>
      <w:r w:rsidR="00535F1B">
        <w:rPr>
          <w:rFonts w:ascii="Times New Roman" w:eastAsia="Times New Roman" w:hAnsi="Times New Roman" w:cs="Times New Roman"/>
        </w:rPr>
        <w:t>, galinčių juos pasiūlyti</w:t>
      </w:r>
      <w:r w:rsidR="004C5F71" w:rsidRPr="004C5F71">
        <w:rPr>
          <w:rFonts w:ascii="Times New Roman" w:eastAsia="Times New Roman" w:hAnsi="Times New Roman" w:cs="Times New Roman"/>
        </w:rPr>
        <w:t xml:space="preserve"> </w:t>
      </w:r>
      <w:r w:rsidR="004C5F71">
        <w:rPr>
          <w:rFonts w:ascii="Times New Roman" w:eastAsia="Times New Roman" w:hAnsi="Times New Roman" w:cs="Times New Roman"/>
        </w:rPr>
        <w:t>sąrašas</w:t>
      </w:r>
      <w:r w:rsidR="00936CB7">
        <w:rPr>
          <w:rFonts w:ascii="Times New Roman" w:eastAsia="Times New Roman" w:hAnsi="Times New Roman" w:cs="Times New Roman"/>
        </w:rPr>
        <w:t>:</w:t>
      </w:r>
    </w:p>
    <w:p w14:paraId="0CCAE02C" w14:textId="14CEECE3" w:rsidR="00936CB7" w:rsidRDefault="00936CB7" w:rsidP="006B02EB">
      <w:pPr>
        <w:tabs>
          <w:tab w:val="left" w:pos="284"/>
          <w:tab w:val="num" w:pos="720"/>
          <w:tab w:val="left" w:pos="1985"/>
        </w:tabs>
        <w:rPr>
          <w:rFonts w:ascii="Times New Roman" w:eastAsia="Aptos" w:hAnsi="Times New Roman" w:cs="Times New Roman"/>
        </w:rPr>
      </w:pPr>
      <w:r>
        <w:rPr>
          <w:rFonts w:ascii="Times New Roman" w:eastAsia="Times New Roman" w:hAnsi="Times New Roman" w:cs="Times New Roman"/>
        </w:rPr>
        <w:t>yra:</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955"/>
        <w:gridCol w:w="2410"/>
        <w:gridCol w:w="2977"/>
        <w:gridCol w:w="1775"/>
      </w:tblGrid>
      <w:tr w:rsidR="00E7557E" w:rsidRPr="0004079B" w14:paraId="33508C1A" w14:textId="77777777" w:rsidTr="00E7557E">
        <w:trPr>
          <w:trHeight w:val="552"/>
        </w:trPr>
        <w:tc>
          <w:tcPr>
            <w:tcW w:w="734" w:type="dxa"/>
            <w:noWrap/>
            <w:vAlign w:val="center"/>
            <w:hideMark/>
          </w:tcPr>
          <w:p w14:paraId="1F91B1C7" w14:textId="77777777" w:rsidR="00E7557E" w:rsidRPr="0004079B" w:rsidRDefault="00E7557E" w:rsidP="001B79DD">
            <w:pPr>
              <w:ind w:firstLine="0"/>
              <w:jc w:val="center"/>
              <w:rPr>
                <w:rFonts w:ascii="Times New Roman" w:eastAsia="Times New Roman" w:hAnsi="Times New Roman" w:cs="Times New Roman"/>
                <w:color w:val="000000"/>
                <w:kern w:val="0"/>
                <w14:ligatures w14:val="none"/>
              </w:rPr>
            </w:pPr>
            <w:r w:rsidRPr="0004079B">
              <w:rPr>
                <w:rFonts w:ascii="Times New Roman" w:eastAsia="Times New Roman" w:hAnsi="Times New Roman" w:cs="Times New Roman"/>
                <w:color w:val="000000"/>
                <w:kern w:val="0"/>
                <w14:ligatures w14:val="none"/>
              </w:rPr>
              <w:t>10.</w:t>
            </w:r>
          </w:p>
        </w:tc>
        <w:tc>
          <w:tcPr>
            <w:tcW w:w="1955" w:type="dxa"/>
            <w:vAlign w:val="center"/>
            <w:hideMark/>
          </w:tcPr>
          <w:p w14:paraId="335DD1DF" w14:textId="77777777" w:rsidR="00E7557E" w:rsidRPr="0004079B" w:rsidRDefault="00E7557E" w:rsidP="00E7557E">
            <w:pPr>
              <w:ind w:firstLine="0"/>
              <w:rPr>
                <w:rFonts w:ascii="Times New Roman" w:eastAsia="Times New Roman" w:hAnsi="Times New Roman" w:cs="Times New Roman"/>
                <w:color w:val="000000"/>
                <w:kern w:val="0"/>
                <w14:ligatures w14:val="none"/>
              </w:rPr>
            </w:pPr>
            <w:r w:rsidRPr="0004079B">
              <w:rPr>
                <w:rFonts w:ascii="Times New Roman" w:eastAsia="Times New Roman" w:hAnsi="Times New Roman" w:cs="Times New Roman"/>
                <w:color w:val="000000"/>
                <w:kern w:val="0"/>
                <w14:ligatures w14:val="none"/>
              </w:rPr>
              <w:t>Pavaros tipas</w:t>
            </w:r>
          </w:p>
        </w:tc>
        <w:tc>
          <w:tcPr>
            <w:tcW w:w="2410" w:type="dxa"/>
            <w:vAlign w:val="center"/>
            <w:hideMark/>
          </w:tcPr>
          <w:p w14:paraId="314922CB" w14:textId="77777777" w:rsidR="00E7557E" w:rsidRPr="0004079B" w:rsidRDefault="00E7557E" w:rsidP="00E7557E">
            <w:pPr>
              <w:ind w:firstLine="0"/>
              <w:rPr>
                <w:rFonts w:ascii="Times New Roman" w:eastAsia="Times New Roman" w:hAnsi="Times New Roman" w:cs="Times New Roman"/>
                <w:color w:val="000000"/>
                <w:kern w:val="0"/>
                <w14:ligatures w14:val="none"/>
              </w:rPr>
            </w:pPr>
            <w:r w:rsidRPr="0004079B">
              <w:rPr>
                <w:rFonts w:ascii="Times New Roman" w:eastAsia="Times New Roman" w:hAnsi="Times New Roman" w:cs="Times New Roman"/>
                <w:color w:val="000000"/>
                <w:kern w:val="0"/>
                <w14:ligatures w14:val="none"/>
              </w:rPr>
              <w:t>priekinių ratų</w:t>
            </w:r>
          </w:p>
        </w:tc>
        <w:tc>
          <w:tcPr>
            <w:tcW w:w="2977" w:type="dxa"/>
            <w:vAlign w:val="center"/>
            <w:hideMark/>
          </w:tcPr>
          <w:p w14:paraId="5DC883DC" w14:textId="77777777" w:rsidR="00E7557E" w:rsidRPr="0004079B" w:rsidRDefault="00E7557E" w:rsidP="00E7557E">
            <w:pPr>
              <w:ind w:firstLine="0"/>
              <w:jc w:val="center"/>
              <w:rPr>
                <w:rFonts w:ascii="Times New Roman" w:eastAsia="Times New Roman" w:hAnsi="Times New Roman" w:cs="Times New Roman"/>
                <w:i/>
                <w:iCs/>
                <w:color w:val="000000"/>
                <w:kern w:val="0"/>
                <w14:ligatures w14:val="none"/>
              </w:rPr>
            </w:pPr>
            <w:r w:rsidRPr="0004079B">
              <w:rPr>
                <w:rFonts w:ascii="Times New Roman" w:eastAsia="Times New Roman" w:hAnsi="Times New Roman" w:cs="Times New Roman"/>
                <w:i/>
                <w:iCs/>
                <w:color w:val="000000"/>
                <w:kern w:val="0"/>
                <w14:ligatures w14:val="none"/>
              </w:rPr>
              <w:t>Atitinka / Neatitinka (</w:t>
            </w:r>
            <w:r w:rsidRPr="0004079B">
              <w:rPr>
                <w:rFonts w:ascii="Times New Roman" w:eastAsia="Times New Roman" w:hAnsi="Times New Roman" w:cs="Times New Roman"/>
                <w:i/>
                <w:iCs/>
                <w:color w:val="0070C0"/>
                <w:kern w:val="0"/>
                <w14:ligatures w14:val="none"/>
              </w:rPr>
              <w:t>nereikalingą ištrinti</w:t>
            </w:r>
            <w:r w:rsidRPr="0004079B">
              <w:rPr>
                <w:rFonts w:ascii="Times New Roman" w:eastAsia="Times New Roman" w:hAnsi="Times New Roman" w:cs="Times New Roman"/>
                <w:i/>
                <w:iCs/>
                <w:color w:val="000000"/>
                <w:kern w:val="0"/>
                <w14:ligatures w14:val="none"/>
              </w:rPr>
              <w:t>)</w:t>
            </w:r>
          </w:p>
        </w:tc>
        <w:tc>
          <w:tcPr>
            <w:tcW w:w="1775" w:type="dxa"/>
            <w:vAlign w:val="center"/>
            <w:hideMark/>
          </w:tcPr>
          <w:p w14:paraId="70777F03" w14:textId="77777777" w:rsidR="00E7557E" w:rsidRPr="0004079B" w:rsidRDefault="00E7557E" w:rsidP="00E7557E">
            <w:pPr>
              <w:ind w:firstLine="0"/>
              <w:jc w:val="center"/>
              <w:rPr>
                <w:rFonts w:ascii="Times New Roman" w:eastAsia="Times New Roman" w:hAnsi="Times New Roman" w:cs="Times New Roman"/>
                <w:color w:val="000000"/>
                <w:kern w:val="0"/>
                <w14:ligatures w14:val="none"/>
              </w:rPr>
            </w:pPr>
            <w:r w:rsidRPr="0004079B">
              <w:rPr>
                <w:rFonts w:ascii="Times New Roman" w:eastAsia="Times New Roman" w:hAnsi="Times New Roman" w:cs="Times New Roman"/>
                <w:color w:val="000000"/>
                <w:kern w:val="0"/>
                <w14:ligatures w14:val="none"/>
              </w:rPr>
              <w:t>-</w:t>
            </w:r>
          </w:p>
        </w:tc>
      </w:tr>
    </w:tbl>
    <w:p w14:paraId="1A7F4549" w14:textId="33A5C154" w:rsidR="00E7557E" w:rsidRDefault="00E7557E" w:rsidP="006B02EB">
      <w:pPr>
        <w:tabs>
          <w:tab w:val="left" w:pos="284"/>
          <w:tab w:val="num" w:pos="720"/>
          <w:tab w:val="left" w:pos="1985"/>
        </w:tabs>
        <w:rPr>
          <w:rFonts w:ascii="Times New Roman" w:eastAsia="Aptos" w:hAnsi="Times New Roman" w:cs="Times New Roman"/>
        </w:rPr>
      </w:pPr>
      <w:r w:rsidRPr="00E7557E">
        <w:rPr>
          <w:rFonts w:ascii="Times New Roman" w:eastAsia="Aptos" w:hAnsi="Times New Roman" w:cs="Times New Roman"/>
          <w:b/>
          <w:bCs/>
        </w:rPr>
        <w:t>turi būti</w:t>
      </w:r>
      <w:r>
        <w:rPr>
          <w:rFonts w:ascii="Times New Roman" w:eastAsia="Aptos" w:hAnsi="Times New Roman" w:cs="Times New Roman"/>
        </w:rPr>
        <w: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955"/>
        <w:gridCol w:w="2410"/>
        <w:gridCol w:w="2977"/>
        <w:gridCol w:w="1775"/>
      </w:tblGrid>
      <w:tr w:rsidR="00E7557E" w:rsidRPr="0004079B" w14:paraId="44DA9B4F" w14:textId="77777777" w:rsidTr="001B79DD">
        <w:trPr>
          <w:trHeight w:val="552"/>
        </w:trPr>
        <w:tc>
          <w:tcPr>
            <w:tcW w:w="734" w:type="dxa"/>
            <w:noWrap/>
            <w:vAlign w:val="center"/>
            <w:hideMark/>
          </w:tcPr>
          <w:p w14:paraId="7BC21853" w14:textId="77777777" w:rsidR="00E7557E" w:rsidRPr="0004079B" w:rsidRDefault="00E7557E" w:rsidP="001B79DD">
            <w:pPr>
              <w:ind w:firstLine="0"/>
              <w:jc w:val="center"/>
              <w:rPr>
                <w:rFonts w:ascii="Times New Roman" w:eastAsia="Times New Roman" w:hAnsi="Times New Roman" w:cs="Times New Roman"/>
                <w:color w:val="000000"/>
                <w:kern w:val="0"/>
                <w14:ligatures w14:val="none"/>
              </w:rPr>
            </w:pPr>
            <w:r w:rsidRPr="0004079B">
              <w:rPr>
                <w:rFonts w:ascii="Times New Roman" w:eastAsia="Times New Roman" w:hAnsi="Times New Roman" w:cs="Times New Roman"/>
                <w:color w:val="000000"/>
                <w:kern w:val="0"/>
                <w14:ligatures w14:val="none"/>
              </w:rPr>
              <w:t>10.</w:t>
            </w:r>
          </w:p>
        </w:tc>
        <w:tc>
          <w:tcPr>
            <w:tcW w:w="1955" w:type="dxa"/>
            <w:vAlign w:val="center"/>
            <w:hideMark/>
          </w:tcPr>
          <w:p w14:paraId="602C3145" w14:textId="77777777" w:rsidR="00E7557E" w:rsidRPr="0004079B" w:rsidRDefault="00E7557E" w:rsidP="001B79DD">
            <w:pPr>
              <w:ind w:firstLine="0"/>
              <w:rPr>
                <w:rFonts w:ascii="Times New Roman" w:eastAsia="Times New Roman" w:hAnsi="Times New Roman" w:cs="Times New Roman"/>
                <w:color w:val="000000"/>
                <w:kern w:val="0"/>
                <w14:ligatures w14:val="none"/>
              </w:rPr>
            </w:pPr>
            <w:r w:rsidRPr="0004079B">
              <w:rPr>
                <w:rFonts w:ascii="Times New Roman" w:eastAsia="Times New Roman" w:hAnsi="Times New Roman" w:cs="Times New Roman"/>
                <w:color w:val="000000"/>
                <w:kern w:val="0"/>
                <w14:ligatures w14:val="none"/>
              </w:rPr>
              <w:t>Pavaros tipas</w:t>
            </w:r>
          </w:p>
        </w:tc>
        <w:tc>
          <w:tcPr>
            <w:tcW w:w="2410" w:type="dxa"/>
            <w:vAlign w:val="center"/>
            <w:hideMark/>
          </w:tcPr>
          <w:p w14:paraId="1A6B0D7E" w14:textId="0D8EF5C4" w:rsidR="00E7557E" w:rsidRPr="0004079B" w:rsidRDefault="0013406D" w:rsidP="001B79DD">
            <w:pPr>
              <w:ind w:firstLine="0"/>
              <w:rPr>
                <w:rFonts w:ascii="Times New Roman" w:eastAsia="Times New Roman" w:hAnsi="Times New Roman" w:cs="Times New Roman"/>
                <w:color w:val="000000"/>
                <w:kern w:val="0"/>
                <w14:ligatures w14:val="none"/>
              </w:rPr>
            </w:pPr>
            <w:r w:rsidRPr="0013406D">
              <w:rPr>
                <w:rFonts w:ascii="Times New Roman" w:eastAsia="Times New Roman" w:hAnsi="Times New Roman" w:cs="Times New Roman"/>
                <w:color w:val="000000" w:themeColor="text1"/>
                <w:kern w:val="0"/>
                <w14:ligatures w14:val="none"/>
              </w:rPr>
              <w:t>p</w:t>
            </w:r>
            <w:r w:rsidRPr="0013406D">
              <w:rPr>
                <w:rFonts w:ascii="Times New Roman" w:eastAsia="Times New Roman" w:hAnsi="Times New Roman" w:cs="Times New Roman"/>
                <w:color w:val="000000" w:themeColor="text1"/>
                <w:kern w:val="0"/>
                <w14:ligatures w14:val="none"/>
              </w:rPr>
              <w:t>riekinių, galinių arba visų ratų</w:t>
            </w:r>
          </w:p>
        </w:tc>
        <w:tc>
          <w:tcPr>
            <w:tcW w:w="2977" w:type="dxa"/>
            <w:vAlign w:val="center"/>
            <w:hideMark/>
          </w:tcPr>
          <w:p w14:paraId="17F1640E" w14:textId="77777777" w:rsidR="00E7557E" w:rsidRPr="0004079B" w:rsidRDefault="00E7557E" w:rsidP="001B79DD">
            <w:pPr>
              <w:ind w:firstLine="0"/>
              <w:jc w:val="center"/>
              <w:rPr>
                <w:rFonts w:ascii="Times New Roman" w:eastAsia="Times New Roman" w:hAnsi="Times New Roman" w:cs="Times New Roman"/>
                <w:i/>
                <w:iCs/>
                <w:color w:val="000000"/>
                <w:kern w:val="0"/>
                <w14:ligatures w14:val="none"/>
              </w:rPr>
            </w:pPr>
            <w:r w:rsidRPr="0004079B">
              <w:rPr>
                <w:rFonts w:ascii="Times New Roman" w:eastAsia="Times New Roman" w:hAnsi="Times New Roman" w:cs="Times New Roman"/>
                <w:i/>
                <w:iCs/>
                <w:color w:val="000000"/>
                <w:kern w:val="0"/>
                <w14:ligatures w14:val="none"/>
              </w:rPr>
              <w:t>Atitinka / Neatitinka (</w:t>
            </w:r>
            <w:r w:rsidRPr="0004079B">
              <w:rPr>
                <w:rFonts w:ascii="Times New Roman" w:eastAsia="Times New Roman" w:hAnsi="Times New Roman" w:cs="Times New Roman"/>
                <w:i/>
                <w:iCs/>
                <w:color w:val="0070C0"/>
                <w:kern w:val="0"/>
                <w14:ligatures w14:val="none"/>
              </w:rPr>
              <w:t>nereikalingą ištrinti</w:t>
            </w:r>
            <w:r w:rsidRPr="0004079B">
              <w:rPr>
                <w:rFonts w:ascii="Times New Roman" w:eastAsia="Times New Roman" w:hAnsi="Times New Roman" w:cs="Times New Roman"/>
                <w:i/>
                <w:iCs/>
                <w:color w:val="000000"/>
                <w:kern w:val="0"/>
                <w14:ligatures w14:val="none"/>
              </w:rPr>
              <w:t>)</w:t>
            </w:r>
          </w:p>
        </w:tc>
        <w:tc>
          <w:tcPr>
            <w:tcW w:w="1775" w:type="dxa"/>
            <w:vAlign w:val="center"/>
            <w:hideMark/>
          </w:tcPr>
          <w:p w14:paraId="2298394A" w14:textId="77777777" w:rsidR="00E7557E" w:rsidRPr="0004079B" w:rsidRDefault="00E7557E" w:rsidP="001B79DD">
            <w:pPr>
              <w:ind w:firstLine="0"/>
              <w:jc w:val="center"/>
              <w:rPr>
                <w:rFonts w:ascii="Times New Roman" w:eastAsia="Times New Roman" w:hAnsi="Times New Roman" w:cs="Times New Roman"/>
                <w:color w:val="000000"/>
                <w:kern w:val="0"/>
                <w14:ligatures w14:val="none"/>
              </w:rPr>
            </w:pPr>
            <w:r w:rsidRPr="0004079B">
              <w:rPr>
                <w:rFonts w:ascii="Times New Roman" w:eastAsia="Times New Roman" w:hAnsi="Times New Roman" w:cs="Times New Roman"/>
                <w:color w:val="000000"/>
                <w:kern w:val="0"/>
                <w14:ligatures w14:val="none"/>
              </w:rPr>
              <w:t>-</w:t>
            </w:r>
          </w:p>
        </w:tc>
      </w:tr>
    </w:tbl>
    <w:p w14:paraId="40147EE6" w14:textId="2CF0853F" w:rsidR="00C53836" w:rsidRDefault="00C53836" w:rsidP="00C53836">
      <w:pPr>
        <w:tabs>
          <w:tab w:val="left" w:pos="284"/>
          <w:tab w:val="num" w:pos="720"/>
          <w:tab w:val="left" w:pos="1985"/>
        </w:tabs>
        <w:rPr>
          <w:rFonts w:ascii="Times New Roman" w:eastAsia="Aptos" w:hAnsi="Times New Roman" w:cs="Times New Roman"/>
        </w:rPr>
      </w:pPr>
      <w:r>
        <w:rPr>
          <w:rFonts w:ascii="Times New Roman" w:eastAsia="Aptos" w:hAnsi="Times New Roman" w:cs="Times New Roman"/>
        </w:rPr>
        <w:t xml:space="preserve">Atsižvelgiant į išdėstytą ir, vadovaujantis VPĮ </w:t>
      </w:r>
      <w:r w:rsidRPr="006373C7">
        <w:rPr>
          <w:rFonts w:ascii="Times New Roman" w:eastAsia="Aptos" w:hAnsi="Times New Roman" w:cs="Times New Roman"/>
        </w:rPr>
        <w:t xml:space="preserve">29 straipsnio 2 dalies 3 punktu, </w:t>
      </w:r>
      <w:r w:rsidRPr="006373C7">
        <w:rPr>
          <w:rFonts w:ascii="Times New Roman" w:eastAsia="Aptos" w:hAnsi="Times New Roman" w:cs="Times New Roman"/>
          <w:b/>
          <w:bCs/>
        </w:rPr>
        <w:t xml:space="preserve">Pirkimo procedūros </w:t>
      </w:r>
      <w:r w:rsidR="002822F9">
        <w:rPr>
          <w:rFonts w:ascii="Times New Roman" w:eastAsia="Aptos" w:hAnsi="Times New Roman" w:cs="Times New Roman"/>
          <w:b/>
          <w:bCs/>
        </w:rPr>
        <w:t>dėl II-</w:t>
      </w:r>
      <w:proofErr w:type="spellStart"/>
      <w:r w:rsidR="002822F9">
        <w:rPr>
          <w:rFonts w:ascii="Times New Roman" w:eastAsia="Aptos" w:hAnsi="Times New Roman" w:cs="Times New Roman"/>
          <w:b/>
          <w:bCs/>
        </w:rPr>
        <w:t>os</w:t>
      </w:r>
      <w:proofErr w:type="spellEnd"/>
      <w:r w:rsidR="002822F9">
        <w:rPr>
          <w:rFonts w:ascii="Times New Roman" w:eastAsia="Aptos" w:hAnsi="Times New Roman" w:cs="Times New Roman"/>
          <w:b/>
          <w:bCs/>
        </w:rPr>
        <w:t xml:space="preserve"> pirkimo objekto dalies </w:t>
      </w:r>
      <w:r w:rsidRPr="006373C7">
        <w:rPr>
          <w:rFonts w:ascii="Times New Roman" w:eastAsia="Aptos" w:hAnsi="Times New Roman" w:cs="Times New Roman"/>
          <w:b/>
          <w:bCs/>
        </w:rPr>
        <w:t>laikomos pasibaigusiomis</w:t>
      </w:r>
      <w:r w:rsidRPr="006373C7">
        <w:rPr>
          <w:rFonts w:ascii="Times New Roman" w:eastAsia="Aptos" w:hAnsi="Times New Roman" w:cs="Times New Roman"/>
        </w:rPr>
        <w:t>.</w:t>
      </w:r>
    </w:p>
    <w:p w14:paraId="0B13E1B2" w14:textId="5999C75D" w:rsidR="001F77F6" w:rsidRDefault="00E8659C" w:rsidP="00E8659C">
      <w:pPr>
        <w:tabs>
          <w:tab w:val="left" w:pos="284"/>
          <w:tab w:val="num" w:pos="720"/>
          <w:tab w:val="left" w:pos="1985"/>
        </w:tabs>
        <w:rPr>
          <w:rFonts w:ascii="Times New Roman" w:eastAsia="Aptos" w:hAnsi="Times New Roman" w:cs="Times New Roman"/>
        </w:rPr>
      </w:pPr>
      <w:r>
        <w:rPr>
          <w:rFonts w:ascii="Times New Roman" w:eastAsia="Aptos" w:hAnsi="Times New Roman" w:cs="Times New Roman"/>
        </w:rPr>
        <w:t xml:space="preserve">Pažymima, kad </w:t>
      </w:r>
      <w:r w:rsidR="001267A1">
        <w:rPr>
          <w:rFonts w:ascii="Times New Roman" w:eastAsia="Aptos" w:hAnsi="Times New Roman" w:cs="Times New Roman"/>
        </w:rPr>
        <w:t xml:space="preserve">poreikis dėl šios pirkimo </w:t>
      </w:r>
      <w:r w:rsidR="00E3023A">
        <w:rPr>
          <w:rFonts w:ascii="Times New Roman" w:eastAsia="Aptos" w:hAnsi="Times New Roman" w:cs="Times New Roman"/>
        </w:rPr>
        <w:t>objekto dalies įsigijimo išlieka</w:t>
      </w:r>
      <w:r>
        <w:rPr>
          <w:rFonts w:ascii="Times New Roman" w:eastAsia="Aptos" w:hAnsi="Times New Roman" w:cs="Times New Roman"/>
        </w:rPr>
        <w:t xml:space="preserve"> ir </w:t>
      </w:r>
      <w:r w:rsidR="003C6552">
        <w:rPr>
          <w:rFonts w:ascii="Times New Roman" w:eastAsia="Aptos" w:hAnsi="Times New Roman" w:cs="Times New Roman"/>
        </w:rPr>
        <w:t xml:space="preserve">pakoregavus minimą </w:t>
      </w:r>
      <w:r w:rsidR="008C181B">
        <w:rPr>
          <w:rFonts w:ascii="Times New Roman" w:eastAsia="Aptos" w:hAnsi="Times New Roman" w:cs="Times New Roman"/>
        </w:rPr>
        <w:t>T</w:t>
      </w:r>
      <w:r w:rsidR="003C6552">
        <w:rPr>
          <w:rFonts w:ascii="Times New Roman" w:eastAsia="Aptos" w:hAnsi="Times New Roman" w:cs="Times New Roman"/>
        </w:rPr>
        <w:t>echninės specifikacijos reikalavimą</w:t>
      </w:r>
      <w:r w:rsidR="008C181B">
        <w:rPr>
          <w:rFonts w:ascii="Times New Roman" w:eastAsia="Aptos" w:hAnsi="Times New Roman" w:cs="Times New Roman"/>
        </w:rPr>
        <w:t xml:space="preserve"> bus skelbiamas </w:t>
      </w:r>
      <w:r w:rsidR="00CB3B00">
        <w:rPr>
          <w:rFonts w:ascii="Times New Roman" w:eastAsia="Aptos" w:hAnsi="Times New Roman" w:cs="Times New Roman"/>
        </w:rPr>
        <w:t xml:space="preserve">atskiras </w:t>
      </w:r>
      <w:r w:rsidR="008C181B">
        <w:rPr>
          <w:rFonts w:ascii="Times New Roman" w:eastAsia="Aptos" w:hAnsi="Times New Roman" w:cs="Times New Roman"/>
        </w:rPr>
        <w:t>pirkimas tik dėl šio</w:t>
      </w:r>
      <w:r w:rsidR="00CB3B00">
        <w:rPr>
          <w:rFonts w:ascii="Times New Roman" w:eastAsia="Aptos" w:hAnsi="Times New Roman" w:cs="Times New Roman"/>
        </w:rPr>
        <w:t xml:space="preserve"> pirkimo objekto</w:t>
      </w:r>
      <w:r w:rsidR="00E879AF">
        <w:rPr>
          <w:rFonts w:ascii="Times New Roman" w:eastAsia="Aptos" w:hAnsi="Times New Roman" w:cs="Times New Roman"/>
        </w:rPr>
        <w:t xml:space="preserve"> įsig</w:t>
      </w:r>
      <w:r w:rsidR="00F7727F">
        <w:rPr>
          <w:rFonts w:ascii="Times New Roman" w:eastAsia="Aptos" w:hAnsi="Times New Roman" w:cs="Times New Roman"/>
        </w:rPr>
        <w:t>i</w:t>
      </w:r>
      <w:r w:rsidR="00E879AF">
        <w:rPr>
          <w:rFonts w:ascii="Times New Roman" w:eastAsia="Aptos" w:hAnsi="Times New Roman" w:cs="Times New Roman"/>
        </w:rPr>
        <w:t>jimo</w:t>
      </w:r>
      <w:r w:rsidR="00847646">
        <w:rPr>
          <w:rFonts w:ascii="Times New Roman" w:eastAsia="Aptos" w:hAnsi="Times New Roman" w:cs="Times New Roman"/>
        </w:rPr>
        <w:t xml:space="preserve">, </w:t>
      </w:r>
      <w:r w:rsidR="00847646" w:rsidRPr="00847646">
        <w:rPr>
          <w:rFonts w:ascii="Times New Roman" w:eastAsia="Aptos" w:hAnsi="Times New Roman" w:cs="Times New Roman"/>
        </w:rPr>
        <w:t xml:space="preserve">todėl </w:t>
      </w:r>
      <w:r w:rsidR="00762954">
        <w:rPr>
          <w:rFonts w:ascii="Times New Roman" w:eastAsia="Aptos" w:hAnsi="Times New Roman" w:cs="Times New Roman"/>
        </w:rPr>
        <w:t xml:space="preserve">kviečiame </w:t>
      </w:r>
      <w:r w:rsidR="00847646" w:rsidRPr="00847646">
        <w:rPr>
          <w:rFonts w:ascii="Times New Roman" w:eastAsia="Aptos" w:hAnsi="Times New Roman" w:cs="Times New Roman"/>
        </w:rPr>
        <w:t>stebėti informaciją apie C</w:t>
      </w:r>
      <w:r w:rsidR="00762954">
        <w:rPr>
          <w:rFonts w:ascii="Times New Roman" w:eastAsia="Aptos" w:hAnsi="Times New Roman" w:cs="Times New Roman"/>
        </w:rPr>
        <w:t>entrinės viešųjų pirkimų informacinė</w:t>
      </w:r>
      <w:r w:rsidR="00D109B1">
        <w:rPr>
          <w:rFonts w:ascii="Times New Roman" w:eastAsia="Aptos" w:hAnsi="Times New Roman" w:cs="Times New Roman"/>
        </w:rPr>
        <w:t>je</w:t>
      </w:r>
      <w:r w:rsidR="00762954">
        <w:rPr>
          <w:rFonts w:ascii="Times New Roman" w:eastAsia="Aptos" w:hAnsi="Times New Roman" w:cs="Times New Roman"/>
        </w:rPr>
        <w:t xml:space="preserve"> sistemo</w:t>
      </w:r>
      <w:r w:rsidR="00D109B1">
        <w:rPr>
          <w:rFonts w:ascii="Times New Roman" w:eastAsia="Aptos" w:hAnsi="Times New Roman" w:cs="Times New Roman"/>
        </w:rPr>
        <w:t>je (C</w:t>
      </w:r>
      <w:r w:rsidR="00847646" w:rsidRPr="00847646">
        <w:rPr>
          <w:rFonts w:ascii="Times New Roman" w:eastAsia="Aptos" w:hAnsi="Times New Roman" w:cs="Times New Roman"/>
        </w:rPr>
        <w:t>VP IS</w:t>
      </w:r>
      <w:r w:rsidR="00D109B1">
        <w:rPr>
          <w:rFonts w:ascii="Times New Roman" w:eastAsia="Aptos" w:hAnsi="Times New Roman" w:cs="Times New Roman"/>
        </w:rPr>
        <w:t>)</w:t>
      </w:r>
      <w:r w:rsidR="00847646" w:rsidRPr="00847646">
        <w:rPr>
          <w:rFonts w:ascii="Times New Roman" w:eastAsia="Aptos" w:hAnsi="Times New Roman" w:cs="Times New Roman"/>
        </w:rPr>
        <w:t xml:space="preserve"> skelbiamus pirkimus.</w:t>
      </w:r>
    </w:p>
    <w:p w14:paraId="59515E15" w14:textId="43BB887D" w:rsidR="00CB3B00" w:rsidRPr="00C53836" w:rsidRDefault="00CB3B00" w:rsidP="00E8659C">
      <w:pPr>
        <w:tabs>
          <w:tab w:val="left" w:pos="284"/>
          <w:tab w:val="num" w:pos="720"/>
          <w:tab w:val="left" w:pos="1985"/>
        </w:tabs>
        <w:rPr>
          <w:rFonts w:ascii="Times New Roman" w:eastAsia="Aptos" w:hAnsi="Times New Roman" w:cs="Times New Roman"/>
          <w:b/>
          <w:bCs/>
        </w:rPr>
      </w:pPr>
      <w:r>
        <w:rPr>
          <w:rFonts w:ascii="Times New Roman" w:eastAsia="Aptos" w:hAnsi="Times New Roman" w:cs="Times New Roman"/>
        </w:rPr>
        <w:t>I-</w:t>
      </w:r>
      <w:proofErr w:type="spellStart"/>
      <w:r>
        <w:rPr>
          <w:rFonts w:ascii="Times New Roman" w:eastAsia="Aptos" w:hAnsi="Times New Roman" w:cs="Times New Roman"/>
        </w:rPr>
        <w:t>os</w:t>
      </w:r>
      <w:proofErr w:type="spellEnd"/>
      <w:r>
        <w:rPr>
          <w:rFonts w:ascii="Times New Roman" w:eastAsia="Aptos" w:hAnsi="Times New Roman" w:cs="Times New Roman"/>
        </w:rPr>
        <w:t xml:space="preserve"> pirkimo objekto </w:t>
      </w:r>
      <w:r w:rsidR="0004515E">
        <w:rPr>
          <w:rFonts w:ascii="Times New Roman" w:eastAsia="Aptos" w:hAnsi="Times New Roman" w:cs="Times New Roman"/>
        </w:rPr>
        <w:t>dalies (</w:t>
      </w:r>
      <w:r w:rsidR="00374C31" w:rsidRPr="00374C31">
        <w:rPr>
          <w:rFonts w:ascii="Times New Roman" w:eastAsia="Aptos" w:hAnsi="Times New Roman" w:cs="Times New Roman"/>
        </w:rPr>
        <w:t>Lengvųjų (M1 klasės) automobilių su mechanine transmisija veiklos nuoma (20 (dvidešimt) vnt.)</w:t>
      </w:r>
      <w:r w:rsidR="0004515E">
        <w:rPr>
          <w:rFonts w:ascii="Times New Roman" w:eastAsia="Aptos" w:hAnsi="Times New Roman" w:cs="Times New Roman"/>
        </w:rPr>
        <w:t>)</w:t>
      </w:r>
      <w:r w:rsidR="00374C31">
        <w:rPr>
          <w:rFonts w:ascii="Times New Roman" w:eastAsia="Aptos" w:hAnsi="Times New Roman" w:cs="Times New Roman"/>
        </w:rPr>
        <w:t xml:space="preserve"> pirkimo procedūros tęsiamos ir pasiūlym</w:t>
      </w:r>
      <w:r w:rsidR="00C53836">
        <w:rPr>
          <w:rFonts w:ascii="Times New Roman" w:eastAsia="Aptos" w:hAnsi="Times New Roman" w:cs="Times New Roman"/>
        </w:rPr>
        <w:t xml:space="preserve">ai teikiami </w:t>
      </w:r>
      <w:r w:rsidR="00C53836" w:rsidRPr="00C53836">
        <w:rPr>
          <w:rFonts w:ascii="Times New Roman" w:eastAsia="Aptos" w:hAnsi="Times New Roman" w:cs="Times New Roman"/>
          <w:b/>
          <w:bCs/>
        </w:rPr>
        <w:t>iki 2026-06-15 10.00 val.</w:t>
      </w:r>
    </w:p>
    <w:bookmarkEnd w:id="0"/>
    <w:p w14:paraId="6BB670F2" w14:textId="77777777" w:rsidR="006B02EB" w:rsidRPr="006B02EB" w:rsidRDefault="006B02EB" w:rsidP="006B02EB">
      <w:pPr>
        <w:ind w:firstLine="0"/>
        <w:rPr>
          <w:rFonts w:ascii="Times New Roman" w:eastAsia="Aptos" w:hAnsi="Times New Roman" w:cs="Times New Roman"/>
        </w:rPr>
      </w:pPr>
    </w:p>
    <w:p w14:paraId="5117D9D1" w14:textId="77777777" w:rsidR="006B02EB" w:rsidRPr="006B02EB" w:rsidRDefault="006B02EB" w:rsidP="006B02EB">
      <w:pPr>
        <w:ind w:firstLine="0"/>
        <w:rPr>
          <w:rFonts w:ascii="Times New Roman" w:eastAsia="Aptos" w:hAnsi="Times New Roman" w:cs="Times New Roman"/>
        </w:rPr>
      </w:pPr>
    </w:p>
    <w:p w14:paraId="31054B62" w14:textId="2A7F696B" w:rsidR="003126EC" w:rsidRPr="00D109B1" w:rsidRDefault="006B02EB" w:rsidP="00D109B1">
      <w:pPr>
        <w:ind w:firstLine="0"/>
        <w:rPr>
          <w:rFonts w:ascii="Times New Roman" w:eastAsia="Aptos" w:hAnsi="Times New Roman" w:cs="Times New Roman"/>
        </w:rPr>
      </w:pPr>
      <w:bookmarkStart w:id="1" w:name="_Hlk205194475"/>
      <w:r w:rsidRPr="006B02EB">
        <w:rPr>
          <w:rFonts w:ascii="Times New Roman" w:eastAsia="Aptos" w:hAnsi="Times New Roman" w:cs="Times New Roman"/>
        </w:rPr>
        <w:t>Pagarbiai</w:t>
      </w:r>
      <w:r w:rsidRPr="006B02EB">
        <w:rPr>
          <w:rFonts w:ascii="Times New Roman" w:eastAsia="Aptos" w:hAnsi="Times New Roman" w:cs="Times New Roman"/>
        </w:rPr>
        <w:tab/>
      </w:r>
      <w:r w:rsidRPr="006B02EB">
        <w:rPr>
          <w:rFonts w:ascii="Times New Roman" w:eastAsia="Aptos" w:hAnsi="Times New Roman" w:cs="Times New Roman"/>
        </w:rPr>
        <w:tab/>
      </w:r>
      <w:r w:rsidRPr="006B02EB">
        <w:rPr>
          <w:rFonts w:ascii="Times New Roman" w:eastAsia="Aptos" w:hAnsi="Times New Roman" w:cs="Times New Roman"/>
        </w:rPr>
        <w:tab/>
      </w:r>
      <w:r w:rsidRPr="006B02EB">
        <w:rPr>
          <w:rFonts w:ascii="Times New Roman" w:eastAsia="Aptos" w:hAnsi="Times New Roman" w:cs="Times New Roman"/>
        </w:rPr>
        <w:tab/>
      </w:r>
      <w:r w:rsidRPr="006B02EB">
        <w:rPr>
          <w:rFonts w:ascii="Times New Roman" w:eastAsia="Aptos" w:hAnsi="Times New Roman" w:cs="Times New Roman"/>
        </w:rPr>
        <w:tab/>
      </w:r>
      <w:r w:rsidRPr="006B02EB">
        <w:rPr>
          <w:rFonts w:ascii="Times New Roman" w:eastAsia="Aptos" w:hAnsi="Times New Roman" w:cs="Times New Roman"/>
        </w:rPr>
        <w:tab/>
        <w:t xml:space="preserve">                   Komisija</w:t>
      </w:r>
      <w:bookmarkEnd w:id="1"/>
    </w:p>
    <w:sectPr w:rsidR="003126EC" w:rsidRPr="00D109B1" w:rsidSect="006B02EB">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D18F8" w14:textId="77777777" w:rsidR="006951CE" w:rsidRDefault="006951CE" w:rsidP="00AA65C4">
      <w:r>
        <w:separator/>
      </w:r>
    </w:p>
  </w:endnote>
  <w:endnote w:type="continuationSeparator" w:id="0">
    <w:p w14:paraId="3713D9EC" w14:textId="77777777" w:rsidR="006951CE" w:rsidRDefault="006951CE" w:rsidP="00AA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F9E3E" w14:textId="77777777" w:rsidR="006951CE" w:rsidRDefault="006951CE" w:rsidP="00AA65C4">
      <w:r>
        <w:separator/>
      </w:r>
    </w:p>
  </w:footnote>
  <w:footnote w:type="continuationSeparator" w:id="0">
    <w:p w14:paraId="15618B4B" w14:textId="77777777" w:rsidR="006951CE" w:rsidRDefault="006951CE" w:rsidP="00AA65C4">
      <w:r>
        <w:continuationSeparator/>
      </w:r>
    </w:p>
  </w:footnote>
  <w:footnote w:id="1">
    <w:p w14:paraId="33D63E9B" w14:textId="54E87153" w:rsidR="00B549B1" w:rsidRPr="007E56A4" w:rsidRDefault="00B549B1">
      <w:pPr>
        <w:pStyle w:val="FootnoteText"/>
        <w:rPr>
          <w:rFonts w:ascii="Times New Roman" w:hAnsi="Times New Roman" w:cs="Times New Roman"/>
          <w:sz w:val="22"/>
          <w:szCs w:val="22"/>
        </w:rPr>
      </w:pPr>
      <w:r>
        <w:rPr>
          <w:rStyle w:val="FootnoteReference"/>
        </w:rPr>
        <w:footnoteRef/>
      </w:r>
      <w:r>
        <w:t xml:space="preserve"> </w:t>
      </w:r>
      <w:r w:rsidRPr="007E56A4">
        <w:rPr>
          <w:rFonts w:ascii="Times New Roman" w:hAnsi="Times New Roman" w:cs="Times New Roman"/>
          <w:sz w:val="22"/>
          <w:szCs w:val="22"/>
        </w:rPr>
        <w:t>VPĮ 29 straipsnio 4 dalies nuostata „</w:t>
      </w:r>
      <w:r w:rsidR="007E56A4" w:rsidRPr="007E56A4">
        <w:rPr>
          <w:rFonts w:ascii="Times New Roman" w:hAnsi="Times New Roman" w:cs="Times New Roman"/>
          <w:b/>
          <w:bCs/>
          <w:i/>
          <w:iCs/>
          <w:sz w:val="22"/>
          <w:szCs w:val="22"/>
        </w:rPr>
        <w:t>Perkančioji organizacija turi teisę savo iniciatyva nutraukti pradėtas pirkimo</w:t>
      </w:r>
      <w:r w:rsidR="007E56A4" w:rsidRPr="007E56A4">
        <w:rPr>
          <w:rFonts w:ascii="Times New Roman" w:hAnsi="Times New Roman" w:cs="Times New Roman"/>
          <w:i/>
          <w:iCs/>
          <w:sz w:val="22"/>
          <w:szCs w:val="22"/>
        </w:rPr>
        <w:t xml:space="preserve"> ar projekto konkurso </w:t>
      </w:r>
      <w:r w:rsidR="007E56A4" w:rsidRPr="007E56A4">
        <w:rPr>
          <w:rFonts w:ascii="Times New Roman" w:hAnsi="Times New Roman" w:cs="Times New Roman"/>
          <w:b/>
          <w:bCs/>
          <w:i/>
          <w:iCs/>
          <w:sz w:val="22"/>
          <w:szCs w:val="22"/>
        </w:rPr>
        <w:t xml:space="preserve">procedūras, jeigu </w:t>
      </w:r>
      <w:r w:rsidR="007E56A4" w:rsidRPr="00924A88">
        <w:rPr>
          <w:rFonts w:ascii="Times New Roman" w:hAnsi="Times New Roman" w:cs="Times New Roman"/>
          <w:i/>
          <w:iCs/>
          <w:sz w:val="22"/>
          <w:szCs w:val="22"/>
        </w:rPr>
        <w:t>atsirado aplinkybių,</w:t>
      </w:r>
      <w:r w:rsidR="007E56A4" w:rsidRPr="007E56A4">
        <w:rPr>
          <w:rFonts w:ascii="Times New Roman" w:hAnsi="Times New Roman" w:cs="Times New Roman"/>
          <w:i/>
          <w:iCs/>
          <w:sz w:val="22"/>
          <w:szCs w:val="22"/>
        </w:rPr>
        <w:t xml:space="preserve"> kurių nebuvo galima numatyti, arba </w:t>
      </w:r>
      <w:r w:rsidR="007E56A4" w:rsidRPr="00924A88">
        <w:rPr>
          <w:rFonts w:ascii="Times New Roman" w:hAnsi="Times New Roman" w:cs="Times New Roman"/>
          <w:b/>
          <w:bCs/>
          <w:i/>
          <w:iCs/>
          <w:sz w:val="22"/>
          <w:szCs w:val="22"/>
        </w:rPr>
        <w:t>pirkimo dokumentuose padaryta esminių klaidų, dėl kurių</w:t>
      </w:r>
      <w:r w:rsidR="007E56A4" w:rsidRPr="007E56A4">
        <w:rPr>
          <w:rFonts w:ascii="Times New Roman" w:hAnsi="Times New Roman" w:cs="Times New Roman"/>
          <w:i/>
          <w:iCs/>
          <w:sz w:val="22"/>
          <w:szCs w:val="22"/>
        </w:rPr>
        <w:t xml:space="preserve"> pirkimas tampa nebetikslingas ar </w:t>
      </w:r>
      <w:r w:rsidR="007E56A4" w:rsidRPr="00924A88">
        <w:rPr>
          <w:rFonts w:ascii="Times New Roman" w:hAnsi="Times New Roman" w:cs="Times New Roman"/>
          <w:b/>
          <w:bCs/>
          <w:i/>
          <w:iCs/>
          <w:sz w:val="22"/>
          <w:szCs w:val="22"/>
        </w:rPr>
        <w:t>jį įvykdžius būtų įsigytas perkančiosios organizacijos poreikių neatitinkantis pirkimo objektas</w:t>
      </w:r>
      <w:r w:rsidR="007E56A4" w:rsidRPr="007E56A4">
        <w:rPr>
          <w:rFonts w:ascii="Times New Roman" w:hAnsi="Times New Roman" w:cs="Times New Roman"/>
          <w:i/>
          <w:iCs/>
          <w:sz w:val="22"/>
          <w:szCs w:val="22"/>
        </w:rPr>
        <w:t>.</w:t>
      </w:r>
      <w:r w:rsidRPr="007E56A4">
        <w:rPr>
          <w:rFonts w:ascii="Times New Roman" w:hAnsi="Times New Roman" w:cs="Times New Roman"/>
          <w:sz w:val="22"/>
          <w:szCs w:val="22"/>
        </w:rPr>
        <w:t>“</w:t>
      </w:r>
    </w:p>
  </w:footnote>
  <w:footnote w:id="2">
    <w:p w14:paraId="40426BA6" w14:textId="74B54694" w:rsidR="00AC65AE" w:rsidRPr="00AC65AE" w:rsidRDefault="00AC65AE">
      <w:pPr>
        <w:pStyle w:val="FootnoteText"/>
        <w:rPr>
          <w:rFonts w:ascii="Times New Roman" w:hAnsi="Times New Roman" w:cs="Times New Roman"/>
          <w:sz w:val="22"/>
          <w:szCs w:val="22"/>
        </w:rPr>
      </w:pPr>
      <w:r w:rsidRPr="00AC65AE">
        <w:rPr>
          <w:rStyle w:val="FootnoteReference"/>
          <w:rFonts w:ascii="Times New Roman" w:hAnsi="Times New Roman" w:cs="Times New Roman"/>
          <w:sz w:val="22"/>
          <w:szCs w:val="22"/>
        </w:rPr>
        <w:footnoteRef/>
      </w:r>
      <w:r w:rsidRPr="00AC65AE">
        <w:rPr>
          <w:rFonts w:ascii="Times New Roman" w:hAnsi="Times New Roman" w:cs="Times New Roman"/>
          <w:sz w:val="22"/>
          <w:szCs w:val="22"/>
        </w:rPr>
        <w:t xml:space="preserve"> </w:t>
      </w:r>
      <w:r w:rsidRPr="007E56A4">
        <w:rPr>
          <w:rFonts w:ascii="Times New Roman" w:hAnsi="Times New Roman" w:cs="Times New Roman"/>
          <w:sz w:val="22"/>
          <w:szCs w:val="22"/>
        </w:rPr>
        <w:t>VPĮ 29 straipsnio 4 dalies nuostata</w:t>
      </w:r>
      <w:r>
        <w:rPr>
          <w:rFonts w:ascii="Times New Roman" w:hAnsi="Times New Roman" w:cs="Times New Roman"/>
          <w:sz w:val="22"/>
          <w:szCs w:val="22"/>
        </w:rPr>
        <w:t>: „</w:t>
      </w:r>
      <w:r w:rsidR="001438FA" w:rsidRPr="001438FA">
        <w:rPr>
          <w:rFonts w:ascii="Times New Roman" w:hAnsi="Times New Roman" w:cs="Times New Roman"/>
          <w:i/>
          <w:iCs/>
          <w:sz w:val="22"/>
          <w:szCs w:val="22"/>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438FA">
        <w:rPr>
          <w:rFonts w:ascii="Times New Roman" w:hAnsi="Times New Roman" w:cs="Times New Roman"/>
          <w:sz w:val="22"/>
          <w:szCs w:val="22"/>
        </w:rPr>
        <w:t>.</w:t>
      </w:r>
      <w:r>
        <w:rPr>
          <w:rFonts w:ascii="Times New Roman" w:hAnsi="Times New Roman" w:cs="Times New Roman"/>
          <w:sz w:val="22"/>
          <w:szCs w:val="2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EB"/>
    <w:rsid w:val="00024FED"/>
    <w:rsid w:val="00026FB0"/>
    <w:rsid w:val="0004515E"/>
    <w:rsid w:val="000545F2"/>
    <w:rsid w:val="00064E14"/>
    <w:rsid w:val="00103973"/>
    <w:rsid w:val="001267A1"/>
    <w:rsid w:val="0013406D"/>
    <w:rsid w:val="001438FA"/>
    <w:rsid w:val="00150804"/>
    <w:rsid w:val="00180E61"/>
    <w:rsid w:val="00181550"/>
    <w:rsid w:val="0019327A"/>
    <w:rsid w:val="001B28D1"/>
    <w:rsid w:val="001C3B06"/>
    <w:rsid w:val="001E6294"/>
    <w:rsid w:val="001F77F6"/>
    <w:rsid w:val="001F7D1C"/>
    <w:rsid w:val="002139FA"/>
    <w:rsid w:val="00227746"/>
    <w:rsid w:val="002822F9"/>
    <w:rsid w:val="0028765F"/>
    <w:rsid w:val="002A382C"/>
    <w:rsid w:val="002C16CC"/>
    <w:rsid w:val="002E3CB6"/>
    <w:rsid w:val="002E400F"/>
    <w:rsid w:val="003126EC"/>
    <w:rsid w:val="00315E1C"/>
    <w:rsid w:val="00325B23"/>
    <w:rsid w:val="00374C31"/>
    <w:rsid w:val="00375DF0"/>
    <w:rsid w:val="003C6552"/>
    <w:rsid w:val="003D793C"/>
    <w:rsid w:val="003E2F02"/>
    <w:rsid w:val="00424C45"/>
    <w:rsid w:val="00441211"/>
    <w:rsid w:val="00454D3C"/>
    <w:rsid w:val="004636E0"/>
    <w:rsid w:val="0046677C"/>
    <w:rsid w:val="004C5F71"/>
    <w:rsid w:val="004D56B0"/>
    <w:rsid w:val="004E4007"/>
    <w:rsid w:val="00525E84"/>
    <w:rsid w:val="00535F1B"/>
    <w:rsid w:val="005453B0"/>
    <w:rsid w:val="00571CAD"/>
    <w:rsid w:val="00574CF9"/>
    <w:rsid w:val="00582F28"/>
    <w:rsid w:val="005F7117"/>
    <w:rsid w:val="006027F5"/>
    <w:rsid w:val="006373C7"/>
    <w:rsid w:val="006951CE"/>
    <w:rsid w:val="006A6C41"/>
    <w:rsid w:val="006B02EB"/>
    <w:rsid w:val="006C24C8"/>
    <w:rsid w:val="006F29D8"/>
    <w:rsid w:val="00736EC1"/>
    <w:rsid w:val="007448E6"/>
    <w:rsid w:val="00762954"/>
    <w:rsid w:val="007635A2"/>
    <w:rsid w:val="00782769"/>
    <w:rsid w:val="007A4E9A"/>
    <w:rsid w:val="007E56A4"/>
    <w:rsid w:val="007F5A17"/>
    <w:rsid w:val="00847646"/>
    <w:rsid w:val="00877B26"/>
    <w:rsid w:val="008822AB"/>
    <w:rsid w:val="008A6ACE"/>
    <w:rsid w:val="008C181B"/>
    <w:rsid w:val="0091226D"/>
    <w:rsid w:val="00924A88"/>
    <w:rsid w:val="00931048"/>
    <w:rsid w:val="009330E8"/>
    <w:rsid w:val="00936CB7"/>
    <w:rsid w:val="00955604"/>
    <w:rsid w:val="00972179"/>
    <w:rsid w:val="0098118A"/>
    <w:rsid w:val="009D25A0"/>
    <w:rsid w:val="009E6EF8"/>
    <w:rsid w:val="009F16FA"/>
    <w:rsid w:val="00A02239"/>
    <w:rsid w:val="00A0747D"/>
    <w:rsid w:val="00A66684"/>
    <w:rsid w:val="00A84104"/>
    <w:rsid w:val="00A93B0E"/>
    <w:rsid w:val="00AA65C4"/>
    <w:rsid w:val="00AC65AE"/>
    <w:rsid w:val="00AF257F"/>
    <w:rsid w:val="00AF70C5"/>
    <w:rsid w:val="00B230CE"/>
    <w:rsid w:val="00B36027"/>
    <w:rsid w:val="00B36B17"/>
    <w:rsid w:val="00B52400"/>
    <w:rsid w:val="00B549B1"/>
    <w:rsid w:val="00BB0DC2"/>
    <w:rsid w:val="00BB3DD8"/>
    <w:rsid w:val="00C16E9E"/>
    <w:rsid w:val="00C41CB7"/>
    <w:rsid w:val="00C53836"/>
    <w:rsid w:val="00C6116B"/>
    <w:rsid w:val="00C6654C"/>
    <w:rsid w:val="00C825A8"/>
    <w:rsid w:val="00C9178E"/>
    <w:rsid w:val="00CB3B00"/>
    <w:rsid w:val="00D109B1"/>
    <w:rsid w:val="00D26C11"/>
    <w:rsid w:val="00D63391"/>
    <w:rsid w:val="00D70517"/>
    <w:rsid w:val="00D81E0C"/>
    <w:rsid w:val="00D8245B"/>
    <w:rsid w:val="00D87272"/>
    <w:rsid w:val="00DA31B7"/>
    <w:rsid w:val="00DC0757"/>
    <w:rsid w:val="00DE14E7"/>
    <w:rsid w:val="00DF3059"/>
    <w:rsid w:val="00E3023A"/>
    <w:rsid w:val="00E425B1"/>
    <w:rsid w:val="00E66026"/>
    <w:rsid w:val="00E7557E"/>
    <w:rsid w:val="00E8281C"/>
    <w:rsid w:val="00E8659C"/>
    <w:rsid w:val="00E879AF"/>
    <w:rsid w:val="00EF4818"/>
    <w:rsid w:val="00F00CFF"/>
    <w:rsid w:val="00F22D25"/>
    <w:rsid w:val="00F235F7"/>
    <w:rsid w:val="00F7380F"/>
    <w:rsid w:val="00F7727F"/>
    <w:rsid w:val="00F859C7"/>
    <w:rsid w:val="01DB1409"/>
    <w:rsid w:val="30B345AE"/>
    <w:rsid w:val="566D6B35"/>
    <w:rsid w:val="75EBD76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00692"/>
  <w15:chartTrackingRefBased/>
  <w15:docId w15:val="{A9497170-D1EC-4963-9A94-D20DDC37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567"/>
      <w:jc w:val="both"/>
    </w:pPr>
  </w:style>
  <w:style w:type="paragraph" w:styleId="Heading1">
    <w:name w:val="heading 1"/>
    <w:basedOn w:val="Normal"/>
    <w:next w:val="Normal"/>
    <w:link w:val="Heading1Char"/>
    <w:uiPriority w:val="9"/>
    <w:qFormat/>
    <w:rsid w:val="006B0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2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2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2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2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2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2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2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02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2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2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2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2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2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2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2EB"/>
    <w:rPr>
      <w:rFonts w:eastAsiaTheme="majorEastAsia" w:cstheme="majorBidi"/>
      <w:color w:val="272727" w:themeColor="text1" w:themeTint="D8"/>
    </w:rPr>
  </w:style>
  <w:style w:type="paragraph" w:styleId="Title">
    <w:name w:val="Title"/>
    <w:basedOn w:val="Normal"/>
    <w:next w:val="Normal"/>
    <w:link w:val="TitleChar"/>
    <w:uiPriority w:val="10"/>
    <w:qFormat/>
    <w:rsid w:val="006B02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2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2EB"/>
    <w:pPr>
      <w:numPr>
        <w:ilvl w:val="1"/>
      </w:numPr>
      <w:spacing w:after="160"/>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2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2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02EB"/>
    <w:rPr>
      <w:i/>
      <w:iCs/>
      <w:color w:val="404040" w:themeColor="text1" w:themeTint="BF"/>
    </w:rPr>
  </w:style>
  <w:style w:type="paragraph" w:styleId="ListParagraph">
    <w:name w:val="List Paragraph"/>
    <w:basedOn w:val="Normal"/>
    <w:uiPriority w:val="34"/>
    <w:qFormat/>
    <w:rsid w:val="006B02EB"/>
    <w:pPr>
      <w:ind w:left="720"/>
      <w:contextualSpacing/>
    </w:pPr>
  </w:style>
  <w:style w:type="character" w:styleId="IntenseEmphasis">
    <w:name w:val="Intense Emphasis"/>
    <w:basedOn w:val="DefaultParagraphFont"/>
    <w:uiPriority w:val="21"/>
    <w:qFormat/>
    <w:rsid w:val="006B02EB"/>
    <w:rPr>
      <w:i/>
      <w:iCs/>
      <w:color w:val="0F4761" w:themeColor="accent1" w:themeShade="BF"/>
    </w:rPr>
  </w:style>
  <w:style w:type="paragraph" w:styleId="IntenseQuote">
    <w:name w:val="Intense Quote"/>
    <w:basedOn w:val="Normal"/>
    <w:next w:val="Normal"/>
    <w:link w:val="IntenseQuoteChar"/>
    <w:uiPriority w:val="30"/>
    <w:qFormat/>
    <w:rsid w:val="006B0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2EB"/>
    <w:rPr>
      <w:i/>
      <w:iCs/>
      <w:color w:val="0F4761" w:themeColor="accent1" w:themeShade="BF"/>
    </w:rPr>
  </w:style>
  <w:style w:type="character" w:styleId="IntenseReference">
    <w:name w:val="Intense Reference"/>
    <w:basedOn w:val="DefaultParagraphFont"/>
    <w:uiPriority w:val="32"/>
    <w:qFormat/>
    <w:rsid w:val="006B02EB"/>
    <w:rPr>
      <w:b/>
      <w:bCs/>
      <w:smallCaps/>
      <w:color w:val="0F4761" w:themeColor="accent1" w:themeShade="BF"/>
      <w:spacing w:val="5"/>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41CB7"/>
  </w:style>
  <w:style w:type="paragraph" w:styleId="FootnoteText">
    <w:name w:val="footnote text"/>
    <w:basedOn w:val="Normal"/>
    <w:link w:val="FootnoteTextChar"/>
    <w:uiPriority w:val="99"/>
    <w:semiHidden/>
    <w:unhideWhenUsed/>
    <w:rsid w:val="00AA65C4"/>
    <w:rPr>
      <w:sz w:val="20"/>
      <w:szCs w:val="20"/>
    </w:rPr>
  </w:style>
  <w:style w:type="character" w:customStyle="1" w:styleId="FootnoteTextChar">
    <w:name w:val="Footnote Text Char"/>
    <w:basedOn w:val="DefaultParagraphFont"/>
    <w:link w:val="FootnoteText"/>
    <w:uiPriority w:val="99"/>
    <w:semiHidden/>
    <w:rsid w:val="00AA65C4"/>
    <w:rPr>
      <w:sz w:val="20"/>
      <w:szCs w:val="20"/>
    </w:rPr>
  </w:style>
  <w:style w:type="character" w:styleId="FootnoteReference">
    <w:name w:val="footnote reference"/>
    <w:basedOn w:val="DefaultParagraphFont"/>
    <w:uiPriority w:val="99"/>
    <w:semiHidden/>
    <w:unhideWhenUsed/>
    <w:rsid w:val="00AA65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73717-B4F8-44CF-BDA6-71E75112C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1464</Words>
  <Characters>835</Characters>
  <Application>Microsoft Office Word</Application>
  <DocSecurity>0</DocSecurity>
  <Lines>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dc:description/>
  <cp:lastModifiedBy>Laura Bučė</cp:lastModifiedBy>
  <cp:revision>106</cp:revision>
  <dcterms:created xsi:type="dcterms:W3CDTF">2026-01-13T20:05:00Z</dcterms:created>
  <dcterms:modified xsi:type="dcterms:W3CDTF">2026-06-02T12:30:00Z</dcterms:modified>
</cp:coreProperties>
</file>