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bookmarkStart w:id="0" w:name="_GoBack"/>
      <w:bookmarkEnd w:id="0"/>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F85AC3" w:rsidP="00D531AF">
      <w:pPr>
        <w:jc w:val="center"/>
        <w:rPr>
          <w:rFonts w:eastAsia="Calibri"/>
          <w:bCs/>
          <w:sz w:val="22"/>
          <w:szCs w:val="22"/>
        </w:rPr>
      </w:pPr>
      <w:r w:rsidRPr="00F85AC3">
        <w:rPr>
          <w:rFonts w:eastAsia="Calibri"/>
          <w:b/>
          <w:bCs/>
          <w:sz w:val="22"/>
          <w:szCs w:val="22"/>
        </w:rPr>
        <w:t>Sterilumo testavimo pompa membraninės filtracijos metodui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85A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85AC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2871</Words>
  <Characters>1638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2026-06-03T06:06:00Z</dcterms:modified>
</cp:coreProperties>
</file>